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aps/>
          <w:color w:val="2E5266"/>
          <w:sz w:val="26"/>
          <w:szCs w:val="26"/>
        </w:rPr>
        <w:t xml:space="preserve">PROJECT PROPOSAL</w:t>
      </w:r>
    </w:p>
    <w:p>
      <w:pPr>
        <w:spacing w:after="400"/>
        <w:jc w:val="center"/>
      </w:pPr>
      <w:r>
        <w:rPr>
          <w:b/>
          <w:bCs/>
          <w:color w:val="1B3A53"/>
          <w:sz w:val="40"/>
          <w:szCs w:val="40"/>
        </w:rPr>
        <w:t xml:space="preserve">Design and Development of an Institutional Review Board Management Information System (AWHSC-IRB MIS)</w:t>
      </w:r>
    </w:p>
    <w:p>
      <w:pPr>
        <w:spacing w:after="100"/>
        <w:jc w:val="center"/>
      </w:pPr>
      <w:r>
        <w:rPr>
          <w:i/>
          <w:iCs/>
          <w:color w:val="5A6570"/>
          <w:sz w:val="22"/>
          <w:szCs w:val="22"/>
        </w:rPr>
        <w:t xml:space="preserve">A Web-Based, Workflow-Driven Information System Supporting the AWHSC Institutional Review Board</w:t>
      </w:r>
    </w:p>
    <w:p>
      <w:pPr>
        <w:spacing w:before="1400"/>
      </w:pPr>
    </w:p>
    <w:p>
      <w:pPr>
        <w:spacing w:after="60"/>
        <w:jc w:val="center"/>
      </w:pPr>
      <w:r>
        <w:rPr>
          <w:color w:val="5A6570"/>
          <w:sz w:val="20"/>
          <w:szCs w:val="20"/>
        </w:rPr>
        <w:t xml:space="preserve">Prepared for</w:t>
      </w:r>
    </w:p>
    <w:p>
      <w:pPr>
        <w:spacing w:after="300"/>
        <w:jc w:val="center"/>
      </w:pPr>
      <w:r>
        <w:rPr>
          <w:b/>
          <w:bCs/>
          <w:color w:val="1B3A53"/>
          <w:sz w:val="22"/>
          <w:szCs w:val="22"/>
        </w:rPr>
        <w:t xml:space="preserve">Asrat Woldeyes Health Science Campus — Institutional Review Board (AWHSC-IRB)</w:t>
      </w:r>
    </w:p>
    <w:p>
      <w:pPr>
        <w:spacing w:after="60"/>
        <w:jc w:val="center"/>
      </w:pPr>
      <w:r>
        <w:rPr>
          <w:color w:val="5A6570"/>
          <w:sz w:val="20"/>
          <w:szCs w:val="20"/>
        </w:rPr>
        <w:t xml:space="preserve">Prepared by</w:t>
      </w:r>
    </w:p>
    <w:p>
      <w:pPr>
        <w:spacing w:after="300"/>
        <w:jc w:val="center"/>
      </w:pPr>
      <w:r>
        <w:rPr>
          <w:b/>
          <w:bCs/>
          <w:color w:val="1B3A53"/>
          <w:sz w:val="22"/>
          <w:szCs w:val="22"/>
        </w:rPr>
        <w:t xml:space="preserve">Bogale Shigult  ·  Binyam Eshetu  ·  Behailu Haile  ·  Dereje Chinkil  ·  Eden Damenu</w:t>
      </w:r>
    </w:p>
    <w:p>
      <w:pPr>
        <w:spacing w:after="60"/>
        <w:jc w:val="center"/>
      </w:pPr>
      <w:r>
        <w:rPr>
          <w:color w:val="5A6570"/>
          <w:sz w:val="20"/>
          <w:szCs w:val="20"/>
        </w:rPr>
        <w:t xml:space="preserve">Document reference</w:t>
      </w:r>
    </w:p>
    <w:p>
      <w:pPr>
        <w:spacing w:after="900"/>
        <w:jc w:val="center"/>
      </w:pPr>
      <w:r>
        <w:rPr>
          <w:b/>
          <w:bCs/>
          <w:color w:val="1B3A53"/>
          <w:sz w:val="22"/>
          <w:szCs w:val="22"/>
        </w:rPr>
        <w:t xml:space="preserve">AWHSC-IRB-MIS/PROP/2026-01  ·  Version 1.0</w:t>
      </w:r>
    </w:p>
    <w:p>
      <w:pPr>
        <w:jc w:val="center"/>
      </w:pPr>
      <w:r>
        <w:rPr>
          <w:color w:val="5A6570"/>
          <w:sz w:val="20"/>
          <w:szCs w:val="20"/>
        </w:rPr>
        <w:t xml:space="preserve">August 2026</w:t>
      </w:r>
    </w:p>
    <w:p>
      <w:r>
        <w:br w:type="page"/>
      </w:r>
    </w:p>
    <w:p>
      <w:pPr>
        <w:sectPr>
          <w:pgSz w:w="12240" w:h="15840" w:orient="portrait"/>
          <w:pgMar w:top="1440" w:right="1440" w:bottom="1440" w:left="1440" w:header="708" w:footer="708" w:gutter="0"/>
          <w:pgNumType/>
          <w:docGrid w:linePitch="360"/>
        </w:sectPr>
      </w:pPr>
    </w:p>
    <w:p>
      <w:pPr>
        <w:pStyle w:val="Heading1"/>
        <w:pBdr>
          <w:bottom w:val="single" w:color="1B3A53" w:sz="8" w:space="4"/>
        </w:pBdr>
        <w:spacing w:after="240" w:before="480"/>
      </w:pPr>
      <w:r>
        <w:rPr>
          <w:b/>
          <w:bCs/>
          <w:color w:val="1B3A53"/>
          <w:sz w:val="30"/>
          <w:szCs w:val="30"/>
        </w:rPr>
        <w:t xml:space="preserve">Document Control</w:t>
      </w:r>
    </w:p>
    <w:p>
      <w:pPr>
        <w:pStyle w:val="Heading2"/>
        <w:spacing w:after="160" w:before="320"/>
      </w:pPr>
      <w:r>
        <w:rPr>
          <w:b/>
          <w:bCs/>
          <w:color w:val="2E5266"/>
          <w:sz w:val="24"/>
          <w:szCs w:val="24"/>
        </w:rPr>
        <w:t xml:space="preserve">Project Team</w:t>
      </w:r>
    </w:p>
    <w:tbl>
      <w:tblPr>
        <w:tblW w:type="dxa" w:w="8700"/>
        <w:tblBorders>
          <w:top w:val="single" w:color="8FAFC0" w:sz="4"/>
          <w:left w:val="single" w:color="8FAFC0" w:sz="4"/>
          <w:bottom w:val="single" w:color="8FAFC0" w:sz="4"/>
          <w:right w:val="single" w:color="8FAFC0" w:sz="4"/>
          <w:insideH w:val="single" w:color="8FAFC0" w:sz="2"/>
          <w:insideV w:val="single" w:color="8FAFC0" w:sz="2"/>
        </w:tblBorders>
      </w:tblPr>
      <w:tblGrid>
        <w:gridCol w:w="4400"/>
        <w:gridCol w:w="4300"/>
      </w:tblGrid>
      <w:tr>
        <w:trPr>
          <w:tblHeader/>
        </w:trPr>
        <w:tc>
          <w:tcPr>
            <w:tcW w:type="dxa" w:w="4400"/>
            <w:shd w:fill="1B3A53" w:color="auto" w:val="clear"/>
            <w:tcMar>
              <w:top w:type="dxa" w:w="80"/>
              <w:left w:type="dxa" w:w="120"/>
              <w:bottom w:type="dxa" w:w="80"/>
              <w:right w:type="dxa" w:w="120"/>
            </w:tcMar>
            <w:vAlign w:val="center"/>
          </w:tcPr>
          <w:p>
            <w:r>
              <w:rPr>
                <w:b/>
                <w:bCs/>
                <w:color w:val="FFFFFF"/>
                <w:sz w:val="19"/>
                <w:szCs w:val="19"/>
              </w:rPr>
              <w:t xml:space="preserve">Name</w:t>
            </w:r>
          </w:p>
        </w:tc>
        <w:tc>
          <w:tcPr>
            <w:tcW w:type="dxa" w:w="4300"/>
            <w:shd w:fill="1B3A53" w:color="auto" w:val="clear"/>
            <w:tcMar>
              <w:top w:type="dxa" w:w="80"/>
              <w:left w:type="dxa" w:w="120"/>
              <w:bottom w:type="dxa" w:w="80"/>
              <w:right w:type="dxa" w:w="120"/>
            </w:tcMar>
            <w:vAlign w:val="center"/>
          </w:tcPr>
          <w:p>
            <w:r>
              <w:rPr>
                <w:b/>
                <w:bCs/>
                <w:color w:val="FFFFFF"/>
                <w:sz w:val="19"/>
                <w:szCs w:val="19"/>
              </w:rPr>
              <w:t xml:space="preserve">Role</w:t>
            </w:r>
          </w:p>
        </w:tc>
      </w:tr>
      <w:tr>
        <w:tc>
          <w:tcPr>
            <w:tcW w:type="dxa" w:w="4400"/>
            <w:tcMar>
              <w:top w:type="dxa" w:w="80"/>
              <w:left w:type="dxa" w:w="120"/>
              <w:bottom w:type="dxa" w:w="80"/>
              <w:right w:type="dxa" w:w="120"/>
            </w:tcMar>
            <w:vAlign w:val="center"/>
          </w:tcPr>
          <w:p>
            <w:r>
              <w:rPr>
                <w:b w:val="false"/>
                <w:bCs w:val="false"/>
                <w:color w:val="222222"/>
                <w:sz w:val="19"/>
                <w:szCs w:val="19"/>
              </w:rPr>
              <w:t xml:space="preserve">Bogale Shigult</w:t>
            </w:r>
          </w:p>
        </w:tc>
        <w:tc>
          <w:tcPr>
            <w:tcW w:type="dxa" w:w="4300"/>
            <w:tcMar>
              <w:top w:type="dxa" w:w="80"/>
              <w:left w:type="dxa" w:w="120"/>
              <w:bottom w:type="dxa" w:w="80"/>
              <w:right w:type="dxa" w:w="120"/>
            </w:tcMar>
            <w:vAlign w:val="center"/>
          </w:tcPr>
          <w:p>
            <w:r>
              <w:rPr>
                <w:b w:val="false"/>
                <w:bCs w:val="false"/>
                <w:color w:val="222222"/>
                <w:sz w:val="19"/>
                <w:szCs w:val="19"/>
              </w:rPr>
              <w:t xml:space="preserve">Project Team Member</w:t>
            </w:r>
          </w:p>
        </w:tc>
      </w:tr>
      <w:tr>
        <w:tc>
          <w:tcPr>
            <w:tcW w:type="dxa" w:w="4400"/>
            <w:shd w:fill="EAF1F5" w:color="auto" w:val="clear"/>
            <w:tcMar>
              <w:top w:type="dxa" w:w="80"/>
              <w:left w:type="dxa" w:w="120"/>
              <w:bottom w:type="dxa" w:w="80"/>
              <w:right w:type="dxa" w:w="120"/>
            </w:tcMar>
            <w:vAlign w:val="center"/>
          </w:tcPr>
          <w:p>
            <w:r>
              <w:rPr>
                <w:b w:val="false"/>
                <w:bCs w:val="false"/>
                <w:color w:val="222222"/>
                <w:sz w:val="19"/>
                <w:szCs w:val="19"/>
              </w:rPr>
              <w:t xml:space="preserve">Binyam Eshetu</w:t>
            </w:r>
          </w:p>
        </w:tc>
        <w:tc>
          <w:tcPr>
            <w:tcW w:type="dxa" w:w="4300"/>
            <w:shd w:fill="EAF1F5" w:color="auto" w:val="clear"/>
            <w:tcMar>
              <w:top w:type="dxa" w:w="80"/>
              <w:left w:type="dxa" w:w="120"/>
              <w:bottom w:type="dxa" w:w="80"/>
              <w:right w:type="dxa" w:w="120"/>
            </w:tcMar>
            <w:vAlign w:val="center"/>
          </w:tcPr>
          <w:p>
            <w:r>
              <w:rPr>
                <w:b w:val="false"/>
                <w:bCs w:val="false"/>
                <w:color w:val="222222"/>
                <w:sz w:val="19"/>
                <w:szCs w:val="19"/>
              </w:rPr>
              <w:t xml:space="preserve">Project Team Member</w:t>
            </w:r>
          </w:p>
        </w:tc>
      </w:tr>
      <w:tr>
        <w:tc>
          <w:tcPr>
            <w:tcW w:type="dxa" w:w="4400"/>
            <w:tcMar>
              <w:top w:type="dxa" w:w="80"/>
              <w:left w:type="dxa" w:w="120"/>
              <w:bottom w:type="dxa" w:w="80"/>
              <w:right w:type="dxa" w:w="120"/>
            </w:tcMar>
            <w:vAlign w:val="center"/>
          </w:tcPr>
          <w:p>
            <w:r>
              <w:rPr>
                <w:b w:val="false"/>
                <w:bCs w:val="false"/>
                <w:color w:val="222222"/>
                <w:sz w:val="19"/>
                <w:szCs w:val="19"/>
              </w:rPr>
              <w:t xml:space="preserve">Behailu Haile</w:t>
            </w:r>
          </w:p>
        </w:tc>
        <w:tc>
          <w:tcPr>
            <w:tcW w:type="dxa" w:w="4300"/>
            <w:tcMar>
              <w:top w:type="dxa" w:w="80"/>
              <w:left w:type="dxa" w:w="120"/>
              <w:bottom w:type="dxa" w:w="80"/>
              <w:right w:type="dxa" w:w="120"/>
            </w:tcMar>
            <w:vAlign w:val="center"/>
          </w:tcPr>
          <w:p>
            <w:r>
              <w:rPr>
                <w:b w:val="false"/>
                <w:bCs w:val="false"/>
                <w:color w:val="222222"/>
                <w:sz w:val="19"/>
                <w:szCs w:val="19"/>
              </w:rPr>
              <w:t xml:space="preserve">Project Team Member</w:t>
            </w:r>
          </w:p>
        </w:tc>
      </w:tr>
      <w:tr>
        <w:tc>
          <w:tcPr>
            <w:tcW w:type="dxa" w:w="4400"/>
            <w:shd w:fill="EAF1F5" w:color="auto" w:val="clear"/>
            <w:tcMar>
              <w:top w:type="dxa" w:w="80"/>
              <w:left w:type="dxa" w:w="120"/>
              <w:bottom w:type="dxa" w:w="80"/>
              <w:right w:type="dxa" w:w="120"/>
            </w:tcMar>
            <w:vAlign w:val="center"/>
          </w:tcPr>
          <w:p>
            <w:r>
              <w:rPr>
                <w:b w:val="false"/>
                <w:bCs w:val="false"/>
                <w:color w:val="222222"/>
                <w:sz w:val="19"/>
                <w:szCs w:val="19"/>
              </w:rPr>
              <w:t xml:space="preserve">Dereje Chinkil</w:t>
            </w:r>
          </w:p>
        </w:tc>
        <w:tc>
          <w:tcPr>
            <w:tcW w:type="dxa" w:w="4300"/>
            <w:shd w:fill="EAF1F5" w:color="auto" w:val="clear"/>
            <w:tcMar>
              <w:top w:type="dxa" w:w="80"/>
              <w:left w:type="dxa" w:w="120"/>
              <w:bottom w:type="dxa" w:w="80"/>
              <w:right w:type="dxa" w:w="120"/>
            </w:tcMar>
            <w:vAlign w:val="center"/>
          </w:tcPr>
          <w:p>
            <w:r>
              <w:rPr>
                <w:b w:val="false"/>
                <w:bCs w:val="false"/>
                <w:color w:val="222222"/>
                <w:sz w:val="19"/>
                <w:szCs w:val="19"/>
              </w:rPr>
              <w:t xml:space="preserve">Project Team Member</w:t>
            </w:r>
          </w:p>
        </w:tc>
      </w:tr>
      <w:tr>
        <w:tc>
          <w:tcPr>
            <w:tcW w:type="dxa" w:w="4400"/>
            <w:tcMar>
              <w:top w:type="dxa" w:w="80"/>
              <w:left w:type="dxa" w:w="120"/>
              <w:bottom w:type="dxa" w:w="80"/>
              <w:right w:type="dxa" w:w="120"/>
            </w:tcMar>
            <w:vAlign w:val="center"/>
          </w:tcPr>
          <w:p>
            <w:r>
              <w:rPr>
                <w:b w:val="false"/>
                <w:bCs w:val="false"/>
                <w:color w:val="222222"/>
                <w:sz w:val="19"/>
                <w:szCs w:val="19"/>
              </w:rPr>
              <w:t xml:space="preserve">Eden Damenu</w:t>
            </w:r>
          </w:p>
        </w:tc>
        <w:tc>
          <w:tcPr>
            <w:tcW w:type="dxa" w:w="4300"/>
            <w:tcMar>
              <w:top w:type="dxa" w:w="80"/>
              <w:left w:type="dxa" w:w="120"/>
              <w:bottom w:type="dxa" w:w="80"/>
              <w:right w:type="dxa" w:w="120"/>
            </w:tcMar>
            <w:vAlign w:val="center"/>
          </w:tcPr>
          <w:p>
            <w:r>
              <w:rPr>
                <w:b w:val="false"/>
                <w:bCs w:val="false"/>
                <w:color w:val="222222"/>
                <w:sz w:val="19"/>
                <w:szCs w:val="19"/>
              </w:rPr>
              <w:t xml:space="preserve">Project Team Member</w:t>
            </w:r>
          </w:p>
        </w:tc>
      </w:tr>
    </w:tbl>
    <w:p>
      <w:pPr>
        <w:spacing w:after="160" w:line="276"/>
        <w:jc w:val="both"/>
      </w:pPr>
      <w:r>
        <w:rPr>
          <w:i/>
          <w:iCs/>
          <w:color w:val="222222"/>
          <w:sz w:val="21"/>
          <w:szCs w:val="21"/>
        </w:rPr>
        <w:t xml:space="preserve">Role assignments above are placeholders — update each member's specific role (e.g., Project Lead, Systems Analyst, Backend Developer, Database Designer, QA/Documentation) once responsibilities are finalized.</w:t>
      </w:r>
    </w:p>
    <w:p>
      <w:pPr>
        <w:spacing w:before="200"/>
      </w:pPr>
    </w:p>
    <w:p>
      <w:pPr>
        <w:pStyle w:val="Heading2"/>
        <w:spacing w:after="160" w:before="320"/>
      </w:pPr>
      <w:r>
        <w:rPr>
          <w:b/>
          <w:bCs/>
          <w:color w:val="2E5266"/>
          <w:sz w:val="24"/>
          <w:szCs w:val="24"/>
        </w:rPr>
        <w:t xml:space="preserve">Revision History</w:t>
      </w:r>
    </w:p>
    <w:tbl>
      <w:tblPr>
        <w:tblW w:type="dxa" w:w="9500"/>
        <w:tblBorders>
          <w:top w:val="single" w:color="8FAFC0" w:sz="4"/>
          <w:left w:val="single" w:color="8FAFC0" w:sz="4"/>
          <w:bottom w:val="single" w:color="8FAFC0" w:sz="4"/>
          <w:right w:val="single" w:color="8FAFC0" w:sz="4"/>
          <w:insideH w:val="single" w:color="8FAFC0" w:sz="2"/>
          <w:insideV w:val="single" w:color="8FAFC0" w:sz="2"/>
        </w:tblBorders>
      </w:tblPr>
      <w:tblGrid>
        <w:gridCol w:w="1600"/>
        <w:gridCol w:w="1800"/>
        <w:gridCol w:w="2800"/>
        <w:gridCol w:w="3300"/>
      </w:tblGrid>
      <w:tr>
        <w:trPr>
          <w:tblHeader/>
        </w:trPr>
        <w:tc>
          <w:tcPr>
            <w:tcW w:type="dxa" w:w="1600"/>
            <w:shd w:fill="1B3A53" w:color="auto" w:val="clear"/>
            <w:tcMar>
              <w:top w:type="dxa" w:w="80"/>
              <w:left w:type="dxa" w:w="120"/>
              <w:bottom w:type="dxa" w:w="80"/>
              <w:right w:type="dxa" w:w="120"/>
            </w:tcMar>
            <w:vAlign w:val="center"/>
          </w:tcPr>
          <w:p>
            <w:r>
              <w:rPr>
                <w:b/>
                <w:bCs/>
                <w:color w:val="FFFFFF"/>
                <w:sz w:val="19"/>
                <w:szCs w:val="19"/>
              </w:rPr>
              <w:t xml:space="preserve">Version</w:t>
            </w:r>
          </w:p>
        </w:tc>
        <w:tc>
          <w:tcPr>
            <w:tcW w:type="dxa" w:w="1800"/>
            <w:shd w:fill="1B3A53" w:color="auto" w:val="clear"/>
            <w:tcMar>
              <w:top w:type="dxa" w:w="80"/>
              <w:left w:type="dxa" w:w="120"/>
              <w:bottom w:type="dxa" w:w="80"/>
              <w:right w:type="dxa" w:w="120"/>
            </w:tcMar>
            <w:vAlign w:val="center"/>
          </w:tcPr>
          <w:p>
            <w:r>
              <w:rPr>
                <w:b/>
                <w:bCs/>
                <w:color w:val="FFFFFF"/>
                <w:sz w:val="19"/>
                <w:szCs w:val="19"/>
              </w:rPr>
              <w:t xml:space="preserve">Date</w:t>
            </w:r>
          </w:p>
        </w:tc>
        <w:tc>
          <w:tcPr>
            <w:tcW w:type="dxa" w:w="2800"/>
            <w:shd w:fill="1B3A53" w:color="auto" w:val="clear"/>
            <w:tcMar>
              <w:top w:type="dxa" w:w="80"/>
              <w:left w:type="dxa" w:w="120"/>
              <w:bottom w:type="dxa" w:w="80"/>
              <w:right w:type="dxa" w:w="120"/>
            </w:tcMar>
            <w:vAlign w:val="center"/>
          </w:tcPr>
          <w:p>
            <w:r>
              <w:rPr>
                <w:b/>
                <w:bCs/>
                <w:color w:val="FFFFFF"/>
                <w:sz w:val="19"/>
                <w:szCs w:val="19"/>
              </w:rPr>
              <w:t xml:space="preserve">Author</w:t>
            </w:r>
          </w:p>
        </w:tc>
        <w:tc>
          <w:tcPr>
            <w:tcW w:type="dxa" w:w="3300"/>
            <w:shd w:fill="1B3A53" w:color="auto" w:val="clear"/>
            <w:tcMar>
              <w:top w:type="dxa" w:w="80"/>
              <w:left w:type="dxa" w:w="120"/>
              <w:bottom w:type="dxa" w:w="80"/>
              <w:right w:type="dxa" w:w="120"/>
            </w:tcMar>
            <w:vAlign w:val="center"/>
          </w:tcPr>
          <w:p>
            <w:r>
              <w:rPr>
                <w:b/>
                <w:bCs/>
                <w:color w:val="FFFFFF"/>
                <w:sz w:val="19"/>
                <w:szCs w:val="19"/>
              </w:rPr>
              <w:t xml:space="preserve">Description of Change</w:t>
            </w:r>
          </w:p>
        </w:tc>
      </w:tr>
      <w:tr>
        <w:tc>
          <w:tcPr>
            <w:tcW w:type="dxa" w:w="1600"/>
            <w:tcMar>
              <w:top w:type="dxa" w:w="80"/>
              <w:left w:type="dxa" w:w="120"/>
              <w:bottom w:type="dxa" w:w="80"/>
              <w:right w:type="dxa" w:w="120"/>
            </w:tcMar>
            <w:vAlign w:val="center"/>
          </w:tcPr>
          <w:p>
            <w:r>
              <w:rPr>
                <w:b w:val="false"/>
                <w:bCs w:val="false"/>
                <w:color w:val="222222"/>
                <w:sz w:val="19"/>
                <w:szCs w:val="19"/>
              </w:rPr>
              <w:t xml:space="preserve">0.1</w:t>
            </w:r>
          </w:p>
        </w:tc>
        <w:tc>
          <w:tcPr>
            <w:tcW w:type="dxa" w:w="1800"/>
            <w:tcMar>
              <w:top w:type="dxa" w:w="80"/>
              <w:left w:type="dxa" w:w="120"/>
              <w:bottom w:type="dxa" w:w="80"/>
              <w:right w:type="dxa" w:w="120"/>
            </w:tcMar>
            <w:vAlign w:val="center"/>
          </w:tcPr>
          <w:p>
            <w:r>
              <w:rPr>
                <w:b w:val="false"/>
                <w:bCs w:val="false"/>
                <w:color w:val="222222"/>
                <w:sz w:val="19"/>
                <w:szCs w:val="19"/>
              </w:rPr>
              <w:t xml:space="preserve">—</w:t>
            </w:r>
          </w:p>
        </w:tc>
        <w:tc>
          <w:tcPr>
            <w:tcW w:type="dxa" w:w="2800"/>
            <w:tcMar>
              <w:top w:type="dxa" w:w="80"/>
              <w:left w:type="dxa" w:w="120"/>
              <w:bottom w:type="dxa" w:w="80"/>
              <w:right w:type="dxa" w:w="120"/>
            </w:tcMar>
            <w:vAlign w:val="center"/>
          </w:tcPr>
          <w:p>
            <w:r>
              <w:rPr>
                <w:b w:val="false"/>
                <w:bCs w:val="false"/>
                <w:color w:val="222222"/>
                <w:sz w:val="19"/>
                <w:szCs w:val="19"/>
              </w:rPr>
              <w:t xml:space="preserve">Project Team</w:t>
            </w:r>
          </w:p>
        </w:tc>
        <w:tc>
          <w:tcPr>
            <w:tcW w:type="dxa" w:w="3300"/>
            <w:tcMar>
              <w:top w:type="dxa" w:w="80"/>
              <w:left w:type="dxa" w:w="120"/>
              <w:bottom w:type="dxa" w:w="80"/>
              <w:right w:type="dxa" w:w="120"/>
            </w:tcMar>
            <w:vAlign w:val="center"/>
          </w:tcPr>
          <w:p>
            <w:r>
              <w:rPr>
                <w:b w:val="false"/>
                <w:bCs w:val="false"/>
                <w:color w:val="222222"/>
                <w:sz w:val="19"/>
                <w:szCs w:val="19"/>
              </w:rPr>
              <w:t xml:space="preserve">Initial draft outline derived from AWHSC-IRB SOP review</w:t>
            </w:r>
          </w:p>
        </w:tc>
      </w:tr>
      <w:tr>
        <w:tc>
          <w:tcPr>
            <w:tcW w:type="dxa" w:w="1600"/>
            <w:shd w:fill="EAF1F5" w:color="auto" w:val="clear"/>
            <w:tcMar>
              <w:top w:type="dxa" w:w="80"/>
              <w:left w:type="dxa" w:w="120"/>
              <w:bottom w:type="dxa" w:w="80"/>
              <w:right w:type="dxa" w:w="120"/>
            </w:tcMar>
            <w:vAlign w:val="center"/>
          </w:tcPr>
          <w:p>
            <w:r>
              <w:rPr>
                <w:b w:val="false"/>
                <w:bCs w:val="false"/>
                <w:color w:val="222222"/>
                <w:sz w:val="19"/>
                <w:szCs w:val="19"/>
              </w:rPr>
              <w:t xml:space="preserve">1.0</w:t>
            </w:r>
          </w:p>
        </w:tc>
        <w:tc>
          <w:tcPr>
            <w:tcW w:type="dxa" w:w="1800"/>
            <w:shd w:fill="EAF1F5" w:color="auto" w:val="clear"/>
            <w:tcMar>
              <w:top w:type="dxa" w:w="80"/>
              <w:left w:type="dxa" w:w="120"/>
              <w:bottom w:type="dxa" w:w="80"/>
              <w:right w:type="dxa" w:w="120"/>
            </w:tcMar>
            <w:vAlign w:val="center"/>
          </w:tcPr>
          <w:p>
            <w:r>
              <w:rPr>
                <w:b w:val="false"/>
                <w:bCs w:val="false"/>
                <w:color w:val="222222"/>
                <w:sz w:val="19"/>
                <w:szCs w:val="19"/>
              </w:rPr>
              <w:t xml:space="preserve">August 2026</w:t>
            </w:r>
          </w:p>
        </w:tc>
        <w:tc>
          <w:tcPr>
            <w:tcW w:type="dxa" w:w="2800"/>
            <w:shd w:fill="EAF1F5" w:color="auto" w:val="clear"/>
            <w:tcMar>
              <w:top w:type="dxa" w:w="80"/>
              <w:left w:type="dxa" w:w="120"/>
              <w:bottom w:type="dxa" w:w="80"/>
              <w:right w:type="dxa" w:w="120"/>
            </w:tcMar>
            <w:vAlign w:val="center"/>
          </w:tcPr>
          <w:p>
            <w:r>
              <w:rPr>
                <w:b w:val="false"/>
                <w:bCs w:val="false"/>
                <w:color w:val="222222"/>
                <w:sz w:val="19"/>
                <w:szCs w:val="19"/>
              </w:rPr>
              <w:t xml:space="preserve">Project Team</w:t>
            </w:r>
          </w:p>
        </w:tc>
        <w:tc>
          <w:tcPr>
            <w:tcW w:type="dxa" w:w="3300"/>
            <w:shd w:fill="EAF1F5" w:color="auto" w:val="clear"/>
            <w:tcMar>
              <w:top w:type="dxa" w:w="80"/>
              <w:left w:type="dxa" w:w="120"/>
              <w:bottom w:type="dxa" w:w="80"/>
              <w:right w:type="dxa" w:w="120"/>
            </w:tcMar>
            <w:vAlign w:val="center"/>
          </w:tcPr>
          <w:p>
            <w:r>
              <w:rPr>
                <w:b w:val="false"/>
                <w:bCs w:val="false"/>
                <w:color w:val="222222"/>
                <w:sz w:val="19"/>
                <w:szCs w:val="19"/>
              </w:rPr>
              <w:t xml:space="preserve">First complete proposal issued for stakeholder review</w:t>
            </w:r>
          </w:p>
        </w:tc>
      </w:tr>
    </w:tbl>
    <w:p>
      <w:pPr>
        <w:spacing w:before="300"/>
      </w:pPr>
    </w:p>
    <w:p>
      <w:pPr>
        <w:pStyle w:val="Heading2"/>
        <w:spacing w:after="160" w:before="320"/>
      </w:pPr>
      <w:r>
        <w:rPr>
          <w:b/>
          <w:bCs/>
          <w:color w:val="2E5266"/>
          <w:sz w:val="24"/>
          <w:szCs w:val="24"/>
        </w:rPr>
        <w:t xml:space="preserve">Approval</w:t>
      </w:r>
    </w:p>
    <w:tbl>
      <w:tblPr>
        <w:tblW w:type="dxa" w:w="9500"/>
        <w:tblBorders>
          <w:top w:val="single" w:color="8FAFC0" w:sz="4"/>
          <w:left w:val="single" w:color="8FAFC0" w:sz="4"/>
          <w:bottom w:val="single" w:color="8FAFC0" w:sz="4"/>
          <w:right w:val="single" w:color="8FAFC0" w:sz="4"/>
          <w:insideH w:val="single" w:color="8FAFC0" w:sz="2"/>
          <w:insideV w:val="single" w:color="8FAFC0" w:sz="2"/>
        </w:tblBorders>
      </w:tblPr>
      <w:tblGrid>
        <w:gridCol w:w="1600"/>
        <w:gridCol w:w="1800"/>
        <w:gridCol w:w="2800"/>
        <w:gridCol w:w="3300"/>
      </w:tblGrid>
      <w:tr>
        <w:trPr>
          <w:tblHeader/>
        </w:trPr>
        <w:tc>
          <w:tcPr>
            <w:tcW w:type="dxa" w:w="1600"/>
            <w:shd w:fill="1B3A53" w:color="auto" w:val="clear"/>
            <w:tcMar>
              <w:top w:type="dxa" w:w="80"/>
              <w:left w:type="dxa" w:w="120"/>
              <w:bottom w:type="dxa" w:w="80"/>
              <w:right w:type="dxa" w:w="120"/>
            </w:tcMar>
            <w:vAlign w:val="center"/>
          </w:tcPr>
          <w:p>
            <w:r>
              <w:rPr>
                <w:b/>
                <w:bCs/>
                <w:color w:val="FFFFFF"/>
                <w:sz w:val="19"/>
                <w:szCs w:val="19"/>
              </w:rPr>
              <w:t xml:space="preserve">Role</w:t>
            </w:r>
          </w:p>
        </w:tc>
        <w:tc>
          <w:tcPr>
            <w:tcW w:type="dxa" w:w="1800"/>
            <w:shd w:fill="1B3A53" w:color="auto" w:val="clear"/>
            <w:tcMar>
              <w:top w:type="dxa" w:w="80"/>
              <w:left w:type="dxa" w:w="120"/>
              <w:bottom w:type="dxa" w:w="80"/>
              <w:right w:type="dxa" w:w="120"/>
            </w:tcMar>
            <w:vAlign w:val="center"/>
          </w:tcPr>
          <w:p>
            <w:r>
              <w:rPr>
                <w:b/>
                <w:bCs/>
                <w:color w:val="FFFFFF"/>
                <w:sz w:val="19"/>
                <w:szCs w:val="19"/>
              </w:rPr>
              <w:t xml:space="preserve">Name</w:t>
            </w:r>
          </w:p>
        </w:tc>
        <w:tc>
          <w:tcPr>
            <w:tcW w:type="dxa" w:w="2800"/>
            <w:shd w:fill="1B3A53" w:color="auto" w:val="clear"/>
            <w:tcMar>
              <w:top w:type="dxa" w:w="80"/>
              <w:left w:type="dxa" w:w="120"/>
              <w:bottom w:type="dxa" w:w="80"/>
              <w:right w:type="dxa" w:w="120"/>
            </w:tcMar>
            <w:vAlign w:val="center"/>
          </w:tcPr>
          <w:p>
            <w:r>
              <w:rPr>
                <w:b/>
                <w:bCs/>
                <w:color w:val="FFFFFF"/>
                <w:sz w:val="19"/>
                <w:szCs w:val="19"/>
              </w:rPr>
              <w:t xml:space="preserve">Signature</w:t>
            </w:r>
          </w:p>
        </w:tc>
        <w:tc>
          <w:tcPr>
            <w:tcW w:type="dxa" w:w="3300"/>
            <w:shd w:fill="1B3A53" w:color="auto" w:val="clear"/>
            <w:tcMar>
              <w:top w:type="dxa" w:w="80"/>
              <w:left w:type="dxa" w:w="120"/>
              <w:bottom w:type="dxa" w:w="80"/>
              <w:right w:type="dxa" w:w="120"/>
            </w:tcMar>
            <w:vAlign w:val="center"/>
          </w:tcPr>
          <w:p>
            <w:r>
              <w:rPr>
                <w:b/>
                <w:bCs/>
                <w:color w:val="FFFFFF"/>
                <w:sz w:val="19"/>
                <w:szCs w:val="19"/>
              </w:rPr>
              <w:t xml:space="preserve">Date</w:t>
            </w:r>
          </w:p>
        </w:tc>
      </w:tr>
      <w:tr>
        <w:tc>
          <w:tcPr>
            <w:tcW w:type="dxa" w:w="1600"/>
            <w:tcMar>
              <w:top w:type="dxa" w:w="80"/>
              <w:left w:type="dxa" w:w="120"/>
              <w:bottom w:type="dxa" w:w="80"/>
              <w:right w:type="dxa" w:w="120"/>
            </w:tcMar>
            <w:vAlign w:val="center"/>
          </w:tcPr>
          <w:p>
            <w:r>
              <w:rPr>
                <w:b w:val="false"/>
                <w:bCs w:val="false"/>
                <w:color w:val="222222"/>
                <w:sz w:val="19"/>
                <w:szCs w:val="19"/>
              </w:rPr>
              <w:t xml:space="preserve">IRB Chairperson</w:t>
            </w:r>
          </w:p>
        </w:tc>
        <w:tc>
          <w:tcPr>
            <w:tcW w:type="dxa" w:w="1800"/>
            <w:tcMar>
              <w:top w:type="dxa" w:w="80"/>
              <w:left w:type="dxa" w:w="120"/>
              <w:bottom w:type="dxa" w:w="80"/>
              <w:right w:type="dxa" w:w="120"/>
            </w:tcMar>
            <w:vAlign w:val="center"/>
          </w:tcPr>
          <w:p>
            <w:r>
              <w:rPr>
                <w:b w:val="false"/>
                <w:bCs w:val="false"/>
                <w:color w:val="222222"/>
                <w:sz w:val="19"/>
                <w:szCs w:val="19"/>
              </w:rPr>
              <w:t xml:space="preserve"/>
            </w:r>
          </w:p>
        </w:tc>
        <w:tc>
          <w:tcPr>
            <w:tcW w:type="dxa" w:w="2800"/>
            <w:tcMar>
              <w:top w:type="dxa" w:w="80"/>
              <w:left w:type="dxa" w:w="120"/>
              <w:bottom w:type="dxa" w:w="80"/>
              <w:right w:type="dxa" w:w="120"/>
            </w:tcMar>
            <w:vAlign w:val="center"/>
          </w:tcPr>
          <w:p>
            <w:r>
              <w:rPr>
                <w:b w:val="false"/>
                <w:bCs w:val="false"/>
                <w:color w:val="222222"/>
                <w:sz w:val="19"/>
                <w:szCs w:val="19"/>
              </w:rPr>
              <w:t xml:space="preserve"/>
            </w:r>
          </w:p>
        </w:tc>
        <w:tc>
          <w:tcPr>
            <w:tcW w:type="dxa" w:w="3300"/>
            <w:tcMar>
              <w:top w:type="dxa" w:w="80"/>
              <w:left w:type="dxa" w:w="120"/>
              <w:bottom w:type="dxa" w:w="80"/>
              <w:right w:type="dxa" w:w="120"/>
            </w:tcMar>
            <w:vAlign w:val="center"/>
          </w:tcPr>
          <w:p>
            <w:r>
              <w:rPr>
                <w:b w:val="false"/>
                <w:bCs w:val="false"/>
                <w:color w:val="222222"/>
                <w:sz w:val="19"/>
                <w:szCs w:val="19"/>
              </w:rPr>
              <w:t xml:space="preserve"/>
            </w:r>
          </w:p>
        </w:tc>
      </w:tr>
      <w:tr>
        <w:tc>
          <w:tcPr>
            <w:tcW w:type="dxa" w:w="1600"/>
            <w:shd w:fill="EAF1F5" w:color="auto" w:val="clear"/>
            <w:tcMar>
              <w:top w:type="dxa" w:w="80"/>
              <w:left w:type="dxa" w:w="120"/>
              <w:bottom w:type="dxa" w:w="80"/>
              <w:right w:type="dxa" w:w="120"/>
            </w:tcMar>
            <w:vAlign w:val="center"/>
          </w:tcPr>
          <w:p>
            <w:r>
              <w:rPr>
                <w:b w:val="false"/>
                <w:bCs w:val="false"/>
                <w:color w:val="222222"/>
                <w:sz w:val="19"/>
                <w:szCs w:val="19"/>
              </w:rPr>
              <w:t xml:space="preserve">IRB Secretariat / Administrator</w:t>
            </w:r>
          </w:p>
        </w:tc>
        <w:tc>
          <w:tcPr>
            <w:tcW w:type="dxa" w:w="1800"/>
            <w:shd w:fill="EAF1F5" w:color="auto" w:val="clear"/>
            <w:tcMar>
              <w:top w:type="dxa" w:w="80"/>
              <w:left w:type="dxa" w:w="120"/>
              <w:bottom w:type="dxa" w:w="80"/>
              <w:right w:type="dxa" w:w="120"/>
            </w:tcMar>
            <w:vAlign w:val="center"/>
          </w:tcPr>
          <w:p>
            <w:r>
              <w:rPr>
                <w:b w:val="false"/>
                <w:bCs w:val="false"/>
                <w:color w:val="222222"/>
                <w:sz w:val="19"/>
                <w:szCs w:val="19"/>
              </w:rPr>
              <w:t xml:space="preserve"/>
            </w:r>
          </w:p>
        </w:tc>
        <w:tc>
          <w:tcPr>
            <w:tcW w:type="dxa" w:w="2800"/>
            <w:shd w:fill="EAF1F5" w:color="auto" w:val="clear"/>
            <w:tcMar>
              <w:top w:type="dxa" w:w="80"/>
              <w:left w:type="dxa" w:w="120"/>
              <w:bottom w:type="dxa" w:w="80"/>
              <w:right w:type="dxa" w:w="120"/>
            </w:tcMar>
            <w:vAlign w:val="center"/>
          </w:tcPr>
          <w:p>
            <w:r>
              <w:rPr>
                <w:b w:val="false"/>
                <w:bCs w:val="false"/>
                <w:color w:val="222222"/>
                <w:sz w:val="19"/>
                <w:szCs w:val="19"/>
              </w:rPr>
              <w:t xml:space="preserve"/>
            </w:r>
          </w:p>
        </w:tc>
        <w:tc>
          <w:tcPr>
            <w:tcW w:type="dxa" w:w="3300"/>
            <w:shd w:fill="EAF1F5" w:color="auto" w:val="clear"/>
            <w:tcMar>
              <w:top w:type="dxa" w:w="80"/>
              <w:left w:type="dxa" w:w="120"/>
              <w:bottom w:type="dxa" w:w="80"/>
              <w:right w:type="dxa" w:w="120"/>
            </w:tcMar>
            <w:vAlign w:val="center"/>
          </w:tcPr>
          <w:p>
            <w:r>
              <w:rPr>
                <w:b w:val="false"/>
                <w:bCs w:val="false"/>
                <w:color w:val="222222"/>
                <w:sz w:val="19"/>
                <w:szCs w:val="19"/>
              </w:rPr>
              <w:t xml:space="preserve"/>
            </w:r>
          </w:p>
        </w:tc>
      </w:tr>
      <w:tr>
        <w:tc>
          <w:tcPr>
            <w:tcW w:type="dxa" w:w="1600"/>
            <w:tcMar>
              <w:top w:type="dxa" w:w="80"/>
              <w:left w:type="dxa" w:w="120"/>
              <w:bottom w:type="dxa" w:w="80"/>
              <w:right w:type="dxa" w:w="120"/>
            </w:tcMar>
            <w:vAlign w:val="center"/>
          </w:tcPr>
          <w:p>
            <w:r>
              <w:rPr>
                <w:b w:val="false"/>
                <w:bCs w:val="false"/>
                <w:color w:val="222222"/>
                <w:sz w:val="19"/>
                <w:szCs w:val="19"/>
              </w:rPr>
              <w:t xml:space="preserve">Project Sponsor</w:t>
            </w:r>
          </w:p>
        </w:tc>
        <w:tc>
          <w:tcPr>
            <w:tcW w:type="dxa" w:w="1800"/>
            <w:tcMar>
              <w:top w:type="dxa" w:w="80"/>
              <w:left w:type="dxa" w:w="120"/>
              <w:bottom w:type="dxa" w:w="80"/>
              <w:right w:type="dxa" w:w="120"/>
            </w:tcMar>
            <w:vAlign w:val="center"/>
          </w:tcPr>
          <w:p>
            <w:r>
              <w:rPr>
                <w:b w:val="false"/>
                <w:bCs w:val="false"/>
                <w:color w:val="222222"/>
                <w:sz w:val="19"/>
                <w:szCs w:val="19"/>
              </w:rPr>
              <w:t xml:space="preserve"/>
            </w:r>
          </w:p>
        </w:tc>
        <w:tc>
          <w:tcPr>
            <w:tcW w:type="dxa" w:w="2800"/>
            <w:tcMar>
              <w:top w:type="dxa" w:w="80"/>
              <w:left w:type="dxa" w:w="120"/>
              <w:bottom w:type="dxa" w:w="80"/>
              <w:right w:type="dxa" w:w="120"/>
            </w:tcMar>
            <w:vAlign w:val="center"/>
          </w:tcPr>
          <w:p>
            <w:r>
              <w:rPr>
                <w:b w:val="false"/>
                <w:bCs w:val="false"/>
                <w:color w:val="222222"/>
                <w:sz w:val="19"/>
                <w:szCs w:val="19"/>
              </w:rPr>
              <w:t xml:space="preserve"/>
            </w:r>
          </w:p>
        </w:tc>
        <w:tc>
          <w:tcPr>
            <w:tcW w:type="dxa" w:w="3300"/>
            <w:tcMar>
              <w:top w:type="dxa" w:w="80"/>
              <w:left w:type="dxa" w:w="120"/>
              <w:bottom w:type="dxa" w:w="80"/>
              <w:right w:type="dxa" w:w="120"/>
            </w:tcMar>
            <w:vAlign w:val="center"/>
          </w:tcPr>
          <w:p>
            <w:r>
              <w:rPr>
                <w:b w:val="false"/>
                <w:bCs w:val="false"/>
                <w:color w:val="222222"/>
                <w:sz w:val="19"/>
                <w:szCs w:val="19"/>
              </w:rPr>
              <w:t xml:space="preserve"/>
            </w:r>
          </w:p>
        </w:tc>
      </w:tr>
      <w:tr>
        <w:tc>
          <w:tcPr>
            <w:tcW w:type="dxa" w:w="1600"/>
            <w:shd w:fill="EAF1F5" w:color="auto" w:val="clear"/>
            <w:tcMar>
              <w:top w:type="dxa" w:w="80"/>
              <w:left w:type="dxa" w:w="120"/>
              <w:bottom w:type="dxa" w:w="80"/>
              <w:right w:type="dxa" w:w="120"/>
            </w:tcMar>
            <w:vAlign w:val="center"/>
          </w:tcPr>
          <w:p>
            <w:r>
              <w:rPr>
                <w:b w:val="false"/>
                <w:bCs w:val="false"/>
                <w:color w:val="222222"/>
                <w:sz w:val="19"/>
                <w:szCs w:val="19"/>
              </w:rPr>
              <w:t xml:space="preserve">Lead Developer / Systems Analyst</w:t>
            </w:r>
          </w:p>
        </w:tc>
        <w:tc>
          <w:tcPr>
            <w:tcW w:type="dxa" w:w="1800"/>
            <w:shd w:fill="EAF1F5" w:color="auto" w:val="clear"/>
            <w:tcMar>
              <w:top w:type="dxa" w:w="80"/>
              <w:left w:type="dxa" w:w="120"/>
              <w:bottom w:type="dxa" w:w="80"/>
              <w:right w:type="dxa" w:w="120"/>
            </w:tcMar>
            <w:vAlign w:val="center"/>
          </w:tcPr>
          <w:p>
            <w:r>
              <w:rPr>
                <w:b w:val="false"/>
                <w:bCs w:val="false"/>
                <w:color w:val="222222"/>
                <w:sz w:val="19"/>
                <w:szCs w:val="19"/>
              </w:rPr>
              <w:t xml:space="preserve"/>
            </w:r>
          </w:p>
        </w:tc>
        <w:tc>
          <w:tcPr>
            <w:tcW w:type="dxa" w:w="2800"/>
            <w:shd w:fill="EAF1F5" w:color="auto" w:val="clear"/>
            <w:tcMar>
              <w:top w:type="dxa" w:w="80"/>
              <w:left w:type="dxa" w:w="120"/>
              <w:bottom w:type="dxa" w:w="80"/>
              <w:right w:type="dxa" w:w="120"/>
            </w:tcMar>
            <w:vAlign w:val="center"/>
          </w:tcPr>
          <w:p>
            <w:r>
              <w:rPr>
                <w:b w:val="false"/>
                <w:bCs w:val="false"/>
                <w:color w:val="222222"/>
                <w:sz w:val="19"/>
                <w:szCs w:val="19"/>
              </w:rPr>
              <w:t xml:space="preserve"/>
            </w:r>
          </w:p>
        </w:tc>
        <w:tc>
          <w:tcPr>
            <w:tcW w:type="dxa" w:w="3300"/>
            <w:shd w:fill="EAF1F5" w:color="auto" w:val="clear"/>
            <w:tcMar>
              <w:top w:type="dxa" w:w="80"/>
              <w:left w:type="dxa" w:w="120"/>
              <w:bottom w:type="dxa" w:w="80"/>
              <w:right w:type="dxa" w:w="120"/>
            </w:tcMar>
            <w:vAlign w:val="center"/>
          </w:tcPr>
          <w:p>
            <w:r>
              <w:rPr>
                <w:b w:val="false"/>
                <w:bCs w:val="false"/>
                <w:color w:val="222222"/>
                <w:sz w:val="19"/>
                <w:szCs w:val="19"/>
              </w:rPr>
              <w:t xml:space="preserve"/>
            </w:r>
          </w:p>
        </w:tc>
      </w:tr>
    </w:tbl>
    <w:p>
      <w:r>
        <w:br w:type="page"/>
      </w:r>
    </w:p>
    <w:p>
      <w:pPr>
        <w:pStyle w:val="Heading1"/>
        <w:pBdr>
          <w:bottom w:val="single" w:color="1B3A53" w:sz="8" w:space="4"/>
        </w:pBdr>
        <w:spacing w:after="240" w:before="480"/>
      </w:pPr>
      <w:r>
        <w:rPr>
          <w:b/>
          <w:bCs/>
          <w:color w:val="1B3A53"/>
          <w:sz w:val="30"/>
          <w:szCs w:val="30"/>
        </w:rPr>
        <w:t xml:space="preserve">Table of Contents</w:t>
      </w:r>
    </w:p>
    <w:p>
      <w:pPr>
        <w:spacing w:after="160" w:line="276"/>
        <w:jc w:val="both"/>
      </w:pPr>
      <w:r>
        <w:rPr>
          <w:i/>
          <w:iCs/>
          <w:color w:val="222222"/>
          <w:sz w:val="21"/>
          <w:szCs w:val="21"/>
        </w:rPr>
        <w:t xml:space="preserve">Right-click anywhere in the table below and choose “Update Field” (or press F9) to populate page numbers, then Ctrl+Click any entry to jump straight to that section.</w:t>
      </w:r>
    </w:p>
    <w:sdt>
      <w:sdtPr>
        <w:alias w:val="Table of Contents"/>
      </w:sdtPr>
      <w:sdtContent>
        <w:p>
          <w:r>
            <w:fldChar w:fldCharType="begin" w:dirty="true"/>
            <w:instrText xml:space="preserve">TOC \h \o "1-3"</w:instrText>
            <w:fldChar w:fldCharType="separate"/>
          </w:r>
        </w:p>
        <w:p>
          <w:r>
            <w:fldChar w:fldCharType="end"/>
          </w:r>
        </w:p>
      </w:sdtContent>
    </w:sdt>
    <w:p>
      <w:pPr>
        <w:spacing w:before="300"/>
      </w:pPr>
    </w:p>
    <w:p>
      <w:pPr>
        <w:pStyle w:val="Heading2"/>
        <w:spacing w:after="160" w:before="320"/>
      </w:pPr>
      <w:r>
        <w:rPr>
          <w:b/>
          <w:bCs/>
          <w:color w:val="2E5266"/>
          <w:sz w:val="24"/>
          <w:szCs w:val="24"/>
        </w:rPr>
        <w:t xml:space="preserve">Quick Links — Appendices</w:t>
      </w:r>
    </w:p>
    <w:p>
      <w:pPr>
        <w:spacing w:after="160" w:line="276"/>
        <w:jc w:val="both"/>
      </w:pPr>
      <w:hyperlink w:history="1" w:anchor="appA">
        <w:r>
          <w:rPr>
            <w:color w:val="1155CC"/>
            <w:sz w:val="21"/>
            <w:szCs w:val="21"/>
            <w:u w:val="single"/>
          </w:rPr>
          <w:t xml:space="preserve">Appendix A</w:t>
        </w:r>
      </w:hyperlink>
      <w:r>
        <w:rPr>
          <w:color w:val="222222"/>
          <w:sz w:val="21"/>
          <w:szCs w:val="21"/>
        </w:rPr>
        <w:t xml:space="preserve">  ·  </w:t>
      </w:r>
      <w:hyperlink w:history="1" w:anchor="appB">
        <w:r>
          <w:rPr>
            <w:color w:val="1155CC"/>
            <w:sz w:val="21"/>
            <w:szCs w:val="21"/>
            <w:u w:val="single"/>
          </w:rPr>
          <w:t xml:space="preserve">Appendix B</w:t>
        </w:r>
      </w:hyperlink>
      <w:r>
        <w:rPr>
          <w:color w:val="222222"/>
          <w:sz w:val="21"/>
          <w:szCs w:val="21"/>
        </w:rPr>
        <w:t xml:space="preserve">  ·  </w:t>
      </w:r>
      <w:hyperlink w:history="1" w:anchor="appC">
        <w:r>
          <w:rPr>
            <w:color w:val="1155CC"/>
            <w:sz w:val="21"/>
            <w:szCs w:val="21"/>
            <w:u w:val="single"/>
          </w:rPr>
          <w:t xml:space="preserve">Appendix C</w:t>
        </w:r>
      </w:hyperlink>
      <w:r>
        <w:rPr>
          <w:color w:val="222222"/>
          <w:sz w:val="21"/>
          <w:szCs w:val="21"/>
        </w:rPr>
        <w:t xml:space="preserve">  ·  </w:t>
      </w:r>
      <w:hyperlink w:history="1" w:anchor="appD">
        <w:r>
          <w:rPr>
            <w:color w:val="1155CC"/>
            <w:sz w:val="21"/>
            <w:szCs w:val="21"/>
            <w:u w:val="single"/>
          </w:rPr>
          <w:t xml:space="preserve">Appendix D</w:t>
        </w:r>
      </w:hyperlink>
      <w:r>
        <w:rPr>
          <w:color w:val="222222"/>
          <w:sz w:val="21"/>
          <w:szCs w:val="21"/>
        </w:rPr>
        <w:t xml:space="preserve">  ·  </w:t>
      </w:r>
      <w:hyperlink w:history="1" w:anchor="appE">
        <w:r>
          <w:rPr>
            <w:color w:val="1155CC"/>
            <w:sz w:val="21"/>
            <w:szCs w:val="21"/>
            <w:u w:val="single"/>
          </w:rPr>
          <w:t xml:space="preserve">Appendix E</w:t>
        </w:r>
      </w:hyperlink>
      <w:r>
        <w:rPr>
          <w:color w:val="222222"/>
          <w:sz w:val="21"/>
          <w:szCs w:val="21"/>
        </w:rPr>
        <w:t xml:space="preserve">  ·  </w:t>
      </w:r>
      <w:hyperlink w:history="1" w:anchor="appF">
        <w:r>
          <w:rPr>
            <w:color w:val="1155CC"/>
            <w:sz w:val="21"/>
            <w:szCs w:val="21"/>
            <w:u w:val="single"/>
          </w:rPr>
          <w:t xml:space="preserve">Appendix F</w:t>
        </w:r>
      </w:hyperlink>
      <w:r>
        <w:rPr>
          <w:color w:val="222222"/>
          <w:sz w:val="21"/>
          <w:szCs w:val="21"/>
        </w:rPr>
        <w:t xml:space="preserve">  ·  </w:t>
      </w:r>
      <w:hyperlink w:history="1" w:anchor="appG">
        <w:r>
          <w:rPr>
            <w:color w:val="1155CC"/>
            <w:sz w:val="21"/>
            <w:szCs w:val="21"/>
            <w:u w:val="single"/>
          </w:rPr>
          <w:t xml:space="preserve">Appendix G</w:t>
        </w:r>
      </w:hyperlink>
      <w:r>
        <w:rPr>
          <w:color w:val="222222"/>
          <w:sz w:val="21"/>
          <w:szCs w:val="21"/>
        </w:rPr>
        <w:t xml:space="preserve">  ·  </w:t>
      </w:r>
      <w:hyperlink w:history="1" w:anchor="appH">
        <w:r>
          <w:rPr>
            <w:color w:val="1155CC"/>
            <w:sz w:val="21"/>
            <w:szCs w:val="21"/>
            <w:u w:val="single"/>
          </w:rPr>
          <w:t xml:space="preserve">Appendix H</w:t>
        </w:r>
      </w:hyperlink>
      <w:r>
        <w:rPr>
          <w:color w:val="222222"/>
          <w:sz w:val="21"/>
          <w:szCs w:val="21"/>
        </w:rPr>
        <w:t xml:space="preserve">  ·  </w:t>
      </w:r>
      <w:hyperlink w:history="1" w:anchor="appI">
        <w:r>
          <w:rPr>
            <w:color w:val="1155CC"/>
            <w:sz w:val="21"/>
            <w:szCs w:val="21"/>
            <w:u w:val="single"/>
          </w:rPr>
          <w:t xml:space="preserve">Appendix I</w:t>
        </w:r>
      </w:hyperlink>
    </w:p>
    <w:p>
      <w:r>
        <w:br w:type="page"/>
      </w:r>
    </w:p>
    <w:p>
      <w:pPr>
        <w:pStyle w:val="Heading1"/>
        <w:pBdr>
          <w:bottom w:val="single" w:color="1B3A53" w:sz="8" w:space="4"/>
        </w:pBdr>
        <w:spacing w:after="240" w:before="480"/>
      </w:pPr>
      <w:r>
        <w:rPr>
          <w:b/>
          <w:bCs/>
          <w:color w:val="1B3A53"/>
          <w:sz w:val="30"/>
          <w:szCs w:val="30"/>
        </w:rPr>
        <w:t xml:space="preserve">Abstract / Executive Summary</w:t>
      </w:r>
    </w:p>
    <w:p>
      <w:pPr>
        <w:spacing w:after="160" w:line="276"/>
        <w:jc w:val="both"/>
      </w:pPr>
      <w:r>
        <w:rPr>
          <w:i w:val="false"/>
          <w:iCs w:val="false"/>
          <w:color w:val="222222"/>
          <w:sz w:val="21"/>
          <w:szCs w:val="21"/>
        </w:rPr>
        <w:t xml:space="preserve">The Asrat Woldeyes Health Science Campus Institutional Review Board (AWHSC-IRB) operates under an approved Standard Operating Procedure (SOP) that governs the full lifecycle of research ethics review — from protocol submission and review through continuing review, amendments, safety reporting, monitoring, meetings, records management, confidentiality, and auditing. These activities are currently coordinated through document-based and largely manual processes that place a growing administrative burden on the Secretariat, reviewers, and Committee as the volume and complexity of submissions increases.</w:t>
      </w:r>
    </w:p>
    <w:p>
      <w:pPr>
        <w:spacing w:after="160" w:line="276"/>
        <w:jc w:val="both"/>
      </w:pPr>
      <w:r>
        <w:rPr>
          <w:i w:val="false"/>
          <w:iCs w:val="false"/>
          <w:color w:val="222222"/>
          <w:sz w:val="21"/>
          <w:szCs w:val="21"/>
        </w:rPr>
        <w:t xml:space="preserve">This proposal recommends the design and development of the AWHSC-IRB Management Information System (AWHSC-IRB MIS): a secure, centralized, web-based platform that digitally represents the institution's approved SOP as a structured, workflow-driven system. Rather than being conceived as a generic document-management tool, the system is derived directly from the SOP's defined procedures, responsibilities, and records requirements, which gives the proposal a defensible, source-derived foundation rather than an assumed one.</w:t>
      </w:r>
    </w:p>
    <w:p>
      <w:pPr>
        <w:spacing w:after="160" w:line="276"/>
        <w:jc w:val="both"/>
      </w:pPr>
      <w:r>
        <w:rPr>
          <w:i w:val="false"/>
          <w:iCs w:val="false"/>
          <w:color w:val="222222"/>
          <w:sz w:val="21"/>
          <w:szCs w:val="21"/>
        </w:rPr>
        <w:t xml:space="preserve">The proposed system is organized into ten functional modules covering user and access management, research and protocol management, protocol review, continuing review and final reports, amendments, safety and adverse-event reporting, monitoring, meetings and communication, study files and archiving, and audit/inspection. It will be built using a UML-driven, iterative software engineering methodology that carries requirements from SOP analysis through use-case and workflow modeling, architecture and database design, implementation, testing, and deployment.</w:t>
      </w:r>
    </w:p>
    <w:p>
      <w:pPr>
        <w:spacing w:after="160" w:line="276"/>
        <w:jc w:val="both"/>
      </w:pPr>
      <w:r>
        <w:rPr>
          <w:i w:val="false"/>
          <w:iCs w:val="false"/>
          <w:color w:val="222222"/>
          <w:sz w:val="21"/>
          <w:szCs w:val="21"/>
        </w:rPr>
        <w:t xml:space="preserve">Key deliverables include a full software requirements specification, a complete UML analysis and design package, a layered system architecture with role-based access control and audit logging, a relational database and REST API, and a tested, deployable web application together with user documentation. The project's central and most defensible artifact is a SOP-to-Requirement-to-System traceability matrix that demonstrates, module by module, how each SOP procedure is realized in the software design.</w:t>
      </w:r>
    </w:p>
    <w:p>
      <w:pPr>
        <w:spacing w:after="160" w:line="276"/>
        <w:jc w:val="both"/>
      </w:pPr>
      <w:r>
        <w:rPr>
          <w:i w:val="false"/>
          <w:iCs w:val="false"/>
          <w:color w:val="222222"/>
          <w:sz w:val="21"/>
          <w:szCs w:val="21"/>
        </w:rPr>
        <w:t xml:space="preserve">Upon completion, the AWHSC-IRB MIS is expected to provide a single, secure, and auditable environment for managing research submissions, ethical review, committee decision-making, study monitoring, safety reporting, records management, confidentiality, and institutional oversight — improving traceability, turnaround time, and compliance across the entire IRB review lifecycle.</w:t>
      </w:r>
    </w:p>
    <w:p>
      <w:r>
        <w:br w:type="page"/>
      </w:r>
    </w:p>
    <w:p>
      <w:pPr>
        <w:pStyle w:val="Heading1"/>
        <w:pBdr>
          <w:bottom w:val="single" w:color="1B3A53" w:sz="8" w:space="4"/>
        </w:pBdr>
        <w:spacing w:after="240" w:before="480"/>
      </w:pPr>
      <w:r>
        <w:rPr>
          <w:b/>
          <w:bCs/>
          <w:color w:val="1B3A53"/>
          <w:sz w:val="30"/>
          <w:szCs w:val="30"/>
        </w:rPr>
        <w:t xml:space="preserve">Chapter One: Introduction</w:t>
      </w:r>
    </w:p>
    <w:p>
      <w:pPr>
        <w:pStyle w:val="Heading2"/>
        <w:spacing w:after="160" w:before="320"/>
      </w:pPr>
      <w:r>
        <w:rPr>
          <w:b/>
          <w:bCs/>
          <w:color w:val="2E5266"/>
          <w:sz w:val="24"/>
          <w:szCs w:val="24"/>
        </w:rPr>
        <w:t xml:space="preserve">1.1 Background</w:t>
      </w:r>
    </w:p>
    <w:p>
      <w:pPr>
        <w:spacing w:after="160" w:line="276"/>
        <w:jc w:val="both"/>
      </w:pPr>
      <w:r>
        <w:rPr>
          <w:i w:val="false"/>
          <w:iCs w:val="false"/>
          <w:color w:val="222222"/>
          <w:sz w:val="21"/>
          <w:szCs w:val="21"/>
        </w:rPr>
        <w:t xml:space="preserve">The AWHSC-IRB is governed by an approved Standard Operating Procedure (the “AWHSC-IRB SOP”) that defines the purpose, scope, responsibilities, flow charts, detailed instructions, records, confidentiality requirements, and annexes for all IRB activities. The SOP establishes procedures covering, among others: protocol review, resubmitted protocol review, continuing review, final report review, protocol implementation monitoring, non-compliance and violation intervention, research-participant requests, study termination, safety and adverse-event reporting, site monitoring, review meeting agendas and minutes, emergency meetings, communication records, active study files, archive and retrieval, confidentiality, and auditing and inspection.</w:t>
      </w:r>
    </w:p>
    <w:p>
      <w:pPr>
        <w:spacing w:after="160" w:line="276"/>
        <w:jc w:val="both"/>
      </w:pPr>
      <w:r>
        <w:rPr>
          <w:i w:val="false"/>
          <w:iCs w:val="false"/>
          <w:color w:val="222222"/>
          <w:sz w:val="21"/>
          <w:szCs w:val="21"/>
        </w:rPr>
        <w:t xml:space="preserve">This breadth of coverage means that the AWHSC-IRB is not merely a review committee but the custodian of a complete research-oversight lifecycle, generating and depending on large volumes of interrelated records, decisions, and deadlines. As submission volumes grow, sustaining this lifecycle through manual, document-based coordination becomes increasingly demanding on staff time and increases the risk of inconsistency between related activities.</w:t>
      </w:r>
    </w:p>
    <w:p>
      <w:pPr>
        <w:pStyle w:val="Heading2"/>
        <w:spacing w:after="160" w:before="320"/>
      </w:pPr>
      <w:r>
        <w:rPr>
          <w:b/>
          <w:bCs/>
          <w:color w:val="2E5266"/>
          <w:sz w:val="24"/>
          <w:szCs w:val="24"/>
        </w:rPr>
        <w:t xml:space="preserve">1.2 Problem Statement</w:t>
      </w:r>
    </w:p>
    <w:p>
      <w:pPr>
        <w:spacing w:after="160" w:line="276"/>
        <w:jc w:val="both"/>
      </w:pPr>
      <w:r>
        <w:rPr>
          <w:i w:val="false"/>
          <w:iCs w:val="false"/>
          <w:color w:val="222222"/>
          <w:sz w:val="21"/>
          <w:szCs w:val="21"/>
        </w:rPr>
        <w:t xml:space="preserve">The AWHSC-IRB has established procedures covering a broad range of research ethics activities, including protocol review, continuing review, amendments, safety reporting, monitoring, meetings, communication, study-file management, confidentiality, and auditing. Managing these interconnected activities requires systematic coordination of information, documents, responsibilities, decisions, deadlines, and historical records. The absence of an integrated information-management platform can make it difficult to provide a unified view of the complete research review lifecycle and to maintain consistent traceability across related activities.</w:t>
      </w:r>
    </w:p>
    <w:p>
      <w:pPr>
        <w:spacing w:after="160" w:line="276"/>
        <w:jc w:val="both"/>
      </w:pPr>
      <w:r>
        <w:rPr>
          <w:i w:val="false"/>
          <w:iCs w:val="false"/>
          <w:color w:val="222222"/>
          <w:sz w:val="21"/>
          <w:szCs w:val="21"/>
        </w:rPr>
        <w:t xml:space="preserve">The SOP itself illustrates the scale of this coordination requirement: it specifically requires that active study files be created, maintained, distributed, and kept secure while remaining readily retrievable when needed. Meeting the intent of this and related requirements consistently, across every open study and every reviewer, is difficult to guarantee without a centralized system of record.</w:t>
      </w:r>
    </w:p>
    <w:p>
      <w:pPr>
        <w:pStyle w:val="Heading2"/>
        <w:spacing w:after="160" w:before="320"/>
      </w:pPr>
      <w:r>
        <w:rPr>
          <w:b/>
          <w:bCs/>
          <w:color w:val="2E5266"/>
          <w:sz w:val="24"/>
          <w:szCs w:val="24"/>
        </w:rPr>
        <w:t xml:space="preserve">1.3 General Objective</w:t>
      </w:r>
    </w:p>
    <w:p>
      <w:pPr>
        <w:spacing w:after="160" w:line="276"/>
        <w:jc w:val="both"/>
      </w:pPr>
      <w:r>
        <w:rPr>
          <w:i w:val="false"/>
          <w:iCs w:val="false"/>
          <w:color w:val="222222"/>
          <w:sz w:val="21"/>
          <w:szCs w:val="21"/>
        </w:rPr>
        <w:t xml:space="preserve">To design and develop a secure, centralized, and workflow-based Institutional Review Board Management Information System that supports the AWHSC-IRB's research ethics review, study monitoring, records management, and oversight activities in accordance with its approved Standard Operating Procedures.</w:t>
      </w:r>
    </w:p>
    <w:p>
      <w:pPr>
        <w:pStyle w:val="Heading2"/>
        <w:spacing w:after="160" w:before="320"/>
      </w:pPr>
      <w:r>
        <w:rPr>
          <w:b/>
          <w:bCs/>
          <w:color w:val="2E5266"/>
          <w:sz w:val="24"/>
          <w:szCs w:val="24"/>
        </w:rPr>
        <w:t xml:space="preserve">1.4 Specific Objectives</w:t>
      </w:r>
    </w:p>
    <w:p>
      <w:pPr>
        <w:pStyle w:val="ListParagraph"/>
        <w:numPr>
          <w:ilvl w:val="0"/>
          <w:numId w:val="2"/>
        </w:numPr>
        <w:spacing w:after="90" w:line="268"/>
      </w:pPr>
      <w:r>
        <w:rPr>
          <w:color w:val="222222"/>
          <w:sz w:val="21"/>
          <w:szCs w:val="21"/>
        </w:rPr>
        <w:t xml:space="preserve">Analyze the existing AWHSC-IRB SOPs and translate applicable procedures into system requirements.</w:t>
      </w:r>
    </w:p>
    <w:p>
      <w:pPr>
        <w:pStyle w:val="ListParagraph"/>
        <w:numPr>
          <w:ilvl w:val="0"/>
          <w:numId w:val="2"/>
        </w:numPr>
        <w:spacing w:after="90" w:line="268"/>
      </w:pPr>
      <w:r>
        <w:rPr>
          <w:color w:val="222222"/>
          <w:sz w:val="21"/>
          <w:szCs w:val="21"/>
        </w:rPr>
        <w:t xml:space="preserve">Design a centralized system for managing research protocols and submissions.</w:t>
      </w:r>
    </w:p>
    <w:p>
      <w:pPr>
        <w:pStyle w:val="ListParagraph"/>
        <w:numPr>
          <w:ilvl w:val="0"/>
          <w:numId w:val="2"/>
        </w:numPr>
        <w:spacing w:after="90" w:line="268"/>
      </w:pPr>
      <w:r>
        <w:rPr>
          <w:color w:val="222222"/>
          <w:sz w:val="21"/>
          <w:szCs w:val="21"/>
        </w:rPr>
        <w:t xml:space="preserve">Support protocol review and resubmission workflows.</w:t>
      </w:r>
    </w:p>
    <w:p>
      <w:pPr>
        <w:pStyle w:val="ListParagraph"/>
        <w:numPr>
          <w:ilvl w:val="0"/>
          <w:numId w:val="2"/>
        </w:numPr>
        <w:spacing w:after="90" w:line="268"/>
      </w:pPr>
      <w:r>
        <w:rPr>
          <w:color w:val="222222"/>
          <w:sz w:val="21"/>
          <w:szCs w:val="21"/>
        </w:rPr>
        <w:t xml:space="preserve">Support continuing review and final-report processes.</w:t>
      </w:r>
    </w:p>
    <w:p>
      <w:pPr>
        <w:pStyle w:val="ListParagraph"/>
        <w:numPr>
          <w:ilvl w:val="0"/>
          <w:numId w:val="2"/>
        </w:numPr>
        <w:spacing w:after="90" w:line="268"/>
      </w:pPr>
      <w:r>
        <w:rPr>
          <w:color w:val="222222"/>
          <w:sz w:val="21"/>
          <w:szCs w:val="21"/>
        </w:rPr>
        <w:t xml:space="preserve">Manage protocol amendments and related committee decisions.</w:t>
      </w:r>
    </w:p>
    <w:p>
      <w:pPr>
        <w:pStyle w:val="ListParagraph"/>
        <w:numPr>
          <w:ilvl w:val="0"/>
          <w:numId w:val="2"/>
        </w:numPr>
        <w:spacing w:after="90" w:line="268"/>
      </w:pPr>
      <w:r>
        <w:rPr>
          <w:color w:val="222222"/>
          <w:sz w:val="21"/>
          <w:szCs w:val="21"/>
        </w:rPr>
        <w:t xml:space="preserve">Support reviewer assignment and review activities.</w:t>
      </w:r>
    </w:p>
    <w:p>
      <w:pPr>
        <w:pStyle w:val="ListParagraph"/>
        <w:numPr>
          <w:ilvl w:val="0"/>
          <w:numId w:val="2"/>
        </w:numPr>
        <w:spacing w:after="90" w:line="268"/>
      </w:pPr>
      <w:r>
        <w:rPr>
          <w:color w:val="222222"/>
          <w:sz w:val="21"/>
          <w:szCs w:val="21"/>
        </w:rPr>
        <w:t xml:space="preserve">Manage IRB meetings, agendas, minutes, attendance, and decisions.</w:t>
      </w:r>
    </w:p>
    <w:p>
      <w:pPr>
        <w:pStyle w:val="ListParagraph"/>
        <w:numPr>
          <w:ilvl w:val="0"/>
          <w:numId w:val="2"/>
        </w:numPr>
        <w:spacing w:after="90" w:line="268"/>
      </w:pPr>
      <w:r>
        <w:rPr>
          <w:color w:val="222222"/>
          <w:sz w:val="21"/>
          <w:szCs w:val="21"/>
        </w:rPr>
        <w:t xml:space="preserve">Support safety and adverse-event reporting.</w:t>
      </w:r>
    </w:p>
    <w:p>
      <w:pPr>
        <w:pStyle w:val="ListParagraph"/>
        <w:numPr>
          <w:ilvl w:val="0"/>
          <w:numId w:val="2"/>
        </w:numPr>
        <w:spacing w:after="90" w:line="268"/>
      </w:pPr>
      <w:r>
        <w:rPr>
          <w:color w:val="222222"/>
          <w:sz w:val="21"/>
          <w:szCs w:val="21"/>
        </w:rPr>
        <w:t xml:space="preserve">Support monitoring and non-compliance management.</w:t>
      </w:r>
    </w:p>
    <w:p>
      <w:pPr>
        <w:pStyle w:val="ListParagraph"/>
        <w:numPr>
          <w:ilvl w:val="0"/>
          <w:numId w:val="2"/>
        </w:numPr>
        <w:spacing w:after="90" w:line="268"/>
      </w:pPr>
      <w:r>
        <w:rPr>
          <w:color w:val="222222"/>
          <w:sz w:val="21"/>
          <w:szCs w:val="21"/>
        </w:rPr>
        <w:t xml:space="preserve">Manage communication records between the IRB and investigators.</w:t>
      </w:r>
    </w:p>
    <w:p>
      <w:pPr>
        <w:pStyle w:val="ListParagraph"/>
        <w:numPr>
          <w:ilvl w:val="0"/>
          <w:numId w:val="2"/>
        </w:numPr>
        <w:spacing w:after="90" w:line="268"/>
      </w:pPr>
      <w:r>
        <w:rPr>
          <w:color w:val="222222"/>
          <w:sz w:val="21"/>
          <w:szCs w:val="21"/>
        </w:rPr>
        <w:t xml:space="preserve">Maintain active study files and archived records.</w:t>
      </w:r>
    </w:p>
    <w:p>
      <w:pPr>
        <w:pStyle w:val="ListParagraph"/>
        <w:numPr>
          <w:ilvl w:val="0"/>
          <w:numId w:val="2"/>
        </w:numPr>
        <w:spacing w:after="90" w:line="268"/>
      </w:pPr>
      <w:r>
        <w:rPr>
          <w:color w:val="222222"/>
          <w:sz w:val="21"/>
          <w:szCs w:val="21"/>
        </w:rPr>
        <w:t xml:space="preserve">Enforce confidentiality and role-based access control.</w:t>
      </w:r>
    </w:p>
    <w:p>
      <w:pPr>
        <w:pStyle w:val="ListParagraph"/>
        <w:numPr>
          <w:ilvl w:val="0"/>
          <w:numId w:val="2"/>
        </w:numPr>
        <w:spacing w:after="90" w:line="268"/>
      </w:pPr>
      <w:r>
        <w:rPr>
          <w:color w:val="222222"/>
          <w:sz w:val="21"/>
          <w:szCs w:val="21"/>
        </w:rPr>
        <w:t xml:space="preserve">Maintain audit trails for significant system activities.</w:t>
      </w:r>
    </w:p>
    <w:p>
      <w:pPr>
        <w:pStyle w:val="ListParagraph"/>
        <w:numPr>
          <w:ilvl w:val="0"/>
          <w:numId w:val="2"/>
        </w:numPr>
        <w:spacing w:after="90" w:line="268"/>
      </w:pPr>
      <w:r>
        <w:rPr>
          <w:color w:val="222222"/>
          <w:sz w:val="21"/>
          <w:szCs w:val="21"/>
        </w:rPr>
        <w:t xml:space="preserve">Provide reporting and information-retrieval capabilities.</w:t>
      </w:r>
    </w:p>
    <w:p>
      <w:pPr>
        <w:pStyle w:val="ListParagraph"/>
        <w:numPr>
          <w:ilvl w:val="0"/>
          <w:numId w:val="2"/>
        </w:numPr>
        <w:spacing w:after="90" w:line="268"/>
      </w:pPr>
      <w:r>
        <w:rPr>
          <w:color w:val="222222"/>
          <w:sz w:val="21"/>
          <w:szCs w:val="21"/>
        </w:rPr>
        <w:t xml:space="preserve">Develop a maintainable, UML-based software architecture that can be extended in future phases.</w:t>
      </w:r>
    </w:p>
    <w:p>
      <w:pPr>
        <w:pStyle w:val="Heading2"/>
        <w:spacing w:after="160" w:before="320"/>
      </w:pPr>
      <w:r>
        <w:rPr>
          <w:b/>
          <w:bCs/>
          <w:color w:val="2E5266"/>
          <w:sz w:val="24"/>
          <w:szCs w:val="24"/>
        </w:rPr>
        <w:t xml:space="preserve">1.5 Scope</w:t>
      </w:r>
    </w:p>
    <w:p>
      <w:pPr>
        <w:spacing w:after="160" w:line="276"/>
        <w:jc w:val="both"/>
      </w:pPr>
      <w:r>
        <w:rPr>
          <w:color w:val="222222"/>
          <w:sz w:val="21"/>
          <w:szCs w:val="21"/>
        </w:rPr>
        <w:t xml:space="preserve">The system scope is organized into ten functional modules, described fully in </w:t>
      </w:r>
      <w:hyperlink w:history="1" w:anchor="sec24">
        <w:r>
          <w:rPr>
            <w:color w:val="1155CC"/>
            <w:sz w:val="21"/>
            <w:szCs w:val="21"/>
            <w:u w:val="single"/>
          </w:rPr>
          <w:t xml:space="preserve">Section 2.4</w:t>
        </w:r>
      </w:hyperlink>
      <w:r>
        <w:rPr>
          <w:color w:val="222222"/>
          <w:sz w:val="21"/>
          <w:szCs w:val="21"/>
        </w:rPr>
        <w:t xml:space="preserve">. In summary, these cover: user and access management; research and protocol management; protocol review; continuing review and final reports; protocol amendments; safety and adverse events; monitoring; meetings and communication; study files and archive; and audit and inspection.</w:t>
      </w:r>
    </w:p>
    <w:p>
      <w:pPr>
        <w:spacing w:after="160" w:line="276"/>
        <w:jc w:val="both"/>
      </w:pPr>
      <w:r>
        <w:rPr>
          <w:i w:val="false"/>
          <w:iCs w:val="false"/>
          <w:color w:val="222222"/>
          <w:sz w:val="21"/>
          <w:szCs w:val="21"/>
        </w:rPr>
        <w:t xml:space="preserve">The scope of this proposal includes requirements analysis, UML-based design, architecture, database and API design, implementation of a web-based application, and testing through to deployment. It excludes procurement of institutional hardware/hosting infrastructure and change-management activities outside the software project itself, both of which are noted under limitations below.</w:t>
      </w:r>
    </w:p>
    <w:p>
      <w:pPr>
        <w:pStyle w:val="Heading2"/>
        <w:spacing w:after="160" w:before="320"/>
      </w:pPr>
      <w:r>
        <w:rPr>
          <w:b/>
          <w:bCs/>
          <w:color w:val="2E5266"/>
          <w:sz w:val="24"/>
          <w:szCs w:val="24"/>
        </w:rPr>
        <w:t xml:space="preserve">1.6 Significance</w:t>
      </w:r>
    </w:p>
    <w:p>
      <w:pPr>
        <w:pStyle w:val="ListParagraph"/>
        <w:numPr>
          <w:ilvl w:val="0"/>
          <w:numId w:val="3"/>
        </w:numPr>
        <w:spacing w:after="90" w:line="268"/>
      </w:pPr>
      <w:r>
        <w:rPr>
          <w:color w:val="222222"/>
          <w:sz w:val="21"/>
          <w:szCs w:val="21"/>
        </w:rPr>
        <w:t xml:space="preserve">Provides the AWHSC-IRB with a single, authoritative system of record for the entire research-review lifecycle.</w:t>
      </w:r>
    </w:p>
    <w:p>
      <w:pPr>
        <w:pStyle w:val="ListParagraph"/>
        <w:numPr>
          <w:ilvl w:val="0"/>
          <w:numId w:val="3"/>
        </w:numPr>
        <w:spacing w:after="90" w:line="268"/>
      </w:pPr>
      <w:r>
        <w:rPr>
          <w:color w:val="222222"/>
          <w:sz w:val="21"/>
          <w:szCs w:val="21"/>
        </w:rPr>
        <w:t xml:space="preserve">Improves consistency and traceability between related activities — e.g., linking an amendment, a continuing review, and a safety report to the same protocol history.</w:t>
      </w:r>
    </w:p>
    <w:p>
      <w:pPr>
        <w:pStyle w:val="ListParagraph"/>
        <w:numPr>
          <w:ilvl w:val="0"/>
          <w:numId w:val="3"/>
        </w:numPr>
        <w:spacing w:after="90" w:line="268"/>
      </w:pPr>
      <w:r>
        <w:rPr>
          <w:color w:val="222222"/>
          <w:sz w:val="21"/>
          <w:szCs w:val="21"/>
        </w:rPr>
        <w:t xml:space="preserve">Strengthens institutional compliance posture through role-based access, confidentiality controls, and comprehensive audit trails.</w:t>
      </w:r>
    </w:p>
    <w:p>
      <w:pPr>
        <w:pStyle w:val="ListParagraph"/>
        <w:numPr>
          <w:ilvl w:val="0"/>
          <w:numId w:val="3"/>
        </w:numPr>
        <w:spacing w:after="90" w:line="268"/>
      </w:pPr>
      <w:r>
        <w:rPr>
          <w:color w:val="222222"/>
          <w:sz w:val="21"/>
          <w:szCs w:val="21"/>
        </w:rPr>
        <w:t xml:space="preserve">Reduces administrative overhead on the Secretariat and reviewers by automating routine coordination and record-keeping tasks.</w:t>
      </w:r>
    </w:p>
    <w:p>
      <w:pPr>
        <w:pStyle w:val="ListParagraph"/>
        <w:numPr>
          <w:ilvl w:val="0"/>
          <w:numId w:val="3"/>
        </w:numPr>
        <w:spacing w:after="90" w:line="268"/>
      </w:pPr>
      <w:r>
        <w:rPr>
          <w:color w:val="222222"/>
          <w:sz w:val="21"/>
          <w:szCs w:val="21"/>
        </w:rPr>
        <w:t xml:space="preserve">Establishes a defensible, SOP-derived software design that can be validated against the institution's own governing procedures.</w:t>
      </w:r>
    </w:p>
    <w:p>
      <w:pPr>
        <w:pStyle w:val="ListParagraph"/>
        <w:numPr>
          <w:ilvl w:val="0"/>
          <w:numId w:val="3"/>
        </w:numPr>
        <w:spacing w:after="90" w:line="268"/>
      </w:pPr>
      <w:r>
        <w:rPr>
          <w:color w:val="222222"/>
          <w:sz w:val="21"/>
          <w:szCs w:val="21"/>
        </w:rPr>
        <w:t xml:space="preserve">Creates a maintainable technical foundation (UML models, layered architecture) that supports future extension as IRB needs evolve.</w:t>
      </w:r>
    </w:p>
    <w:p>
      <w:pPr>
        <w:pStyle w:val="Heading2"/>
        <w:spacing w:after="160" w:before="320"/>
      </w:pPr>
      <w:r>
        <w:rPr>
          <w:b/>
          <w:bCs/>
          <w:color w:val="2E5266"/>
          <w:sz w:val="24"/>
          <w:szCs w:val="24"/>
        </w:rPr>
        <w:t xml:space="preserve">1.7 Limitations</w:t>
      </w:r>
    </w:p>
    <w:p>
      <w:pPr>
        <w:pStyle w:val="ListParagraph"/>
        <w:numPr>
          <w:ilvl w:val="0"/>
          <w:numId w:val="3"/>
        </w:numPr>
        <w:spacing w:after="90" w:line="268"/>
      </w:pPr>
      <w:r>
        <w:rPr>
          <w:color w:val="222222"/>
          <w:sz w:val="21"/>
          <w:szCs w:val="21"/>
        </w:rPr>
        <w:t xml:space="preserve">The system reflects the AWHSC-IRB SOP version reviewed at proposal time; subsequent SOP revisions will require corresponding requirement updates.</w:t>
      </w:r>
    </w:p>
    <w:p>
      <w:pPr>
        <w:pStyle w:val="ListParagraph"/>
        <w:numPr>
          <w:ilvl w:val="0"/>
          <w:numId w:val="3"/>
        </w:numPr>
        <w:spacing w:after="90" w:line="268"/>
      </w:pPr>
      <w:r>
        <w:rPr>
          <w:color w:val="222222"/>
          <w:sz w:val="21"/>
          <w:szCs w:val="21"/>
        </w:rPr>
        <w:t xml:space="preserve">The proposal addresses the software system itself; institutional hosting, network, and hardware procurement are treated as a dependency rather than part of this scope.</w:t>
      </w:r>
    </w:p>
    <w:p>
      <w:pPr>
        <w:pStyle w:val="ListParagraph"/>
        <w:numPr>
          <w:ilvl w:val="0"/>
          <w:numId w:val="3"/>
        </w:numPr>
        <w:spacing w:after="90" w:line="268"/>
      </w:pPr>
      <w:r>
        <w:rPr>
          <w:color w:val="222222"/>
          <w:sz w:val="21"/>
          <w:szCs w:val="21"/>
        </w:rPr>
        <w:t xml:space="preserve">Integration with external national or regulatory research-registration systems, if required, is treated as a future extension rather than part of the initial release.</w:t>
      </w:r>
    </w:p>
    <w:p>
      <w:pPr>
        <w:pStyle w:val="ListParagraph"/>
        <w:numPr>
          <w:ilvl w:val="0"/>
          <w:numId w:val="3"/>
        </w:numPr>
        <w:spacing w:after="90" w:line="268"/>
      </w:pPr>
      <w:r>
        <w:rPr>
          <w:color w:val="222222"/>
          <w:sz w:val="21"/>
          <w:szCs w:val="21"/>
        </w:rPr>
        <w:t xml:space="preserve">Full realization of workflow automation benefits depends on institutional adoption and consistent use of the system by all IRB roles.</w:t>
      </w:r>
    </w:p>
    <w:p>
      <w:r>
        <w:br w:type="page"/>
      </w:r>
    </w:p>
    <w:p>
      <w:pPr>
        <w:pStyle w:val="Heading1"/>
        <w:pBdr>
          <w:bottom w:val="single" w:color="1B3A53" w:sz="8" w:space="4"/>
        </w:pBdr>
        <w:spacing w:after="240" w:before="480"/>
      </w:pPr>
      <w:r>
        <w:rPr>
          <w:b/>
          <w:bCs/>
          <w:color w:val="1B3A53"/>
          <w:sz w:val="30"/>
          <w:szCs w:val="30"/>
        </w:rPr>
        <w:t xml:space="preserve">Chapter Two: System Description</w:t>
      </w:r>
    </w:p>
    <w:p>
      <w:pPr>
        <w:pStyle w:val="Heading2"/>
        <w:spacing w:after="160" w:before="320"/>
      </w:pPr>
      <w:r>
        <w:rPr>
          <w:b/>
          <w:bCs/>
          <w:color w:val="2E5266"/>
          <w:sz w:val="24"/>
          <w:szCs w:val="24"/>
        </w:rPr>
        <w:t xml:space="preserve">2.1 Existing AWHSC-IRB Procedures</w:t>
      </w:r>
    </w:p>
    <w:p>
      <w:pPr>
        <w:spacing w:after="160" w:line="276"/>
        <w:jc w:val="both"/>
      </w:pPr>
      <w:r>
        <w:rPr>
          <w:i w:val="false"/>
          <w:iCs w:val="false"/>
          <w:color w:val="222222"/>
          <w:sz w:val="21"/>
          <w:szCs w:val="21"/>
        </w:rPr>
        <w:t xml:space="preserve">The AWHSC-IRB SOP defines, for each procedure, its purpose, scope, responsibilities, flow chart, and detailed instructions, together with the records it generates. Procedures span protocol review, resubmission, continuing review, final report review, protocol amendments, safety and adverse-event reporting, monitoring, meeting management, communication records, active study file management, archiving, confidentiality, and audit/inspection. Because each procedure is already documented with defined responsibilities and record requirements, the SOP functions as a ready-made requirements source for the proposed system, rather than requiring requirements to be invented from scratch.</w:t>
      </w:r>
    </w:p>
    <w:p>
      <w:pPr>
        <w:pStyle w:val="Heading2"/>
        <w:spacing w:after="160" w:before="320"/>
      </w:pPr>
      <w:r>
        <w:rPr>
          <w:b/>
          <w:bCs/>
          <w:color w:val="2E5266"/>
          <w:sz w:val="24"/>
          <w:szCs w:val="24"/>
        </w:rPr>
        <w:t xml:space="preserve">2.2 Proposed System</w:t>
      </w:r>
    </w:p>
    <w:p>
      <w:pPr>
        <w:spacing w:after="160" w:line="276"/>
        <w:jc w:val="both"/>
      </w:pPr>
      <w:r>
        <w:rPr>
          <w:i w:val="false"/>
          <w:iCs w:val="false"/>
          <w:color w:val="222222"/>
          <w:sz w:val="21"/>
          <w:szCs w:val="21"/>
        </w:rPr>
        <w:t xml:space="preserve">The AWHSC-IRB MIS is a web-based application that represents each SOP procedure as a corresponding system module, workflow, and set of records. Investigators submit and track protocols online; reviewers and Committee members conduct and record reviews and decisions within the system; the Secretariat manages meetings, communications, and study files; and administrators manage users, roles, and system-wide audit oversight. Every action of consequence — submission, review, decision, amendment, safety report, monitoring visit, communication, and archive event — is captured as a structured, timestamped, and traceable record.</w:t>
      </w:r>
    </w:p>
    <w:p>
      <w:pPr>
        <w:pStyle w:val="Heading2"/>
        <w:spacing w:after="160" w:before="320"/>
      </w:pPr>
      <w:bookmarkStart w:name="sec23" w:id="1"/>
      <w:r>
        <w:rPr>
          <w:b/>
          <w:bCs/>
          <w:color w:val="2E5266"/>
          <w:sz w:val="24"/>
          <w:szCs w:val="24"/>
        </w:rPr>
        <w:t xml:space="preserve">2.3 Major Stakeholders</w:t>
      </w:r>
      <w:bookmarkEnd w:id="1"/>
    </w:p>
    <w:tbl>
      <w:tblPr>
        <w:tblW w:type="dxa" w:w="8500"/>
        <w:tblBorders>
          <w:top w:val="single" w:color="8FAFC0" w:sz="4"/>
          <w:left w:val="single" w:color="8FAFC0" w:sz="4"/>
          <w:bottom w:val="single" w:color="8FAFC0" w:sz="4"/>
          <w:right w:val="single" w:color="8FAFC0" w:sz="4"/>
          <w:insideH w:val="single" w:color="8FAFC0" w:sz="2"/>
          <w:insideV w:val="single" w:color="8FAFC0" w:sz="2"/>
        </w:tblBorders>
      </w:tblPr>
      <w:tblGrid>
        <w:gridCol w:w="2400"/>
        <w:gridCol w:w="6100"/>
      </w:tblGrid>
      <w:tr>
        <w:trPr>
          <w:tblHeader/>
        </w:trPr>
        <w:tc>
          <w:tcPr>
            <w:tcW w:type="dxa" w:w="2400"/>
            <w:shd w:fill="1B3A53" w:color="auto" w:val="clear"/>
            <w:tcMar>
              <w:top w:type="dxa" w:w="80"/>
              <w:left w:type="dxa" w:w="120"/>
              <w:bottom w:type="dxa" w:w="80"/>
              <w:right w:type="dxa" w:w="120"/>
            </w:tcMar>
            <w:vAlign w:val="center"/>
          </w:tcPr>
          <w:p>
            <w:r>
              <w:rPr>
                <w:b/>
                <w:bCs/>
                <w:color w:val="FFFFFF"/>
                <w:sz w:val="19"/>
                <w:szCs w:val="19"/>
              </w:rPr>
              <w:t xml:space="preserve">Role</w:t>
            </w:r>
          </w:p>
        </w:tc>
        <w:tc>
          <w:tcPr>
            <w:tcW w:type="dxa" w:w="6100"/>
            <w:shd w:fill="1B3A53" w:color="auto" w:val="clear"/>
            <w:tcMar>
              <w:top w:type="dxa" w:w="80"/>
              <w:left w:type="dxa" w:w="120"/>
              <w:bottom w:type="dxa" w:w="80"/>
              <w:right w:type="dxa" w:w="120"/>
            </w:tcMar>
            <w:vAlign w:val="center"/>
          </w:tcPr>
          <w:p>
            <w:r>
              <w:rPr>
                <w:b/>
                <w:bCs/>
                <w:color w:val="FFFFFF"/>
                <w:sz w:val="19"/>
                <w:szCs w:val="19"/>
              </w:rPr>
              <w:t xml:space="preserve">Primary Interaction with the System</w:t>
            </w:r>
          </w:p>
        </w:tc>
      </w:tr>
      <w:tr>
        <w:tc>
          <w:tcPr>
            <w:tcW w:type="dxa" w:w="2400"/>
            <w:tcMar>
              <w:top w:type="dxa" w:w="80"/>
              <w:left w:type="dxa" w:w="120"/>
              <w:bottom w:type="dxa" w:w="80"/>
              <w:right w:type="dxa" w:w="120"/>
            </w:tcMar>
            <w:vAlign w:val="center"/>
          </w:tcPr>
          <w:p>
            <w:r>
              <w:rPr>
                <w:b w:val="false"/>
                <w:bCs w:val="false"/>
                <w:color w:val="222222"/>
                <w:sz w:val="19"/>
                <w:szCs w:val="19"/>
              </w:rPr>
              <w:t xml:space="preserve">Investigator</w:t>
            </w:r>
          </w:p>
        </w:tc>
        <w:tc>
          <w:tcPr>
            <w:tcW w:type="dxa" w:w="6100"/>
            <w:tcMar>
              <w:top w:type="dxa" w:w="80"/>
              <w:left w:type="dxa" w:w="120"/>
              <w:bottom w:type="dxa" w:w="80"/>
              <w:right w:type="dxa" w:w="120"/>
            </w:tcMar>
            <w:vAlign w:val="center"/>
          </w:tcPr>
          <w:p>
            <w:r>
              <w:rPr>
                <w:b w:val="false"/>
                <w:bCs w:val="false"/>
                <w:color w:val="222222"/>
                <w:sz w:val="19"/>
                <w:szCs w:val="19"/>
              </w:rPr>
              <w:t xml:space="preserve">Submits protocols, amendments, continuing review and final reports, and safety reports; tracks review status and receives communications.</w:t>
            </w:r>
          </w:p>
        </w:tc>
      </w:tr>
      <w:tr>
        <w:tc>
          <w:tcPr>
            <w:tcW w:type="dxa" w:w="2400"/>
            <w:shd w:fill="EAF1F5" w:color="auto" w:val="clear"/>
            <w:tcMar>
              <w:top w:type="dxa" w:w="80"/>
              <w:left w:type="dxa" w:w="120"/>
              <w:bottom w:type="dxa" w:w="80"/>
              <w:right w:type="dxa" w:w="120"/>
            </w:tcMar>
            <w:vAlign w:val="center"/>
          </w:tcPr>
          <w:p>
            <w:r>
              <w:rPr>
                <w:b w:val="false"/>
                <w:bCs w:val="false"/>
                <w:color w:val="222222"/>
                <w:sz w:val="19"/>
                <w:szCs w:val="19"/>
              </w:rPr>
              <w:t xml:space="preserve">Reviewer</w:t>
            </w:r>
          </w:p>
        </w:tc>
        <w:tc>
          <w:tcPr>
            <w:tcW w:type="dxa" w:w="6100"/>
            <w:shd w:fill="EAF1F5" w:color="auto" w:val="clear"/>
            <w:tcMar>
              <w:top w:type="dxa" w:w="80"/>
              <w:left w:type="dxa" w:w="120"/>
              <w:bottom w:type="dxa" w:w="80"/>
              <w:right w:type="dxa" w:w="120"/>
            </w:tcMar>
            <w:vAlign w:val="center"/>
          </w:tcPr>
          <w:p>
            <w:r>
              <w:rPr>
                <w:b w:val="false"/>
                <w:bCs w:val="false"/>
                <w:color w:val="222222"/>
                <w:sz w:val="19"/>
                <w:szCs w:val="19"/>
              </w:rPr>
              <w:t xml:space="preserve">Receives assigned protocols, records assessments and recommendations, participates in meetings.</w:t>
            </w:r>
          </w:p>
        </w:tc>
      </w:tr>
      <w:tr>
        <w:tc>
          <w:tcPr>
            <w:tcW w:type="dxa" w:w="2400"/>
            <w:tcMar>
              <w:top w:type="dxa" w:w="80"/>
              <w:left w:type="dxa" w:w="120"/>
              <w:bottom w:type="dxa" w:w="80"/>
              <w:right w:type="dxa" w:w="120"/>
            </w:tcMar>
            <w:vAlign w:val="center"/>
          </w:tcPr>
          <w:p>
            <w:r>
              <w:rPr>
                <w:b w:val="false"/>
                <w:bCs w:val="false"/>
                <w:color w:val="222222"/>
                <w:sz w:val="19"/>
                <w:szCs w:val="19"/>
              </w:rPr>
              <w:t xml:space="preserve">Secretariat</w:t>
            </w:r>
          </w:p>
        </w:tc>
        <w:tc>
          <w:tcPr>
            <w:tcW w:type="dxa" w:w="6100"/>
            <w:tcMar>
              <w:top w:type="dxa" w:w="80"/>
              <w:left w:type="dxa" w:w="120"/>
              <w:bottom w:type="dxa" w:w="80"/>
              <w:right w:type="dxa" w:w="120"/>
            </w:tcMar>
            <w:vAlign w:val="center"/>
          </w:tcPr>
          <w:p>
            <w:r>
              <w:rPr>
                <w:b w:val="false"/>
                <w:bCs w:val="false"/>
                <w:color w:val="222222"/>
                <w:sz w:val="19"/>
                <w:szCs w:val="19"/>
              </w:rPr>
              <w:t xml:space="preserve">Verifies submissions, schedules meetings, manages agendas/minutes, maintains study files and archive, issues official communications.</w:t>
            </w:r>
          </w:p>
        </w:tc>
      </w:tr>
      <w:tr>
        <w:tc>
          <w:tcPr>
            <w:tcW w:type="dxa" w:w="2400"/>
            <w:shd w:fill="EAF1F5" w:color="auto" w:val="clear"/>
            <w:tcMar>
              <w:top w:type="dxa" w:w="80"/>
              <w:left w:type="dxa" w:w="120"/>
              <w:bottom w:type="dxa" w:w="80"/>
              <w:right w:type="dxa" w:w="120"/>
            </w:tcMar>
            <w:vAlign w:val="center"/>
          </w:tcPr>
          <w:p>
            <w:r>
              <w:rPr>
                <w:b w:val="false"/>
                <w:bCs w:val="false"/>
                <w:color w:val="222222"/>
                <w:sz w:val="19"/>
                <w:szCs w:val="19"/>
              </w:rPr>
              <w:t xml:space="preserve">Chair / Committee Members</w:t>
            </w:r>
          </w:p>
        </w:tc>
        <w:tc>
          <w:tcPr>
            <w:tcW w:type="dxa" w:w="6100"/>
            <w:shd w:fill="EAF1F5" w:color="auto" w:val="clear"/>
            <w:tcMar>
              <w:top w:type="dxa" w:w="80"/>
              <w:left w:type="dxa" w:w="120"/>
              <w:bottom w:type="dxa" w:w="80"/>
              <w:right w:type="dxa" w:w="120"/>
            </w:tcMar>
            <w:vAlign w:val="center"/>
          </w:tcPr>
          <w:p>
            <w:r>
              <w:rPr>
                <w:b w:val="false"/>
                <w:bCs w:val="false"/>
                <w:color w:val="222222"/>
                <w:sz w:val="19"/>
                <w:szCs w:val="19"/>
              </w:rPr>
              <w:t xml:space="preserve">Chairs or participates in meetings, records committee decisions, approves minutes.</w:t>
            </w:r>
          </w:p>
        </w:tc>
      </w:tr>
      <w:tr>
        <w:tc>
          <w:tcPr>
            <w:tcW w:type="dxa" w:w="2400"/>
            <w:tcMar>
              <w:top w:type="dxa" w:w="80"/>
              <w:left w:type="dxa" w:w="120"/>
              <w:bottom w:type="dxa" w:w="80"/>
              <w:right w:type="dxa" w:w="120"/>
            </w:tcMar>
            <w:vAlign w:val="center"/>
          </w:tcPr>
          <w:p>
            <w:r>
              <w:rPr>
                <w:b w:val="false"/>
                <w:bCs w:val="false"/>
                <w:color w:val="222222"/>
                <w:sz w:val="19"/>
                <w:szCs w:val="19"/>
              </w:rPr>
              <w:t xml:space="preserve">Administrator</w:t>
            </w:r>
          </w:p>
        </w:tc>
        <w:tc>
          <w:tcPr>
            <w:tcW w:type="dxa" w:w="6100"/>
            <w:tcMar>
              <w:top w:type="dxa" w:w="80"/>
              <w:left w:type="dxa" w:w="120"/>
              <w:bottom w:type="dxa" w:w="80"/>
              <w:right w:type="dxa" w:w="120"/>
            </w:tcMar>
            <w:vAlign w:val="center"/>
          </w:tcPr>
          <w:p>
            <w:r>
              <w:rPr>
                <w:b w:val="false"/>
                <w:bCs w:val="false"/>
                <w:color w:val="222222"/>
                <w:sz w:val="19"/>
                <w:szCs w:val="19"/>
              </w:rPr>
              <w:t xml:space="preserve">Manages users, roles and permissions, oversees audit logs and system configuration.</w:t>
            </w:r>
          </w:p>
        </w:tc>
      </w:tr>
    </w:tbl>
    <w:p>
      <w:pPr>
        <w:pStyle w:val="Heading2"/>
        <w:spacing w:after="160" w:before="320"/>
      </w:pPr>
      <w:bookmarkStart w:name="sec24" w:id="1"/>
      <w:r>
        <w:rPr>
          <w:b/>
          <w:bCs/>
          <w:color w:val="2E5266"/>
          <w:sz w:val="24"/>
          <w:szCs w:val="24"/>
        </w:rPr>
        <w:t xml:space="preserve">2.4 Functional Modules</w:t>
      </w:r>
      <w:bookmarkEnd w:id="1"/>
    </w:p>
    <w:p>
      <w:pPr>
        <w:pStyle w:val="Heading3"/>
        <w:spacing w:after="120" w:before="220"/>
      </w:pPr>
      <w:r>
        <w:rPr>
          <w:b/>
          <w:bCs/>
          <w:color w:val="2E5266"/>
          <w:sz w:val="21"/>
          <w:szCs w:val="21"/>
        </w:rPr>
        <w:t xml:space="preserve">Module 1 — User and Access Management</w:t>
      </w:r>
    </w:p>
    <w:p>
      <w:pPr>
        <w:pStyle w:val="ListParagraph"/>
        <w:numPr>
          <w:ilvl w:val="0"/>
          <w:numId w:val="3"/>
        </w:numPr>
        <w:spacing w:after="90" w:line="268"/>
      </w:pPr>
      <w:r>
        <w:rPr>
          <w:color w:val="222222"/>
          <w:sz w:val="21"/>
          <w:szCs w:val="21"/>
        </w:rPr>
        <w:t xml:space="preserve">Users, roles, and permissions</w:t>
      </w:r>
    </w:p>
    <w:p>
      <w:pPr>
        <w:pStyle w:val="ListParagraph"/>
        <w:numPr>
          <w:ilvl w:val="0"/>
          <w:numId w:val="3"/>
        </w:numPr>
        <w:spacing w:after="90" w:line="268"/>
      </w:pPr>
      <w:r>
        <w:rPr>
          <w:color w:val="222222"/>
          <w:sz w:val="21"/>
          <w:szCs w:val="21"/>
        </w:rPr>
        <w:t xml:space="preserve">Authentication and access control</w:t>
      </w:r>
    </w:p>
    <w:p>
      <w:pPr>
        <w:pStyle w:val="Heading3"/>
        <w:spacing w:after="120" w:before="220"/>
      </w:pPr>
      <w:r>
        <w:rPr>
          <w:b/>
          <w:bCs/>
          <w:color w:val="2E5266"/>
          <w:sz w:val="21"/>
          <w:szCs w:val="21"/>
        </w:rPr>
        <w:t xml:space="preserve">Module 2 — Research and Protocol Management</w:t>
      </w:r>
    </w:p>
    <w:p>
      <w:pPr>
        <w:pStyle w:val="ListParagraph"/>
        <w:numPr>
          <w:ilvl w:val="0"/>
          <w:numId w:val="3"/>
        </w:numPr>
        <w:spacing w:after="90" w:line="268"/>
      </w:pPr>
      <w:r>
        <w:rPr>
          <w:color w:val="222222"/>
          <w:sz w:val="21"/>
          <w:szCs w:val="21"/>
        </w:rPr>
        <w:t xml:space="preserve">Investigators, research projects, protocols, protocol versions, and submissions</w:t>
      </w:r>
    </w:p>
    <w:p>
      <w:pPr>
        <w:pStyle w:val="Heading3"/>
        <w:spacing w:after="120" w:before="220"/>
      </w:pPr>
      <w:r>
        <w:rPr>
          <w:b/>
          <w:bCs/>
          <w:color w:val="2E5266"/>
          <w:sz w:val="21"/>
          <w:szCs w:val="21"/>
        </w:rPr>
        <w:t xml:space="preserve">Module 3 — Protocol Review</w:t>
      </w:r>
    </w:p>
    <w:p>
      <w:pPr>
        <w:pStyle w:val="ListParagraph"/>
        <w:numPr>
          <w:ilvl w:val="0"/>
          <w:numId w:val="3"/>
        </w:numPr>
        <w:spacing w:after="90" w:line="268"/>
      </w:pPr>
      <w:r>
        <w:rPr>
          <w:color w:val="222222"/>
          <w:sz w:val="21"/>
          <w:szCs w:val="21"/>
        </w:rPr>
        <w:t xml:space="preserve">Initial protocol review, resubmission, reviewer assignment, review assessment, and review decision</w:t>
      </w:r>
    </w:p>
    <w:p>
      <w:pPr>
        <w:pStyle w:val="Heading3"/>
        <w:spacing w:after="120" w:before="220"/>
      </w:pPr>
      <w:r>
        <w:rPr>
          <w:b/>
          <w:bCs/>
          <w:color w:val="2E5266"/>
          <w:sz w:val="21"/>
          <w:szCs w:val="21"/>
        </w:rPr>
        <w:t xml:space="preserve">Module 4 — Continuing Review and Final Reports</w:t>
      </w:r>
    </w:p>
    <w:p>
      <w:pPr>
        <w:spacing w:after="160" w:line="276"/>
        <w:jc w:val="both"/>
      </w:pPr>
      <w:r>
        <w:rPr>
          <w:i w:val="false"/>
          <w:iCs w:val="false"/>
          <w:color w:val="222222"/>
          <w:sz w:val="21"/>
          <w:szCs w:val="21"/>
        </w:rPr>
        <w:t xml:space="preserve">The SOP explicitly identifies continuing review and final report review as distinct IRB activities, each with its own timing and records.</w:t>
      </w:r>
    </w:p>
    <w:p>
      <w:pPr>
        <w:pStyle w:val="Heading3"/>
        <w:spacing w:after="120" w:before="220"/>
      </w:pPr>
      <w:r>
        <w:rPr>
          <w:b/>
          <w:bCs/>
          <w:color w:val="2E5266"/>
          <w:sz w:val="21"/>
          <w:szCs w:val="21"/>
        </w:rPr>
        <w:t xml:space="preserve">Module 5 — Protocol Amendments</w:t>
      </w:r>
    </w:p>
    <w:p>
      <w:pPr>
        <w:spacing w:after="160" w:line="276"/>
        <w:jc w:val="both"/>
      </w:pPr>
      <w:r>
        <w:rPr>
          <w:i w:val="false"/>
          <w:iCs w:val="false"/>
          <w:color w:val="222222"/>
          <w:sz w:val="21"/>
          <w:szCs w:val="21"/>
        </w:rPr>
        <w:t xml:space="preserve">This is treated as a major module. The SOP describes amendment decisions including approval, modification requests, suspension, requests for additional information, and non-approval — each of which the module represents as a distinct decision outcome and workflow branch.</w:t>
      </w:r>
    </w:p>
    <w:p>
      <w:pPr>
        <w:pStyle w:val="Heading3"/>
        <w:spacing w:after="120" w:before="220"/>
      </w:pPr>
      <w:r>
        <w:rPr>
          <w:b/>
          <w:bCs/>
          <w:color w:val="2E5266"/>
          <w:sz w:val="21"/>
          <w:szCs w:val="21"/>
        </w:rPr>
        <w:t xml:space="preserve">Module 6 — Safety and Adverse Events</w:t>
      </w:r>
    </w:p>
    <w:p>
      <w:pPr>
        <w:spacing w:after="160" w:line="276"/>
        <w:jc w:val="both"/>
      </w:pPr>
      <w:r>
        <w:rPr>
          <w:i w:val="false"/>
          <w:iCs w:val="false"/>
          <w:color w:val="222222"/>
          <w:sz w:val="21"/>
          <w:szCs w:val="21"/>
        </w:rPr>
        <w:t xml:space="preserve">The SOP covers serious adverse events, unanticipated events, and protocol deviations. The corresponding Safety and Adverse Event (SAE) record captures: study, protocol number, sponsor/host institution, report date, participant information, event description, treatment, outcome, seriousness, relationship to study, IRB decision, reviewer, comments, and action — providing detailed, source-derived structure for the module's data model.</w:t>
      </w:r>
    </w:p>
    <w:p>
      <w:pPr>
        <w:pStyle w:val="Heading3"/>
        <w:spacing w:after="120" w:before="220"/>
      </w:pPr>
      <w:r>
        <w:rPr>
          <w:b/>
          <w:bCs/>
          <w:color w:val="2E5266"/>
          <w:sz w:val="21"/>
          <w:szCs w:val="21"/>
        </w:rPr>
        <w:t xml:space="preserve">Module 7 — Monitoring</w:t>
      </w:r>
    </w:p>
    <w:p>
      <w:pPr>
        <w:pStyle w:val="ListParagraph"/>
        <w:numPr>
          <w:ilvl w:val="0"/>
          <w:numId w:val="3"/>
        </w:numPr>
        <w:spacing w:after="90" w:line="268"/>
      </w:pPr>
      <w:r>
        <w:rPr>
          <w:color w:val="222222"/>
          <w:sz w:val="21"/>
          <w:szCs w:val="21"/>
        </w:rPr>
        <w:t xml:space="preserve">Site monitoring, monitoring visits, findings, and follow-up, as explicitly identified in the SOP</w:t>
      </w:r>
    </w:p>
    <w:p>
      <w:pPr>
        <w:pStyle w:val="Heading3"/>
        <w:spacing w:after="120" w:before="220"/>
      </w:pPr>
      <w:r>
        <w:rPr>
          <w:b/>
          <w:bCs/>
          <w:color w:val="2E5266"/>
          <w:sz w:val="21"/>
          <w:szCs w:val="21"/>
        </w:rPr>
        <w:t xml:space="preserve">Module 8 — Meetings and Communication</w:t>
      </w:r>
    </w:p>
    <w:p>
      <w:pPr>
        <w:pStyle w:val="ListParagraph"/>
        <w:numPr>
          <w:ilvl w:val="0"/>
          <w:numId w:val="3"/>
        </w:numPr>
        <w:spacing w:after="90" w:line="268"/>
      </w:pPr>
      <w:r>
        <w:rPr>
          <w:color w:val="222222"/>
          <w:sz w:val="21"/>
          <w:szCs w:val="21"/>
        </w:rPr>
        <w:t xml:space="preserve">Agenda preparation, meeting procedure, minutes, emergency meetings, and communication records — all explicitly identified SOP activities</w:t>
      </w:r>
    </w:p>
    <w:p>
      <w:pPr>
        <w:pStyle w:val="Heading3"/>
        <w:spacing w:after="120" w:before="220"/>
      </w:pPr>
      <w:r>
        <w:rPr>
          <w:b/>
          <w:bCs/>
          <w:color w:val="2E5266"/>
          <w:sz w:val="21"/>
          <w:szCs w:val="21"/>
        </w:rPr>
        <w:t xml:space="preserve">Module 9 — Study Files and Archive</w:t>
      </w:r>
    </w:p>
    <w:p>
      <w:pPr>
        <w:spacing w:after="160" w:line="276"/>
        <w:jc w:val="both"/>
      </w:pPr>
      <w:r>
        <w:rPr>
          <w:i w:val="false"/>
          <w:iCs w:val="false"/>
          <w:color w:val="222222"/>
          <w:sz w:val="21"/>
          <w:szCs w:val="21"/>
        </w:rPr>
        <w:t xml:space="preserve">One of the major modules, since the SOP explicitly requires that active study files be securely created, maintained, distributed, and retrievable. Covers document management, archive, retrieval, and confidentiality controls.</w:t>
      </w:r>
    </w:p>
    <w:p>
      <w:pPr>
        <w:pStyle w:val="Heading3"/>
        <w:spacing w:after="120" w:before="220"/>
      </w:pPr>
      <w:r>
        <w:rPr>
          <w:b/>
          <w:bCs/>
          <w:color w:val="2E5266"/>
          <w:sz w:val="21"/>
          <w:szCs w:val="21"/>
        </w:rPr>
        <w:t xml:space="preserve">Module 10 — Audit and Inspection</w:t>
      </w:r>
    </w:p>
    <w:p>
      <w:pPr>
        <w:spacing w:after="160" w:line="276"/>
        <w:jc w:val="both"/>
      </w:pPr>
      <w:r>
        <w:rPr>
          <w:i w:val="false"/>
          <w:iCs w:val="false"/>
          <w:color w:val="222222"/>
          <w:sz w:val="21"/>
          <w:szCs w:val="21"/>
        </w:rPr>
        <w:t xml:space="preserve">Supports the SOP's defined “Auditing and Inspection of the IRB” activity, including audit trail capture and inspection-readiness reporting.</w:t>
      </w:r>
    </w:p>
    <w:p>
      <w:pPr>
        <w:pStyle w:val="Heading2"/>
        <w:spacing w:after="160" w:before="320"/>
      </w:pPr>
      <w:r>
        <w:rPr>
          <w:b/>
          <w:bCs/>
          <w:color w:val="2E5266"/>
          <w:sz w:val="24"/>
          <w:szCs w:val="24"/>
        </w:rPr>
        <w:t xml:space="preserve">2.5 Main Workflow</w:t>
      </w:r>
    </w:p>
    <w:p>
      <w:pPr>
        <w:spacing w:after="160" w:line="276"/>
        <w:jc w:val="both"/>
      </w:pPr>
      <w:r>
        <w:rPr>
          <w:i w:val="false"/>
          <w:iCs w:val="false"/>
          <w:color w:val="222222"/>
          <w:sz w:val="21"/>
          <w:szCs w:val="21"/>
        </w:rPr>
        <w:t xml:space="preserve">The diagram below shows the central protocol lifecycle the system supports, from initial submission through review, approval, ongoing oversight activities, and closure into the archive.</w:t>
      </w:r>
    </w:p>
    <w:p>
      <w:pPr>
        <w:spacing w:after="60" w:before="200"/>
        <w:jc w:val="center"/>
      </w:pPr>
      <w:r>
        <w:drawing>
          <wp:inline distT="0" distB="0" distL="0" distR="0">
            <wp:extent cx="2571750" cy="587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571750" cy="5876925"/>
                    </a:xfrm>
                    <a:prstGeom prst="rect">
                      <a:avLst/>
                    </a:prstGeom>
                  </pic:spPr>
                </pic:pic>
              </a:graphicData>
            </a:graphic>
          </wp:inline>
        </w:drawing>
      </w:r>
    </w:p>
    <w:p>
      <w:pPr>
        <w:spacing w:after="300" w:before="100"/>
        <w:jc w:val="center"/>
      </w:pPr>
      <w:r>
        <w:rPr>
          <w:i/>
          <w:iCs/>
          <w:color w:val="5A6570"/>
          <w:sz w:val="19"/>
          <w:szCs w:val="19"/>
        </w:rPr>
        <w:t xml:space="preserve">Figure 2.1 — Core protocol lifecycle workflow supported by the AWHSC-IRB MIS</w:t>
      </w:r>
    </w:p>
    <w:p>
      <w:r>
        <w:br w:type="page"/>
      </w:r>
    </w:p>
    <w:p>
      <w:pPr>
        <w:pStyle w:val="Heading1"/>
        <w:pBdr>
          <w:bottom w:val="single" w:color="1B3A53" w:sz="8" w:space="4"/>
        </w:pBdr>
        <w:spacing w:after="240" w:before="480"/>
      </w:pPr>
      <w:bookmarkStart w:name="ch3" w:id="1"/>
      <w:r>
        <w:rPr>
          <w:b/>
          <w:bCs/>
          <w:color w:val="1B3A53"/>
          <w:sz w:val="30"/>
          <w:szCs w:val="30"/>
        </w:rPr>
        <w:t xml:space="preserve">Chapter Three: System Architecture</w:t>
      </w:r>
      <w:bookmarkEnd w:id="1"/>
    </w:p>
    <w:p>
      <w:pPr>
        <w:pStyle w:val="Heading2"/>
        <w:spacing w:after="160" w:before="320"/>
      </w:pPr>
      <w:r>
        <w:rPr>
          <w:b/>
          <w:bCs/>
          <w:color w:val="2E5266"/>
          <w:sz w:val="24"/>
          <w:szCs w:val="24"/>
        </w:rPr>
        <w:t xml:space="preserve">3.1 Architectural Overview</w:t>
      </w:r>
    </w:p>
    <w:p>
      <w:pPr>
        <w:spacing w:after="160" w:line="276"/>
        <w:jc w:val="both"/>
      </w:pPr>
      <w:r>
        <w:rPr>
          <w:i w:val="false"/>
          <w:iCs w:val="false"/>
          <w:color w:val="222222"/>
          <w:sz w:val="21"/>
          <w:szCs w:val="21"/>
        </w:rPr>
        <w:t xml:space="preserve">The AWHSC-IRB MIS follows a layered, web-based architecture. Users access the system through a web application interface; a REST API layer handles authentication, authorization, validation, and audit logging for every request; three application service groupings — Research &amp; Submission Management, Review &amp; Decision Management, and Study Lifecycle Management — implement the business logic for the ten functional modules; and a data and storage layer persists relational data, documents/files, and the audit log.</w:t>
      </w:r>
    </w:p>
    <w:p>
      <w:pPr>
        <w:pStyle w:val="Heading2"/>
        <w:spacing w:after="160" w:before="320"/>
      </w:pPr>
      <w:bookmarkStart w:name="sec32" w:id="1"/>
      <w:r>
        <w:rPr>
          <w:b/>
          <w:bCs/>
          <w:color w:val="2E5266"/>
          <w:sz w:val="24"/>
          <w:szCs w:val="24"/>
        </w:rPr>
        <w:t xml:space="preserve">3.2 General Architecture</w:t>
      </w:r>
      <w:bookmarkEnd w:id="1"/>
    </w:p>
    <w:p>
      <w:pPr>
        <w:spacing w:after="60" w:before="200"/>
        <w:jc w:val="center"/>
      </w:pPr>
      <w:r>
        <w:drawing>
          <wp:inline distT="0" distB="0" distL="0" distR="0">
            <wp:extent cx="4095750" cy="441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4419600"/>
                    </a:xfrm>
                    <a:prstGeom prst="rect">
                      <a:avLst/>
                    </a:prstGeom>
                  </pic:spPr>
                </pic:pic>
              </a:graphicData>
            </a:graphic>
          </wp:inline>
        </w:drawing>
      </w:r>
    </w:p>
    <w:p>
      <w:pPr>
        <w:spacing w:after="300" w:before="100"/>
        <w:jc w:val="center"/>
      </w:pPr>
      <w:r>
        <w:rPr>
          <w:i/>
          <w:iCs/>
          <w:color w:val="5A6570"/>
          <w:sz w:val="19"/>
          <w:szCs w:val="19"/>
        </w:rPr>
        <w:t xml:space="preserve">Figure 3.1 — General system architecture (proposal-level view)</w:t>
      </w:r>
    </w:p>
    <w:p>
      <w:pPr>
        <w:spacing w:after="160" w:line="276"/>
        <w:jc w:val="both"/>
      </w:pPr>
      <w:r>
        <w:rPr>
          <w:color w:val="222222"/>
          <w:sz w:val="21"/>
          <w:szCs w:val="21"/>
        </w:rPr>
        <w:t xml:space="preserve">This is a proposal-level architecture diagram. Detailed component, deployment, and class diagrams are held in the technical appendices (</w:t>
      </w:r>
      <w:hyperlink w:history="1" w:anchor="appE">
        <w:r>
          <w:rPr>
            <w:color w:val="1155CC"/>
            <w:sz w:val="21"/>
            <w:szCs w:val="21"/>
            <w:u w:val="single"/>
          </w:rPr>
          <w:t xml:space="preserve">Appendix E</w:t>
        </w:r>
      </w:hyperlink>
      <w:r>
        <w:rPr>
          <w:color w:val="222222"/>
          <w:sz w:val="21"/>
          <w:szCs w:val="21"/>
        </w:rPr>
        <w:t xml:space="preserve">) so that the proposal body remains readable to non-technical stakeholders while the full design detail remains available for technical review.</w:t>
      </w:r>
    </w:p>
    <w:p>
      <w:pPr>
        <w:pStyle w:val="Heading2"/>
        <w:spacing w:after="160" w:before="320"/>
      </w:pPr>
      <w:r>
        <w:rPr>
          <w:b/>
          <w:bCs/>
          <w:color w:val="2E5266"/>
          <w:sz w:val="24"/>
          <w:szCs w:val="24"/>
        </w:rPr>
        <w:t xml:space="preserve">3.3 Security Architecture</w:t>
      </w:r>
    </w:p>
    <w:p>
      <w:pPr>
        <w:pStyle w:val="ListParagraph"/>
        <w:numPr>
          <w:ilvl w:val="0"/>
          <w:numId w:val="3"/>
        </w:numPr>
        <w:spacing w:after="90" w:line="268"/>
      </w:pPr>
      <w:r>
        <w:rPr>
          <w:color w:val="222222"/>
          <w:sz w:val="21"/>
          <w:szCs w:val="21"/>
        </w:rPr>
        <w:t xml:space="preserve">Role-based access control (RBAC) aligned to the stakeholder roles in </w:t>
      </w:r>
      <w:hyperlink w:history="1" w:anchor="sec23">
        <w:r>
          <w:rPr>
            <w:color w:val="1155CC"/>
            <w:sz w:val="21"/>
            <w:szCs w:val="21"/>
            <w:u w:val="single"/>
          </w:rPr>
          <w:t xml:space="preserve">Section 2.3</w:t>
        </w:r>
      </w:hyperlink>
      <w:r>
        <w:rPr>
          <w:color w:val="222222"/>
          <w:sz w:val="21"/>
          <w:szCs w:val="21"/>
        </w:rPr>
        <w:t xml:space="preserve">, enforced at the API layer.</w:t>
      </w:r>
    </w:p>
    <w:p>
      <w:pPr>
        <w:pStyle w:val="ListParagraph"/>
        <w:numPr>
          <w:ilvl w:val="0"/>
          <w:numId w:val="3"/>
        </w:numPr>
        <w:spacing w:after="90" w:line="268"/>
      </w:pPr>
      <w:r>
        <w:rPr>
          <w:color w:val="222222"/>
          <w:sz w:val="21"/>
          <w:szCs w:val="21"/>
        </w:rPr>
        <w:t xml:space="preserve">Authentication with secure credential storage and session management.</w:t>
      </w:r>
    </w:p>
    <w:p>
      <w:pPr>
        <w:pStyle w:val="ListParagraph"/>
        <w:numPr>
          <w:ilvl w:val="0"/>
          <w:numId w:val="3"/>
        </w:numPr>
        <w:spacing w:after="90" w:line="268"/>
      </w:pPr>
      <w:r>
        <w:rPr>
          <w:color w:val="222222"/>
          <w:sz w:val="21"/>
          <w:szCs w:val="21"/>
        </w:rPr>
        <w:t xml:space="preserve">Confidentiality controls over protocol, participant, and reviewer information, consistent with the SOP's confidentiality requirements.</w:t>
      </w:r>
    </w:p>
    <w:p>
      <w:pPr>
        <w:pStyle w:val="ListParagraph"/>
        <w:numPr>
          <w:ilvl w:val="0"/>
          <w:numId w:val="3"/>
        </w:numPr>
        <w:spacing w:after="90" w:line="268"/>
      </w:pPr>
      <w:r>
        <w:rPr>
          <w:color w:val="222222"/>
          <w:sz w:val="21"/>
          <w:szCs w:val="21"/>
        </w:rPr>
        <w:t xml:space="preserve">Comprehensive audit logging of create, update, decision, and access events to support the SOP's Auditing and Inspection procedure.</w:t>
      </w:r>
    </w:p>
    <w:p>
      <w:pPr>
        <w:pStyle w:val="ListParagraph"/>
        <w:numPr>
          <w:ilvl w:val="0"/>
          <w:numId w:val="3"/>
        </w:numPr>
        <w:spacing w:after="90" w:line="268"/>
      </w:pPr>
      <w:r>
        <w:rPr>
          <w:color w:val="222222"/>
          <w:sz w:val="21"/>
          <w:szCs w:val="21"/>
        </w:rPr>
        <w:t xml:space="preserve">Encryption of data in transit (TLS) and at rest for sensitive documents and records.</w:t>
      </w:r>
    </w:p>
    <w:p>
      <w:pPr>
        <w:pStyle w:val="Heading2"/>
        <w:spacing w:after="160" w:before="320"/>
      </w:pPr>
      <w:r>
        <w:rPr>
          <w:b/>
          <w:bCs/>
          <w:color w:val="2E5266"/>
          <w:sz w:val="24"/>
          <w:szCs w:val="24"/>
        </w:rPr>
        <w:t xml:space="preserve">3.4 Data Architecture</w:t>
      </w:r>
    </w:p>
    <w:p>
      <w:pPr>
        <w:spacing w:after="160" w:line="276"/>
        <w:jc w:val="both"/>
      </w:pPr>
      <w:r>
        <w:rPr>
          <w:i w:val="false"/>
          <w:iCs w:val="false"/>
          <w:color w:val="222222"/>
          <w:sz w:val="21"/>
          <w:szCs w:val="21"/>
        </w:rPr>
        <w:t xml:space="preserve">A relational database stores structured entities — users, protocols, submissions, reviews, decisions, amendments, safety reports, monitoring visits, meetings, and audit records — while a separate document/file store holds uploaded protocol documents, consent forms, and supporting attachments referenced by those entities. This separation keeps the relational schema clean while allowing documents to be managed, versioned, and retrieved independently, in line with the SOP's active-study-file and archive requirements.</w:t>
      </w:r>
    </w:p>
    <w:p>
      <w:pPr>
        <w:pStyle w:val="Heading2"/>
        <w:spacing w:after="160" w:before="320"/>
      </w:pPr>
      <w:r>
        <w:rPr>
          <w:b/>
          <w:bCs/>
          <w:color w:val="2E5266"/>
          <w:sz w:val="24"/>
          <w:szCs w:val="24"/>
        </w:rPr>
        <w:t xml:space="preserve">3.5 Deployment Overview</w:t>
      </w:r>
    </w:p>
    <w:p>
      <w:pPr>
        <w:spacing w:after="160" w:line="276"/>
        <w:jc w:val="both"/>
      </w:pPr>
      <w:r>
        <w:rPr>
          <w:color w:val="222222"/>
          <w:sz w:val="21"/>
          <w:szCs w:val="21"/>
        </w:rPr>
        <w:t xml:space="preserve">The system is designed for deployment as a standard three-tier web application: a browser-based front end, an application/API server, and a database server, deployable on institutional or cloud infrastructure. Environments are separated into development, staging/testing, and production, with the staging environment used for user acceptance testing prior to go-live. Full deployment topology and environment specifications are documented in </w:t>
      </w:r>
      <w:hyperlink w:history="1" w:anchor="appE">
        <w:r>
          <w:rPr>
            <w:color w:val="1155CC"/>
            <w:sz w:val="21"/>
            <w:szCs w:val="21"/>
            <w:u w:val="single"/>
          </w:rPr>
          <w:t xml:space="preserve">Appendix E</w:t>
        </w:r>
      </w:hyperlink>
      <w:r>
        <w:rPr>
          <w:color w:val="222222"/>
          <w:sz w:val="21"/>
          <w:szCs w:val="21"/>
        </w:rPr>
        <w:t xml:space="preserve">.</w:t>
      </w:r>
    </w:p>
    <w:p>
      <w:r>
        <w:br w:type="page"/>
      </w:r>
    </w:p>
    <w:p>
      <w:pPr>
        <w:pStyle w:val="Heading1"/>
        <w:pBdr>
          <w:bottom w:val="single" w:color="1B3A53" w:sz="8" w:space="4"/>
        </w:pBdr>
        <w:spacing w:after="240" w:before="480"/>
      </w:pPr>
      <w:r>
        <w:rPr>
          <w:b/>
          <w:bCs/>
          <w:color w:val="1B3A53"/>
          <w:sz w:val="30"/>
          <w:szCs w:val="30"/>
        </w:rPr>
        <w:t xml:space="preserve">Chapter Four: Software Engineering Methodology</w:t>
      </w:r>
    </w:p>
    <w:p>
      <w:pPr>
        <w:spacing w:after="160" w:line="276"/>
        <w:jc w:val="both"/>
      </w:pPr>
      <w:r>
        <w:rPr>
          <w:i w:val="false"/>
          <w:iCs w:val="false"/>
          <w:color w:val="222222"/>
          <w:sz w:val="21"/>
          <w:szCs w:val="21"/>
        </w:rPr>
        <w:t xml:space="preserve">The project follows a UML-driven, iterative software development methodology, chosen specifically because the AWHSC-IRB SOP already requires each procedure to identify its purpose, scope, responsibility, flow chart, and detailed instructions — a structure that maps naturally onto requirements engineering and UML workflow modeling.</w:t>
      </w:r>
    </w:p>
    <w:p>
      <w:pPr>
        <w:pStyle w:val="Heading3"/>
        <w:spacing w:after="120" w:before="220"/>
      </w:pPr>
      <w:r>
        <w:rPr>
          <w:b/>
          <w:bCs/>
          <w:color w:val="2E5266"/>
          <w:sz w:val="21"/>
          <w:szCs w:val="21"/>
        </w:rPr>
        <w:t xml:space="preserve">Methodology flow</w:t>
      </w:r>
    </w:p>
    <w:p>
      <w:pPr>
        <w:pStyle w:val="ListParagraph"/>
        <w:numPr>
          <w:ilvl w:val="0"/>
          <w:numId w:val="3"/>
        </w:numPr>
        <w:spacing w:after="90" w:line="268"/>
      </w:pPr>
      <w:r>
        <w:rPr>
          <w:color w:val="222222"/>
          <w:sz w:val="21"/>
          <w:szCs w:val="21"/>
        </w:rPr>
        <w:t xml:space="preserve">SOP Analysis</w:t>
      </w:r>
    </w:p>
    <w:p>
      <w:pPr>
        <w:pStyle w:val="ListParagraph"/>
        <w:numPr>
          <w:ilvl w:val="0"/>
          <w:numId w:val="3"/>
        </w:numPr>
        <w:spacing w:after="90" w:line="268"/>
      </w:pPr>
      <w:r>
        <w:rPr>
          <w:color w:val="222222"/>
          <w:sz w:val="21"/>
          <w:szCs w:val="21"/>
        </w:rPr>
        <w:t xml:space="preserve">Requirements Engineering</w:t>
      </w:r>
    </w:p>
    <w:p>
      <w:pPr>
        <w:pStyle w:val="ListParagraph"/>
        <w:numPr>
          <w:ilvl w:val="0"/>
          <w:numId w:val="3"/>
        </w:numPr>
        <w:spacing w:after="90" w:line="268"/>
      </w:pPr>
      <w:r>
        <w:rPr>
          <w:color w:val="222222"/>
          <w:sz w:val="21"/>
          <w:szCs w:val="21"/>
        </w:rPr>
        <w:t xml:space="preserve">Use Case Modeling</w:t>
      </w:r>
    </w:p>
    <w:p>
      <w:pPr>
        <w:pStyle w:val="ListParagraph"/>
        <w:numPr>
          <w:ilvl w:val="0"/>
          <w:numId w:val="3"/>
        </w:numPr>
        <w:spacing w:after="90" w:line="268"/>
      </w:pPr>
      <w:r>
        <w:rPr>
          <w:color w:val="222222"/>
          <w:sz w:val="21"/>
          <w:szCs w:val="21"/>
        </w:rPr>
        <w:t xml:space="preserve">Workflow Modeling</w:t>
      </w:r>
    </w:p>
    <w:p>
      <w:pPr>
        <w:pStyle w:val="ListParagraph"/>
        <w:numPr>
          <w:ilvl w:val="0"/>
          <w:numId w:val="3"/>
        </w:numPr>
        <w:spacing w:after="90" w:line="268"/>
      </w:pPr>
      <w:r>
        <w:rPr>
          <w:color w:val="222222"/>
          <w:sz w:val="21"/>
          <w:szCs w:val="21"/>
        </w:rPr>
        <w:t xml:space="preserve">Sequence &amp; State Modeling</w:t>
      </w:r>
    </w:p>
    <w:p>
      <w:pPr>
        <w:pStyle w:val="ListParagraph"/>
        <w:numPr>
          <w:ilvl w:val="0"/>
          <w:numId w:val="3"/>
        </w:numPr>
        <w:spacing w:after="90" w:line="268"/>
      </w:pPr>
      <w:r>
        <w:rPr>
          <w:color w:val="222222"/>
          <w:sz w:val="21"/>
          <w:szCs w:val="21"/>
        </w:rPr>
        <w:t xml:space="preserve">Class &amp; Database Design</w:t>
      </w:r>
    </w:p>
    <w:p>
      <w:pPr>
        <w:pStyle w:val="ListParagraph"/>
        <w:numPr>
          <w:ilvl w:val="0"/>
          <w:numId w:val="3"/>
        </w:numPr>
        <w:spacing w:after="90" w:line="268"/>
      </w:pPr>
      <w:r>
        <w:rPr>
          <w:color w:val="222222"/>
          <w:sz w:val="21"/>
          <w:szCs w:val="21"/>
        </w:rPr>
        <w:t xml:space="preserve">Architecture Design</w:t>
      </w:r>
    </w:p>
    <w:p>
      <w:pPr>
        <w:pStyle w:val="ListParagraph"/>
        <w:numPr>
          <w:ilvl w:val="0"/>
          <w:numId w:val="3"/>
        </w:numPr>
        <w:spacing w:after="90" w:line="268"/>
      </w:pPr>
      <w:r>
        <w:rPr>
          <w:color w:val="222222"/>
          <w:sz w:val="21"/>
          <w:szCs w:val="21"/>
        </w:rPr>
        <w:t xml:space="preserve">Implementation</w:t>
      </w:r>
    </w:p>
    <w:p>
      <w:pPr>
        <w:pStyle w:val="ListParagraph"/>
        <w:numPr>
          <w:ilvl w:val="0"/>
          <w:numId w:val="3"/>
        </w:numPr>
        <w:spacing w:after="90" w:line="268"/>
      </w:pPr>
      <w:r>
        <w:rPr>
          <w:color w:val="222222"/>
          <w:sz w:val="21"/>
          <w:szCs w:val="21"/>
        </w:rPr>
        <w:t xml:space="preserve">Testing</w:t>
      </w:r>
    </w:p>
    <w:p>
      <w:pPr>
        <w:pStyle w:val="ListParagraph"/>
        <w:numPr>
          <w:ilvl w:val="0"/>
          <w:numId w:val="3"/>
        </w:numPr>
        <w:spacing w:after="90" w:line="268"/>
      </w:pPr>
      <w:r>
        <w:rPr>
          <w:color w:val="222222"/>
          <w:sz w:val="21"/>
          <w:szCs w:val="21"/>
        </w:rPr>
        <w:t xml:space="preserve">Deployment</w:t>
      </w:r>
    </w:p>
    <w:p>
      <w:pPr>
        <w:pStyle w:val="ListParagraph"/>
        <w:numPr>
          <w:ilvl w:val="0"/>
          <w:numId w:val="3"/>
        </w:numPr>
        <w:spacing w:after="90" w:line="268"/>
      </w:pPr>
      <w:r>
        <w:rPr>
          <w:color w:val="222222"/>
          <w:sz w:val="21"/>
          <w:szCs w:val="21"/>
        </w:rPr>
        <w:t xml:space="preserve">Maintenance</w:t>
      </w:r>
    </w:p>
    <w:p>
      <w:pPr>
        <w:pStyle w:val="Heading2"/>
        <w:spacing w:after="160" w:before="320"/>
      </w:pPr>
      <w:bookmarkStart w:name="sec41" w:id="1"/>
      <w:r>
        <w:rPr>
          <w:b/>
          <w:bCs/>
          <w:color w:val="2E5266"/>
          <w:sz w:val="24"/>
          <w:szCs w:val="24"/>
        </w:rPr>
        <w:t xml:space="preserve">4.1 Requirements Engineering</w:t>
      </w:r>
      <w:bookmarkEnd w:id="1"/>
    </w:p>
    <w:p>
      <w:pPr>
        <w:spacing w:after="160" w:line="276"/>
        <w:jc w:val="both"/>
      </w:pPr>
      <w:r>
        <w:rPr>
          <w:color w:val="222222"/>
          <w:sz w:val="21"/>
          <w:szCs w:val="21"/>
        </w:rPr>
        <w:t xml:space="preserve">Each SOP procedure is analyzed and decomposed into functional and non-functional system requirements, which are recorded in the Software Requirements Specification (</w:t>
      </w:r>
      <w:hyperlink w:history="1" w:anchor="appA">
        <w:r>
          <w:rPr>
            <w:color w:val="1155CC"/>
            <w:sz w:val="21"/>
            <w:szCs w:val="21"/>
            <w:u w:val="single"/>
          </w:rPr>
          <w:t xml:space="preserve">Appendix A</w:t>
        </w:r>
      </w:hyperlink>
      <w:r>
        <w:rPr>
          <w:color w:val="222222"/>
          <w:sz w:val="21"/>
          <w:szCs w:val="21"/>
        </w:rPr>
        <w:t xml:space="preserve">) and linked back to their source procedure in the SOP-to-Requirement Traceability Matrix (</w:t>
      </w:r>
      <w:hyperlink w:history="1" w:anchor="appB">
        <w:r>
          <w:rPr>
            <w:color w:val="1155CC"/>
            <w:sz w:val="21"/>
            <w:szCs w:val="21"/>
            <w:u w:val="single"/>
          </w:rPr>
          <w:t xml:space="preserve">Appendix B</w:t>
        </w:r>
      </w:hyperlink>
      <w:r>
        <w:rPr>
          <w:color w:val="222222"/>
          <w:sz w:val="21"/>
          <w:szCs w:val="21"/>
        </w:rPr>
        <w:t xml:space="preserve">).</w:t>
      </w:r>
    </w:p>
    <w:p>
      <w:pPr>
        <w:pStyle w:val="Heading2"/>
        <w:spacing w:after="160" w:before="320"/>
      </w:pPr>
      <w:r>
        <w:rPr>
          <w:b/>
          <w:bCs/>
          <w:color w:val="2E5266"/>
          <w:sz w:val="24"/>
          <w:szCs w:val="24"/>
        </w:rPr>
        <w:t xml:space="preserve">4.2 UML-Based Analysis</w:t>
      </w:r>
    </w:p>
    <w:p>
      <w:pPr>
        <w:spacing w:after="160" w:line="276"/>
        <w:jc w:val="both"/>
      </w:pPr>
      <w:r>
        <w:rPr>
          <w:color w:val="222222"/>
          <w:sz w:val="21"/>
          <w:szCs w:val="21"/>
        </w:rPr>
        <w:t xml:space="preserve">Use case, activity, sequence, state-machine, and class diagrams are produced for each module, translating the SOP's own flow charts and responsibilities into formal software analysis artifacts (</w:t>
      </w:r>
      <w:hyperlink w:history="1" w:anchor="appC">
        <w:r>
          <w:rPr>
            <w:color w:val="1155CC"/>
            <w:sz w:val="21"/>
            <w:szCs w:val="21"/>
            <w:u w:val="single"/>
          </w:rPr>
          <w:t xml:space="preserve">Appendix C</w:t>
        </w:r>
      </w:hyperlink>
      <w:r>
        <w:rPr>
          <w:color w:val="222222"/>
          <w:sz w:val="21"/>
          <w:szCs w:val="21"/>
        </w:rPr>
        <w:t xml:space="preserve">).</w:t>
      </w:r>
    </w:p>
    <w:p>
      <w:pPr>
        <w:pStyle w:val="Heading2"/>
        <w:spacing w:after="160" w:before="320"/>
      </w:pPr>
      <w:r>
        <w:rPr>
          <w:b/>
          <w:bCs/>
          <w:color w:val="2E5266"/>
          <w:sz w:val="24"/>
          <w:szCs w:val="24"/>
        </w:rPr>
        <w:t xml:space="preserve">4.3 System Design</w:t>
      </w:r>
    </w:p>
    <w:p>
      <w:pPr>
        <w:spacing w:after="160" w:line="276"/>
        <w:jc w:val="both"/>
      </w:pPr>
      <w:r>
        <w:rPr>
          <w:color w:val="222222"/>
          <w:sz w:val="21"/>
          <w:szCs w:val="21"/>
        </w:rPr>
        <w:t xml:space="preserve">The layered architecture described in </w:t>
      </w:r>
      <w:hyperlink w:history="1" w:anchor="ch3">
        <w:r>
          <w:rPr>
            <w:color w:val="1155CC"/>
            <w:sz w:val="21"/>
            <w:szCs w:val="21"/>
            <w:u w:val="single"/>
          </w:rPr>
          <w:t xml:space="preserve">Chapter Three</w:t>
        </w:r>
      </w:hyperlink>
      <w:r>
        <w:rPr>
          <w:color w:val="222222"/>
          <w:sz w:val="21"/>
          <w:szCs w:val="21"/>
        </w:rPr>
        <w:t xml:space="preserve"> is elaborated into component and deployment views, and a role-permission matrix is defined for every stakeholder role identified in </w:t>
      </w:r>
      <w:hyperlink w:history="1" w:anchor="sec23">
        <w:r>
          <w:rPr>
            <w:color w:val="1155CC"/>
            <w:sz w:val="21"/>
            <w:szCs w:val="21"/>
            <w:u w:val="single"/>
          </w:rPr>
          <w:t xml:space="preserve">Section 2.3</w:t>
        </w:r>
      </w:hyperlink>
      <w:r>
        <w:rPr>
          <w:color w:val="222222"/>
          <w:sz w:val="21"/>
          <w:szCs w:val="21"/>
        </w:rPr>
        <w:t xml:space="preserve">.</w:t>
      </w:r>
    </w:p>
    <w:p>
      <w:pPr>
        <w:pStyle w:val="Heading2"/>
        <w:spacing w:after="160" w:before="320"/>
      </w:pPr>
      <w:r>
        <w:rPr>
          <w:b/>
          <w:bCs/>
          <w:color w:val="2E5266"/>
          <w:sz w:val="24"/>
          <w:szCs w:val="24"/>
        </w:rPr>
        <w:t xml:space="preserve">4.4 Database Design</w:t>
      </w:r>
    </w:p>
    <w:p>
      <w:pPr>
        <w:spacing w:after="160" w:line="276"/>
        <w:jc w:val="both"/>
      </w:pPr>
      <w:r>
        <w:rPr>
          <w:color w:val="222222"/>
          <w:sz w:val="21"/>
          <w:szCs w:val="21"/>
        </w:rPr>
        <w:t xml:space="preserve">An entity-relationship diagram, data dictionary, and normalized relational schema are derived from the class model and the module data requirements (e.g., the SAE record structure in Module 6), documented in </w:t>
      </w:r>
      <w:hyperlink w:history="1" w:anchor="appD">
        <w:r>
          <w:rPr>
            <w:color w:val="1155CC"/>
            <w:sz w:val="21"/>
            <w:szCs w:val="21"/>
            <w:u w:val="single"/>
          </w:rPr>
          <w:t xml:space="preserve">Appendix D</w:t>
        </w:r>
      </w:hyperlink>
      <w:r>
        <w:rPr>
          <w:color w:val="222222"/>
          <w:sz w:val="21"/>
          <w:szCs w:val="21"/>
        </w:rPr>
        <w:t xml:space="preserve">.</w:t>
      </w:r>
    </w:p>
    <w:p>
      <w:pPr>
        <w:pStyle w:val="Heading2"/>
        <w:spacing w:after="160" w:before="320"/>
      </w:pPr>
      <w:r>
        <w:rPr>
          <w:b/>
          <w:bCs/>
          <w:color w:val="2E5266"/>
          <w:sz w:val="24"/>
          <w:szCs w:val="24"/>
        </w:rPr>
        <w:t xml:space="preserve">4.5 API Design</w:t>
      </w:r>
    </w:p>
    <w:p>
      <w:pPr>
        <w:spacing w:after="160" w:line="276"/>
        <w:jc w:val="both"/>
      </w:pPr>
      <w:r>
        <w:rPr>
          <w:color w:val="222222"/>
          <w:sz w:val="21"/>
          <w:szCs w:val="21"/>
        </w:rPr>
        <w:t xml:space="preserve">A REST API is specified module by module, with documented request/response contracts, authentication requirements, and error handling, documented in </w:t>
      </w:r>
      <w:hyperlink w:history="1" w:anchor="appF">
        <w:r>
          <w:rPr>
            <w:color w:val="1155CC"/>
            <w:sz w:val="21"/>
            <w:szCs w:val="21"/>
            <w:u w:val="single"/>
          </w:rPr>
          <w:t xml:space="preserve">Appendix F</w:t>
        </w:r>
      </w:hyperlink>
      <w:r>
        <w:rPr>
          <w:color w:val="222222"/>
          <w:sz w:val="21"/>
          <w:szCs w:val="21"/>
        </w:rPr>
        <w:t xml:space="preserve">.</w:t>
      </w:r>
    </w:p>
    <w:p>
      <w:pPr>
        <w:pStyle w:val="Heading2"/>
        <w:spacing w:after="160" w:before="320"/>
      </w:pPr>
      <w:r>
        <w:rPr>
          <w:b/>
          <w:bCs/>
          <w:color w:val="2E5266"/>
          <w:sz w:val="24"/>
          <w:szCs w:val="24"/>
        </w:rPr>
        <w:t xml:space="preserve">4.6 Implementation</w:t>
      </w:r>
    </w:p>
    <w:p>
      <w:pPr>
        <w:spacing w:after="160" w:line="276"/>
        <w:jc w:val="both"/>
      </w:pPr>
      <w:r>
        <w:rPr>
          <w:i w:val="false"/>
          <w:iCs w:val="false"/>
          <w:color w:val="222222"/>
          <w:sz w:val="21"/>
          <w:szCs w:val="21"/>
        </w:rPr>
        <w:t xml:space="preserve">The application is implemented in iterative increments aligned to the functional modules, allowing early modules (e.g., User and Access Management, Research and Protocol Management) to be validated before dependent modules (e.g., Review, Amendments) are built on top of them.</w:t>
      </w:r>
    </w:p>
    <w:p>
      <w:pPr>
        <w:pStyle w:val="Heading2"/>
        <w:spacing w:after="160" w:before="320"/>
      </w:pPr>
      <w:r>
        <w:rPr>
          <w:b/>
          <w:bCs/>
          <w:color w:val="2E5266"/>
          <w:sz w:val="24"/>
          <w:szCs w:val="24"/>
        </w:rPr>
        <w:t xml:space="preserve">4.7 Testing</w:t>
      </w:r>
    </w:p>
    <w:p>
      <w:pPr>
        <w:spacing w:after="160" w:line="276"/>
        <w:jc w:val="both"/>
      </w:pPr>
      <w:r>
        <w:rPr>
          <w:color w:val="222222"/>
          <w:sz w:val="21"/>
          <w:szCs w:val="21"/>
        </w:rPr>
        <w:t xml:space="preserve">Each module is validated through unit, integration, and user-acceptance testing, with test cases traced back to their originating requirement and SOP procedure (</w:t>
      </w:r>
      <w:hyperlink w:history="1" w:anchor="appI">
        <w:r>
          <w:rPr>
            <w:color w:val="1155CC"/>
            <w:sz w:val="21"/>
            <w:szCs w:val="21"/>
            <w:u w:val="single"/>
          </w:rPr>
          <w:t xml:space="preserve">Appendix I</w:t>
        </w:r>
      </w:hyperlink>
      <w:r>
        <w:rPr>
          <w:color w:val="222222"/>
          <w:sz w:val="21"/>
          <w:szCs w:val="21"/>
        </w:rPr>
        <w:t xml:space="preserve">).</w:t>
      </w:r>
    </w:p>
    <w:p>
      <w:pPr>
        <w:pStyle w:val="Heading2"/>
        <w:spacing w:after="160" w:before="320"/>
      </w:pPr>
      <w:r>
        <w:rPr>
          <w:b/>
          <w:bCs/>
          <w:color w:val="2E5266"/>
          <w:sz w:val="24"/>
          <w:szCs w:val="24"/>
        </w:rPr>
        <w:t xml:space="preserve">4.8 Deployment</w:t>
      </w:r>
    </w:p>
    <w:p>
      <w:pPr>
        <w:spacing w:after="160" w:line="276"/>
        <w:jc w:val="both"/>
      </w:pPr>
      <w:r>
        <w:rPr>
          <w:i w:val="false"/>
          <w:iCs w:val="false"/>
          <w:color w:val="222222"/>
          <w:sz w:val="21"/>
          <w:szCs w:val="21"/>
        </w:rPr>
        <w:t xml:space="preserve">The system is released first to a staging environment for institutional user acceptance testing, then promoted to production following sign-off, with rollback and backup procedures defined ahead of go-live.</w:t>
      </w:r>
    </w:p>
    <w:p>
      <w:r>
        <w:br w:type="page"/>
      </w:r>
    </w:p>
    <w:p>
      <w:pPr>
        <w:pStyle w:val="Heading1"/>
        <w:pBdr>
          <w:bottom w:val="single" w:color="1B3A53" w:sz="8" w:space="4"/>
        </w:pBdr>
        <w:spacing w:after="240" w:before="480"/>
      </w:pPr>
      <w:r>
        <w:rPr>
          <w:b/>
          <w:bCs/>
          <w:color w:val="1B3A53"/>
          <w:sz w:val="30"/>
          <w:szCs w:val="30"/>
        </w:rPr>
        <w:t xml:space="preserve">Chapter Five: Deliverables</w:t>
      </w:r>
    </w:p>
    <w:p>
      <w:pPr>
        <w:pStyle w:val="Heading2"/>
        <w:spacing w:after="160" w:before="320"/>
      </w:pPr>
      <w:r>
        <w:rPr>
          <w:b/>
          <w:bCs/>
          <w:color w:val="2E5266"/>
          <w:sz w:val="24"/>
          <w:szCs w:val="24"/>
        </w:rPr>
        <w:t xml:space="preserve">5.1 Requirements Deliverables</w:t>
      </w:r>
    </w:p>
    <w:p>
      <w:pPr>
        <w:pStyle w:val="ListParagraph"/>
        <w:numPr>
          <w:ilvl w:val="0"/>
          <w:numId w:val="3"/>
        </w:numPr>
        <w:spacing w:after="90" w:line="268"/>
      </w:pPr>
      <w:r>
        <w:rPr>
          <w:color w:val="222222"/>
          <w:sz w:val="21"/>
          <w:szCs w:val="21"/>
        </w:rPr>
        <w:t xml:space="preserve">Project Proposal</w:t>
      </w:r>
    </w:p>
    <w:p>
      <w:pPr>
        <w:pStyle w:val="ListParagraph"/>
        <w:numPr>
          <w:ilvl w:val="0"/>
          <w:numId w:val="3"/>
        </w:numPr>
        <w:spacing w:after="90" w:line="268"/>
      </w:pPr>
      <w:r>
        <w:rPr>
          <w:color w:val="222222"/>
          <w:sz w:val="21"/>
          <w:szCs w:val="21"/>
        </w:rPr>
        <w:t xml:space="preserve">Software Requirements Specification</w:t>
      </w:r>
    </w:p>
    <w:p>
      <w:pPr>
        <w:pStyle w:val="ListParagraph"/>
        <w:numPr>
          <w:ilvl w:val="0"/>
          <w:numId w:val="3"/>
        </w:numPr>
        <w:spacing w:after="90" w:line="268"/>
      </w:pPr>
      <w:r>
        <w:rPr>
          <w:color w:val="222222"/>
          <w:sz w:val="21"/>
          <w:szCs w:val="21"/>
        </w:rPr>
        <w:t xml:space="preserve">Functional Requirements</w:t>
      </w:r>
    </w:p>
    <w:p>
      <w:pPr>
        <w:pStyle w:val="ListParagraph"/>
        <w:numPr>
          <w:ilvl w:val="0"/>
          <w:numId w:val="3"/>
        </w:numPr>
        <w:spacing w:after="90" w:line="268"/>
      </w:pPr>
      <w:r>
        <w:rPr>
          <w:color w:val="222222"/>
          <w:sz w:val="21"/>
          <w:szCs w:val="21"/>
        </w:rPr>
        <w:t xml:space="preserve">Non-functional Requirements</w:t>
      </w:r>
    </w:p>
    <w:p>
      <w:pPr>
        <w:pStyle w:val="ListParagraph"/>
        <w:numPr>
          <w:ilvl w:val="0"/>
          <w:numId w:val="3"/>
        </w:numPr>
        <w:spacing w:after="90" w:line="268"/>
      </w:pPr>
      <w:r>
        <w:rPr>
          <w:color w:val="222222"/>
          <w:sz w:val="21"/>
          <w:szCs w:val="21"/>
        </w:rPr>
        <w:t xml:space="preserve">Business Rules</w:t>
      </w:r>
    </w:p>
    <w:p>
      <w:pPr>
        <w:pStyle w:val="ListParagraph"/>
        <w:numPr>
          <w:ilvl w:val="0"/>
          <w:numId w:val="3"/>
        </w:numPr>
        <w:spacing w:after="90" w:line="268"/>
      </w:pPr>
      <w:r>
        <w:rPr>
          <w:color w:val="222222"/>
          <w:sz w:val="21"/>
          <w:szCs w:val="21"/>
        </w:rPr>
        <w:t xml:space="preserve">Requirements Traceability Matrix</w:t>
      </w:r>
    </w:p>
    <w:p>
      <w:pPr>
        <w:pStyle w:val="Heading2"/>
        <w:spacing w:after="160" w:before="320"/>
      </w:pPr>
      <w:r>
        <w:rPr>
          <w:b/>
          <w:bCs/>
          <w:color w:val="2E5266"/>
          <w:sz w:val="24"/>
          <w:szCs w:val="24"/>
        </w:rPr>
        <w:t xml:space="preserve">5.2 UML / Analysis Deliverables</w:t>
      </w:r>
    </w:p>
    <w:p>
      <w:pPr>
        <w:pStyle w:val="ListParagraph"/>
        <w:numPr>
          <w:ilvl w:val="0"/>
          <w:numId w:val="3"/>
        </w:numPr>
        <w:spacing w:after="90" w:line="268"/>
      </w:pPr>
      <w:r>
        <w:rPr>
          <w:color w:val="222222"/>
          <w:sz w:val="21"/>
          <w:szCs w:val="21"/>
        </w:rPr>
        <w:t xml:space="preserve">Use Case Diagram and Specifications</w:t>
      </w:r>
    </w:p>
    <w:p>
      <w:pPr>
        <w:pStyle w:val="ListParagraph"/>
        <w:numPr>
          <w:ilvl w:val="0"/>
          <w:numId w:val="3"/>
        </w:numPr>
        <w:spacing w:after="90" w:line="268"/>
      </w:pPr>
      <w:r>
        <w:rPr>
          <w:color w:val="222222"/>
          <w:sz w:val="21"/>
          <w:szCs w:val="21"/>
        </w:rPr>
        <w:t xml:space="preserve">Activity Diagrams</w:t>
      </w:r>
    </w:p>
    <w:p>
      <w:pPr>
        <w:pStyle w:val="ListParagraph"/>
        <w:numPr>
          <w:ilvl w:val="0"/>
          <w:numId w:val="3"/>
        </w:numPr>
        <w:spacing w:after="90" w:line="268"/>
      </w:pPr>
      <w:r>
        <w:rPr>
          <w:color w:val="222222"/>
          <w:sz w:val="21"/>
          <w:szCs w:val="21"/>
        </w:rPr>
        <w:t xml:space="preserve">Sequence Diagrams</w:t>
      </w:r>
    </w:p>
    <w:p>
      <w:pPr>
        <w:pStyle w:val="ListParagraph"/>
        <w:numPr>
          <w:ilvl w:val="0"/>
          <w:numId w:val="3"/>
        </w:numPr>
        <w:spacing w:after="90" w:line="268"/>
      </w:pPr>
      <w:r>
        <w:rPr>
          <w:color w:val="222222"/>
          <w:sz w:val="21"/>
          <w:szCs w:val="21"/>
        </w:rPr>
        <w:t xml:space="preserve">State Machine Diagrams</w:t>
      </w:r>
    </w:p>
    <w:p>
      <w:pPr>
        <w:pStyle w:val="ListParagraph"/>
        <w:numPr>
          <w:ilvl w:val="0"/>
          <w:numId w:val="3"/>
        </w:numPr>
        <w:spacing w:after="90" w:line="268"/>
      </w:pPr>
      <w:r>
        <w:rPr>
          <w:color w:val="222222"/>
          <w:sz w:val="21"/>
          <w:szCs w:val="21"/>
        </w:rPr>
        <w:t xml:space="preserve">Class Diagram</w:t>
      </w:r>
    </w:p>
    <w:p>
      <w:pPr>
        <w:pStyle w:val="ListParagraph"/>
        <w:numPr>
          <w:ilvl w:val="0"/>
          <w:numId w:val="3"/>
        </w:numPr>
        <w:spacing w:after="90" w:line="268"/>
      </w:pPr>
      <w:r>
        <w:rPr>
          <w:color w:val="222222"/>
          <w:sz w:val="21"/>
          <w:szCs w:val="21"/>
        </w:rPr>
        <w:t xml:space="preserve">Package Diagram</w:t>
      </w:r>
    </w:p>
    <w:p>
      <w:pPr>
        <w:pStyle w:val="Heading2"/>
        <w:spacing w:after="160" w:before="320"/>
      </w:pPr>
      <w:r>
        <w:rPr>
          <w:b/>
          <w:bCs/>
          <w:color w:val="2E5266"/>
          <w:sz w:val="24"/>
          <w:szCs w:val="24"/>
        </w:rPr>
        <w:t xml:space="preserve">5.3 Architecture Deliverables</w:t>
      </w:r>
    </w:p>
    <w:p>
      <w:pPr>
        <w:pStyle w:val="ListParagraph"/>
        <w:numPr>
          <w:ilvl w:val="0"/>
          <w:numId w:val="3"/>
        </w:numPr>
        <w:spacing w:after="90" w:line="268"/>
      </w:pPr>
      <w:r>
        <w:rPr>
          <w:color w:val="222222"/>
          <w:sz w:val="21"/>
          <w:szCs w:val="21"/>
        </w:rPr>
        <w:t xml:space="preserve">General System Architecture</w:t>
      </w:r>
    </w:p>
    <w:p>
      <w:pPr>
        <w:pStyle w:val="ListParagraph"/>
        <w:numPr>
          <w:ilvl w:val="0"/>
          <w:numId w:val="3"/>
        </w:numPr>
        <w:spacing w:after="90" w:line="268"/>
      </w:pPr>
      <w:r>
        <w:rPr>
          <w:color w:val="222222"/>
          <w:sz w:val="21"/>
          <w:szCs w:val="21"/>
        </w:rPr>
        <w:t xml:space="preserve">Component Diagram</w:t>
      </w:r>
    </w:p>
    <w:p>
      <w:pPr>
        <w:pStyle w:val="ListParagraph"/>
        <w:numPr>
          <w:ilvl w:val="0"/>
          <w:numId w:val="3"/>
        </w:numPr>
        <w:spacing w:after="90" w:line="268"/>
      </w:pPr>
      <w:r>
        <w:rPr>
          <w:color w:val="222222"/>
          <w:sz w:val="21"/>
          <w:szCs w:val="21"/>
        </w:rPr>
        <w:t xml:space="preserve">Deployment Diagram</w:t>
      </w:r>
    </w:p>
    <w:p>
      <w:pPr>
        <w:pStyle w:val="ListParagraph"/>
        <w:numPr>
          <w:ilvl w:val="0"/>
          <w:numId w:val="3"/>
        </w:numPr>
        <w:spacing w:after="90" w:line="268"/>
      </w:pPr>
      <w:r>
        <w:rPr>
          <w:color w:val="222222"/>
          <w:sz w:val="21"/>
          <w:szCs w:val="21"/>
        </w:rPr>
        <w:t xml:space="preserve">Security Architecture</w:t>
      </w:r>
    </w:p>
    <w:p>
      <w:pPr>
        <w:pStyle w:val="ListParagraph"/>
        <w:numPr>
          <w:ilvl w:val="0"/>
          <w:numId w:val="3"/>
        </w:numPr>
        <w:spacing w:after="90" w:line="268"/>
      </w:pPr>
      <w:r>
        <w:rPr>
          <w:color w:val="222222"/>
          <w:sz w:val="21"/>
          <w:szCs w:val="21"/>
        </w:rPr>
        <w:t xml:space="preserve">Data Architecture</w:t>
      </w:r>
    </w:p>
    <w:p>
      <w:pPr>
        <w:pStyle w:val="Heading2"/>
        <w:spacing w:after="160" w:before="320"/>
      </w:pPr>
      <w:r>
        <w:rPr>
          <w:b/>
          <w:bCs/>
          <w:color w:val="2E5266"/>
          <w:sz w:val="24"/>
          <w:szCs w:val="24"/>
        </w:rPr>
        <w:t xml:space="preserve">5.4 Database / API Deliverables</w:t>
      </w:r>
    </w:p>
    <w:p>
      <w:pPr>
        <w:pStyle w:val="ListParagraph"/>
        <w:numPr>
          <w:ilvl w:val="0"/>
          <w:numId w:val="3"/>
        </w:numPr>
        <w:spacing w:after="90" w:line="268"/>
      </w:pPr>
      <w:r>
        <w:rPr>
          <w:color w:val="222222"/>
          <w:sz w:val="21"/>
          <w:szCs w:val="21"/>
        </w:rPr>
        <w:t xml:space="preserve">Entity-Relationship Diagram (ERD)</w:t>
      </w:r>
    </w:p>
    <w:p>
      <w:pPr>
        <w:pStyle w:val="ListParagraph"/>
        <w:numPr>
          <w:ilvl w:val="0"/>
          <w:numId w:val="3"/>
        </w:numPr>
        <w:spacing w:after="90" w:line="268"/>
      </w:pPr>
      <w:r>
        <w:rPr>
          <w:color w:val="222222"/>
          <w:sz w:val="21"/>
          <w:szCs w:val="21"/>
        </w:rPr>
        <w:t xml:space="preserve">Data Dictionary</w:t>
      </w:r>
    </w:p>
    <w:p>
      <w:pPr>
        <w:pStyle w:val="ListParagraph"/>
        <w:numPr>
          <w:ilvl w:val="0"/>
          <w:numId w:val="3"/>
        </w:numPr>
        <w:spacing w:after="90" w:line="268"/>
      </w:pPr>
      <w:r>
        <w:rPr>
          <w:color w:val="222222"/>
          <w:sz w:val="21"/>
          <w:szCs w:val="21"/>
        </w:rPr>
        <w:t xml:space="preserve">Database Schema</w:t>
      </w:r>
    </w:p>
    <w:p>
      <w:pPr>
        <w:pStyle w:val="ListParagraph"/>
        <w:numPr>
          <w:ilvl w:val="0"/>
          <w:numId w:val="3"/>
        </w:numPr>
        <w:spacing w:after="90" w:line="268"/>
      </w:pPr>
      <w:r>
        <w:rPr>
          <w:color w:val="222222"/>
          <w:sz w:val="21"/>
          <w:szCs w:val="21"/>
        </w:rPr>
        <w:t xml:space="preserve">REST API Specification</w:t>
      </w:r>
    </w:p>
    <w:p>
      <w:pPr>
        <w:pStyle w:val="ListParagraph"/>
        <w:numPr>
          <w:ilvl w:val="0"/>
          <w:numId w:val="3"/>
        </w:numPr>
        <w:spacing w:after="90" w:line="268"/>
      </w:pPr>
      <w:r>
        <w:rPr>
          <w:color w:val="222222"/>
          <w:sz w:val="21"/>
          <w:szCs w:val="21"/>
        </w:rPr>
        <w:t xml:space="preserve">API Request/Response Contracts</w:t>
      </w:r>
    </w:p>
    <w:p>
      <w:pPr>
        <w:pStyle w:val="ListParagraph"/>
        <w:numPr>
          <w:ilvl w:val="0"/>
          <w:numId w:val="3"/>
        </w:numPr>
        <w:spacing w:after="90" w:line="268"/>
      </w:pPr>
      <w:r>
        <w:rPr>
          <w:color w:val="222222"/>
          <w:sz w:val="21"/>
          <w:szCs w:val="21"/>
        </w:rPr>
        <w:t xml:space="preserve">Role-Permission Matrix</w:t>
      </w:r>
    </w:p>
    <w:p>
      <w:pPr>
        <w:pStyle w:val="Heading2"/>
        <w:spacing w:after="160" w:before="320"/>
      </w:pPr>
      <w:r>
        <w:rPr>
          <w:b/>
          <w:bCs/>
          <w:color w:val="2E5266"/>
          <w:sz w:val="24"/>
          <w:szCs w:val="24"/>
        </w:rPr>
        <w:t xml:space="preserve">5.5 Implementation Deliverables</w:t>
      </w:r>
    </w:p>
    <w:p>
      <w:pPr>
        <w:pStyle w:val="ListParagraph"/>
        <w:numPr>
          <w:ilvl w:val="0"/>
          <w:numId w:val="3"/>
        </w:numPr>
        <w:spacing w:after="90" w:line="268"/>
      </w:pPr>
      <w:r>
        <w:rPr>
          <w:color w:val="222222"/>
          <w:sz w:val="21"/>
          <w:szCs w:val="21"/>
        </w:rPr>
        <w:t xml:space="preserve">Web Application (front end)</w:t>
      </w:r>
    </w:p>
    <w:p>
      <w:pPr>
        <w:pStyle w:val="ListParagraph"/>
        <w:numPr>
          <w:ilvl w:val="0"/>
          <w:numId w:val="3"/>
        </w:numPr>
        <w:spacing w:after="90" w:line="268"/>
      </w:pPr>
      <w:r>
        <w:rPr>
          <w:color w:val="222222"/>
          <w:sz w:val="21"/>
          <w:szCs w:val="21"/>
        </w:rPr>
        <w:t xml:space="preserve">Backend / API</w:t>
      </w:r>
    </w:p>
    <w:p>
      <w:pPr>
        <w:pStyle w:val="ListParagraph"/>
        <w:numPr>
          <w:ilvl w:val="0"/>
          <w:numId w:val="3"/>
        </w:numPr>
        <w:spacing w:after="90" w:line="268"/>
      </w:pPr>
      <w:r>
        <w:rPr>
          <w:color w:val="222222"/>
          <w:sz w:val="21"/>
          <w:szCs w:val="21"/>
        </w:rPr>
        <w:t xml:space="preserve">Database</w:t>
      </w:r>
    </w:p>
    <w:p>
      <w:pPr>
        <w:pStyle w:val="ListParagraph"/>
        <w:numPr>
          <w:ilvl w:val="0"/>
          <w:numId w:val="3"/>
        </w:numPr>
        <w:spacing w:after="90" w:line="268"/>
      </w:pPr>
      <w:r>
        <w:rPr>
          <w:color w:val="222222"/>
          <w:sz w:val="21"/>
          <w:szCs w:val="21"/>
        </w:rPr>
        <w:t xml:space="preserve">Document Management</w:t>
      </w:r>
    </w:p>
    <w:p>
      <w:pPr>
        <w:pStyle w:val="ListParagraph"/>
        <w:numPr>
          <w:ilvl w:val="0"/>
          <w:numId w:val="3"/>
        </w:numPr>
        <w:spacing w:after="90" w:line="268"/>
      </w:pPr>
      <w:r>
        <w:rPr>
          <w:color w:val="222222"/>
          <w:sz w:val="21"/>
          <w:szCs w:val="21"/>
        </w:rPr>
        <w:t xml:space="preserve">Authentication / RBAC</w:t>
      </w:r>
    </w:p>
    <w:p>
      <w:pPr>
        <w:pStyle w:val="ListParagraph"/>
        <w:numPr>
          <w:ilvl w:val="0"/>
          <w:numId w:val="3"/>
        </w:numPr>
        <w:spacing w:after="90" w:line="268"/>
      </w:pPr>
      <w:r>
        <w:rPr>
          <w:color w:val="222222"/>
          <w:sz w:val="21"/>
          <w:szCs w:val="21"/>
        </w:rPr>
        <w:t xml:space="preserve">Audit Logging</w:t>
      </w:r>
    </w:p>
    <w:p>
      <w:pPr>
        <w:pStyle w:val="ListParagraph"/>
        <w:numPr>
          <w:ilvl w:val="0"/>
          <w:numId w:val="3"/>
        </w:numPr>
        <w:spacing w:after="90" w:line="268"/>
      </w:pPr>
      <w:r>
        <w:rPr>
          <w:color w:val="222222"/>
          <w:sz w:val="21"/>
          <w:szCs w:val="21"/>
        </w:rPr>
        <w:t xml:space="preserve">Reporting</w:t>
      </w:r>
    </w:p>
    <w:p>
      <w:pPr>
        <w:pStyle w:val="ListParagraph"/>
        <w:numPr>
          <w:ilvl w:val="0"/>
          <w:numId w:val="3"/>
        </w:numPr>
        <w:spacing w:after="90" w:line="268"/>
      </w:pPr>
      <w:r>
        <w:rPr>
          <w:color w:val="222222"/>
          <w:sz w:val="21"/>
          <w:szCs w:val="21"/>
        </w:rPr>
        <w:t xml:space="preserve">Testing (unit, integration, UAT)</w:t>
      </w:r>
    </w:p>
    <w:p>
      <w:pPr>
        <w:pStyle w:val="ListParagraph"/>
        <w:numPr>
          <w:ilvl w:val="0"/>
          <w:numId w:val="3"/>
        </w:numPr>
        <w:spacing w:after="90" w:line="268"/>
      </w:pPr>
      <w:r>
        <w:rPr>
          <w:color w:val="222222"/>
          <w:sz w:val="21"/>
          <w:szCs w:val="21"/>
        </w:rPr>
        <w:t xml:space="preserve">Deployment</w:t>
      </w:r>
    </w:p>
    <w:p>
      <w:pPr>
        <w:pStyle w:val="ListParagraph"/>
        <w:numPr>
          <w:ilvl w:val="0"/>
          <w:numId w:val="3"/>
        </w:numPr>
        <w:spacing w:after="90" w:line="268"/>
      </w:pPr>
      <w:r>
        <w:rPr>
          <w:color w:val="222222"/>
          <w:sz w:val="21"/>
          <w:szCs w:val="21"/>
        </w:rPr>
        <w:t xml:space="preserve">User Documentation</w:t>
      </w:r>
    </w:p>
    <w:p>
      <w:r>
        <w:br w:type="page"/>
      </w:r>
    </w:p>
    <w:p>
      <w:pPr>
        <w:pStyle w:val="Heading1"/>
        <w:pBdr>
          <w:bottom w:val="single" w:color="1B3A53" w:sz="8" w:space="4"/>
        </w:pBdr>
        <w:spacing w:after="240" w:before="480"/>
      </w:pPr>
      <w:r>
        <w:rPr>
          <w:b/>
          <w:bCs/>
          <w:color w:val="1B3A53"/>
          <w:sz w:val="30"/>
          <w:szCs w:val="30"/>
        </w:rPr>
        <w:t xml:space="preserve">Chapter Six: Implementation Plan</w:t>
      </w:r>
    </w:p>
    <w:p>
      <w:pPr>
        <w:pStyle w:val="Heading2"/>
        <w:spacing w:after="160" w:before="320"/>
      </w:pPr>
      <w:r>
        <w:rPr>
          <w:b/>
          <w:bCs/>
          <w:color w:val="2E5266"/>
          <w:sz w:val="24"/>
          <w:szCs w:val="24"/>
        </w:rPr>
        <w:t xml:space="preserve">6.1 Development Phases and Milestones</w:t>
      </w:r>
    </w:p>
    <w:tbl>
      <w:tblPr>
        <w:tblW w:type="dxa" w:w="8800"/>
        <w:tblBorders>
          <w:top w:val="single" w:color="8FAFC0" w:sz="4"/>
          <w:left w:val="single" w:color="8FAFC0" w:sz="4"/>
          <w:bottom w:val="single" w:color="8FAFC0" w:sz="4"/>
          <w:right w:val="single" w:color="8FAFC0" w:sz="4"/>
          <w:insideH w:val="single" w:color="8FAFC0" w:sz="2"/>
          <w:insideV w:val="single" w:color="8FAFC0" w:sz="2"/>
        </w:tblBorders>
      </w:tblPr>
      <w:tblGrid>
        <w:gridCol w:w="1300"/>
        <w:gridCol w:w="2600"/>
        <w:gridCol w:w="3200"/>
        <w:gridCol w:w="1700"/>
      </w:tblGrid>
      <w:tr>
        <w:trPr>
          <w:tblHeader/>
        </w:trPr>
        <w:tc>
          <w:tcPr>
            <w:tcW w:type="dxa" w:w="1300"/>
            <w:shd w:fill="1B3A53" w:color="auto" w:val="clear"/>
            <w:tcMar>
              <w:top w:type="dxa" w:w="80"/>
              <w:left w:type="dxa" w:w="120"/>
              <w:bottom w:type="dxa" w:w="80"/>
              <w:right w:type="dxa" w:w="120"/>
            </w:tcMar>
            <w:vAlign w:val="center"/>
          </w:tcPr>
          <w:p>
            <w:r>
              <w:rPr>
                <w:b/>
                <w:bCs/>
                <w:color w:val="FFFFFF"/>
                <w:sz w:val="19"/>
                <w:szCs w:val="19"/>
              </w:rPr>
              <w:t xml:space="preserve">Phase</w:t>
            </w:r>
          </w:p>
        </w:tc>
        <w:tc>
          <w:tcPr>
            <w:tcW w:type="dxa" w:w="2600"/>
            <w:shd w:fill="1B3A53" w:color="auto" w:val="clear"/>
            <w:tcMar>
              <w:top w:type="dxa" w:w="80"/>
              <w:left w:type="dxa" w:w="120"/>
              <w:bottom w:type="dxa" w:w="80"/>
              <w:right w:type="dxa" w:w="120"/>
            </w:tcMar>
            <w:vAlign w:val="center"/>
          </w:tcPr>
          <w:p>
            <w:r>
              <w:rPr>
                <w:b/>
                <w:bCs/>
                <w:color w:val="FFFFFF"/>
                <w:sz w:val="19"/>
                <w:szCs w:val="19"/>
              </w:rPr>
              <w:t xml:space="preserve">Activities</w:t>
            </w:r>
          </w:p>
        </w:tc>
        <w:tc>
          <w:tcPr>
            <w:tcW w:type="dxa" w:w="3200"/>
            <w:shd w:fill="1B3A53" w:color="auto" w:val="clear"/>
            <w:tcMar>
              <w:top w:type="dxa" w:w="80"/>
              <w:left w:type="dxa" w:w="120"/>
              <w:bottom w:type="dxa" w:w="80"/>
              <w:right w:type="dxa" w:w="120"/>
            </w:tcMar>
            <w:vAlign w:val="center"/>
          </w:tcPr>
          <w:p>
            <w:r>
              <w:rPr>
                <w:b/>
                <w:bCs/>
                <w:color w:val="FFFFFF"/>
                <w:sz w:val="19"/>
                <w:szCs w:val="19"/>
              </w:rPr>
              <w:t xml:space="preserve">Key Milestone</w:t>
            </w:r>
          </w:p>
        </w:tc>
        <w:tc>
          <w:tcPr>
            <w:tcW w:type="dxa" w:w="1700"/>
            <w:shd w:fill="1B3A53" w:color="auto" w:val="clear"/>
            <w:tcMar>
              <w:top w:type="dxa" w:w="80"/>
              <w:left w:type="dxa" w:w="120"/>
              <w:bottom w:type="dxa" w:w="80"/>
              <w:right w:type="dxa" w:w="120"/>
            </w:tcMar>
            <w:vAlign w:val="center"/>
          </w:tcPr>
          <w:p>
            <w:r>
              <w:rPr>
                <w:b/>
                <w:bCs/>
                <w:color w:val="FFFFFF"/>
                <w:sz w:val="19"/>
                <w:szCs w:val="19"/>
              </w:rPr>
              <w:t xml:space="preserve">Indicative Duration</w:t>
            </w:r>
          </w:p>
        </w:tc>
      </w:tr>
      <w:tr>
        <w:tc>
          <w:tcPr>
            <w:tcW w:type="dxa" w:w="1300"/>
            <w:tcMar>
              <w:top w:type="dxa" w:w="80"/>
              <w:left w:type="dxa" w:w="120"/>
              <w:bottom w:type="dxa" w:w="80"/>
              <w:right w:type="dxa" w:w="120"/>
            </w:tcMar>
            <w:vAlign w:val="center"/>
          </w:tcPr>
          <w:p>
            <w:r>
              <w:rPr>
                <w:b w:val="false"/>
                <w:bCs w:val="false"/>
                <w:color w:val="222222"/>
                <w:sz w:val="19"/>
                <w:szCs w:val="19"/>
              </w:rPr>
              <w:t xml:space="preserve">1. Initiation &amp; SOP Analysis</w:t>
            </w:r>
          </w:p>
        </w:tc>
        <w:tc>
          <w:tcPr>
            <w:tcW w:type="dxa" w:w="2600"/>
            <w:tcMar>
              <w:top w:type="dxa" w:w="80"/>
              <w:left w:type="dxa" w:w="120"/>
              <w:bottom w:type="dxa" w:w="80"/>
              <w:right w:type="dxa" w:w="120"/>
            </w:tcMar>
            <w:vAlign w:val="center"/>
          </w:tcPr>
          <w:p>
            <w:r>
              <w:rPr>
                <w:b w:val="false"/>
                <w:bCs w:val="false"/>
                <w:color w:val="222222"/>
                <w:sz w:val="19"/>
                <w:szCs w:val="19"/>
              </w:rPr>
              <w:t xml:space="preserve">Stakeholder engagement, SOP review, requirements elicitation</w:t>
            </w:r>
          </w:p>
        </w:tc>
        <w:tc>
          <w:tcPr>
            <w:tcW w:type="dxa" w:w="3200"/>
            <w:tcMar>
              <w:top w:type="dxa" w:w="80"/>
              <w:left w:type="dxa" w:w="120"/>
              <w:bottom w:type="dxa" w:w="80"/>
              <w:right w:type="dxa" w:w="120"/>
            </w:tcMar>
            <w:vAlign w:val="center"/>
          </w:tcPr>
          <w:p>
            <w:r>
              <w:rPr>
                <w:b w:val="false"/>
                <w:bCs w:val="false"/>
                <w:color w:val="222222"/>
                <w:sz w:val="19"/>
                <w:szCs w:val="19"/>
              </w:rPr>
              <w:t xml:space="preserve">Approved SRS &amp; traceability matrix (Appendix B)</w:t>
            </w:r>
          </w:p>
        </w:tc>
        <w:tc>
          <w:tcPr>
            <w:tcW w:type="dxa" w:w="1700"/>
            <w:tcMar>
              <w:top w:type="dxa" w:w="80"/>
              <w:left w:type="dxa" w:w="120"/>
              <w:bottom w:type="dxa" w:w="80"/>
              <w:right w:type="dxa" w:w="120"/>
            </w:tcMar>
            <w:vAlign w:val="center"/>
          </w:tcPr>
          <w:p>
            <w:r>
              <w:rPr>
                <w:b w:val="false"/>
                <w:bCs w:val="false"/>
                <w:color w:val="222222"/>
                <w:sz w:val="19"/>
                <w:szCs w:val="19"/>
              </w:rPr>
              <w:t xml:space="preserve">3 weeks</w:t>
            </w:r>
          </w:p>
        </w:tc>
      </w:tr>
      <w:tr>
        <w:tc>
          <w:tcPr>
            <w:tcW w:type="dxa" w:w="1300"/>
            <w:shd w:fill="EAF1F5" w:color="auto" w:val="clear"/>
            <w:tcMar>
              <w:top w:type="dxa" w:w="80"/>
              <w:left w:type="dxa" w:w="120"/>
              <w:bottom w:type="dxa" w:w="80"/>
              <w:right w:type="dxa" w:w="120"/>
            </w:tcMar>
            <w:vAlign w:val="center"/>
          </w:tcPr>
          <w:p>
            <w:r>
              <w:rPr>
                <w:b w:val="false"/>
                <w:bCs w:val="false"/>
                <w:color w:val="222222"/>
                <w:sz w:val="19"/>
                <w:szCs w:val="19"/>
              </w:rPr>
              <w:t xml:space="preserve">2. UML Analysis &amp; Design</w:t>
            </w:r>
          </w:p>
        </w:tc>
        <w:tc>
          <w:tcPr>
            <w:tcW w:type="dxa" w:w="2600"/>
            <w:shd w:fill="EAF1F5" w:color="auto" w:val="clear"/>
            <w:tcMar>
              <w:top w:type="dxa" w:w="80"/>
              <w:left w:type="dxa" w:w="120"/>
              <w:bottom w:type="dxa" w:w="80"/>
              <w:right w:type="dxa" w:w="120"/>
            </w:tcMar>
            <w:vAlign w:val="center"/>
          </w:tcPr>
          <w:p>
            <w:r>
              <w:rPr>
                <w:b w:val="false"/>
                <w:bCs w:val="false"/>
                <w:color w:val="222222"/>
                <w:sz w:val="19"/>
                <w:szCs w:val="19"/>
              </w:rPr>
              <w:t xml:space="preserve">Use case, activity, sequence, state, and class modeling</w:t>
            </w:r>
          </w:p>
        </w:tc>
        <w:tc>
          <w:tcPr>
            <w:tcW w:type="dxa" w:w="3200"/>
            <w:shd w:fill="EAF1F5" w:color="auto" w:val="clear"/>
            <w:tcMar>
              <w:top w:type="dxa" w:w="80"/>
              <w:left w:type="dxa" w:w="120"/>
              <w:bottom w:type="dxa" w:w="80"/>
              <w:right w:type="dxa" w:w="120"/>
            </w:tcMar>
            <w:vAlign w:val="center"/>
          </w:tcPr>
          <w:p>
            <w:r>
              <w:rPr>
                <w:b w:val="false"/>
                <w:bCs w:val="false"/>
                <w:color w:val="222222"/>
                <w:sz w:val="19"/>
                <w:szCs w:val="19"/>
              </w:rPr>
              <w:t xml:space="preserve">Approved UML design package</w:t>
            </w:r>
          </w:p>
        </w:tc>
        <w:tc>
          <w:tcPr>
            <w:tcW w:type="dxa" w:w="1700"/>
            <w:shd w:fill="EAF1F5" w:color="auto" w:val="clear"/>
            <w:tcMar>
              <w:top w:type="dxa" w:w="80"/>
              <w:left w:type="dxa" w:w="120"/>
              <w:bottom w:type="dxa" w:w="80"/>
              <w:right w:type="dxa" w:w="120"/>
            </w:tcMar>
            <w:vAlign w:val="center"/>
          </w:tcPr>
          <w:p>
            <w:r>
              <w:rPr>
                <w:b w:val="false"/>
                <w:bCs w:val="false"/>
                <w:color w:val="222222"/>
                <w:sz w:val="19"/>
                <w:szCs w:val="19"/>
              </w:rPr>
              <w:t xml:space="preserve">4 weeks</w:t>
            </w:r>
          </w:p>
        </w:tc>
      </w:tr>
      <w:tr>
        <w:tc>
          <w:tcPr>
            <w:tcW w:type="dxa" w:w="1300"/>
            <w:tcMar>
              <w:top w:type="dxa" w:w="80"/>
              <w:left w:type="dxa" w:w="120"/>
              <w:bottom w:type="dxa" w:w="80"/>
              <w:right w:type="dxa" w:w="120"/>
            </w:tcMar>
            <w:vAlign w:val="center"/>
          </w:tcPr>
          <w:p>
            <w:r>
              <w:rPr>
                <w:b w:val="false"/>
                <w:bCs w:val="false"/>
                <w:color w:val="222222"/>
                <w:sz w:val="19"/>
                <w:szCs w:val="19"/>
              </w:rPr>
              <w:t xml:space="preserve">3. Architecture &amp; Data Design</w:t>
            </w:r>
          </w:p>
        </w:tc>
        <w:tc>
          <w:tcPr>
            <w:tcW w:type="dxa" w:w="2600"/>
            <w:tcMar>
              <w:top w:type="dxa" w:w="80"/>
              <w:left w:type="dxa" w:w="120"/>
              <w:bottom w:type="dxa" w:w="80"/>
              <w:right w:type="dxa" w:w="120"/>
            </w:tcMar>
            <w:vAlign w:val="center"/>
          </w:tcPr>
          <w:p>
            <w:r>
              <w:rPr>
                <w:b w:val="false"/>
                <w:bCs w:val="false"/>
                <w:color w:val="222222"/>
                <w:sz w:val="19"/>
                <w:szCs w:val="19"/>
              </w:rPr>
              <w:t xml:space="preserve">Architecture, ERD, schema, API specification</w:t>
            </w:r>
          </w:p>
        </w:tc>
        <w:tc>
          <w:tcPr>
            <w:tcW w:type="dxa" w:w="3200"/>
            <w:tcMar>
              <w:top w:type="dxa" w:w="80"/>
              <w:left w:type="dxa" w:w="120"/>
              <w:bottom w:type="dxa" w:w="80"/>
              <w:right w:type="dxa" w:w="120"/>
            </w:tcMar>
            <w:vAlign w:val="center"/>
          </w:tcPr>
          <w:p>
            <w:r>
              <w:rPr>
                <w:b w:val="false"/>
                <w:bCs w:val="false"/>
                <w:color w:val="222222"/>
                <w:sz w:val="19"/>
                <w:szCs w:val="19"/>
              </w:rPr>
              <w:t xml:space="preserve">Approved architecture &amp; data design</w:t>
            </w:r>
          </w:p>
        </w:tc>
        <w:tc>
          <w:tcPr>
            <w:tcW w:type="dxa" w:w="1700"/>
            <w:tcMar>
              <w:top w:type="dxa" w:w="80"/>
              <w:left w:type="dxa" w:w="120"/>
              <w:bottom w:type="dxa" w:w="80"/>
              <w:right w:type="dxa" w:w="120"/>
            </w:tcMar>
            <w:vAlign w:val="center"/>
          </w:tcPr>
          <w:p>
            <w:r>
              <w:rPr>
                <w:b w:val="false"/>
                <w:bCs w:val="false"/>
                <w:color w:val="222222"/>
                <w:sz w:val="19"/>
                <w:szCs w:val="19"/>
              </w:rPr>
              <w:t xml:space="preserve">3 weeks</w:t>
            </w:r>
          </w:p>
        </w:tc>
      </w:tr>
      <w:tr>
        <w:tc>
          <w:tcPr>
            <w:tcW w:type="dxa" w:w="1300"/>
            <w:shd w:fill="EAF1F5" w:color="auto" w:val="clear"/>
            <w:tcMar>
              <w:top w:type="dxa" w:w="80"/>
              <w:left w:type="dxa" w:w="120"/>
              <w:bottom w:type="dxa" w:w="80"/>
              <w:right w:type="dxa" w:w="120"/>
            </w:tcMar>
            <w:vAlign w:val="center"/>
          </w:tcPr>
          <w:p>
            <w:r>
              <w:rPr>
                <w:b w:val="false"/>
                <w:bCs w:val="false"/>
                <w:color w:val="222222"/>
                <w:sz w:val="19"/>
                <w:szCs w:val="19"/>
              </w:rPr>
              <w:t xml:space="preserve">4. Core Module Implementation</w:t>
            </w:r>
          </w:p>
        </w:tc>
        <w:tc>
          <w:tcPr>
            <w:tcW w:type="dxa" w:w="2600"/>
            <w:shd w:fill="EAF1F5" w:color="auto" w:val="clear"/>
            <w:tcMar>
              <w:top w:type="dxa" w:w="80"/>
              <w:left w:type="dxa" w:w="120"/>
              <w:bottom w:type="dxa" w:w="80"/>
              <w:right w:type="dxa" w:w="120"/>
            </w:tcMar>
            <w:vAlign w:val="center"/>
          </w:tcPr>
          <w:p>
            <w:r>
              <w:rPr>
                <w:b w:val="false"/>
                <w:bCs w:val="false"/>
                <w:color w:val="222222"/>
                <w:sz w:val="19"/>
                <w:szCs w:val="19"/>
              </w:rPr>
              <w:t xml:space="preserve">User/Access, Research &amp; Protocol, Protocol Review modules</w:t>
            </w:r>
          </w:p>
        </w:tc>
        <w:tc>
          <w:tcPr>
            <w:tcW w:type="dxa" w:w="3200"/>
            <w:shd w:fill="EAF1F5" w:color="auto" w:val="clear"/>
            <w:tcMar>
              <w:top w:type="dxa" w:w="80"/>
              <w:left w:type="dxa" w:w="120"/>
              <w:bottom w:type="dxa" w:w="80"/>
              <w:right w:type="dxa" w:w="120"/>
            </w:tcMar>
            <w:vAlign w:val="center"/>
          </w:tcPr>
          <w:p>
            <w:r>
              <w:rPr>
                <w:b w:val="false"/>
                <w:bCs w:val="false"/>
                <w:color w:val="222222"/>
                <w:sz w:val="19"/>
                <w:szCs w:val="19"/>
              </w:rPr>
              <w:t xml:space="preserve">Core modules functional in staging</w:t>
            </w:r>
          </w:p>
        </w:tc>
        <w:tc>
          <w:tcPr>
            <w:tcW w:type="dxa" w:w="1700"/>
            <w:shd w:fill="EAF1F5" w:color="auto" w:val="clear"/>
            <w:tcMar>
              <w:top w:type="dxa" w:w="80"/>
              <w:left w:type="dxa" w:w="120"/>
              <w:bottom w:type="dxa" w:w="80"/>
              <w:right w:type="dxa" w:w="120"/>
            </w:tcMar>
            <w:vAlign w:val="center"/>
          </w:tcPr>
          <w:p>
            <w:r>
              <w:rPr>
                <w:b w:val="false"/>
                <w:bCs w:val="false"/>
                <w:color w:val="222222"/>
                <w:sz w:val="19"/>
                <w:szCs w:val="19"/>
              </w:rPr>
              <w:t xml:space="preserve">6 weeks</w:t>
            </w:r>
          </w:p>
        </w:tc>
      </w:tr>
      <w:tr>
        <w:tc>
          <w:tcPr>
            <w:tcW w:type="dxa" w:w="1300"/>
            <w:tcMar>
              <w:top w:type="dxa" w:w="80"/>
              <w:left w:type="dxa" w:w="120"/>
              <w:bottom w:type="dxa" w:w="80"/>
              <w:right w:type="dxa" w:w="120"/>
            </w:tcMar>
            <w:vAlign w:val="center"/>
          </w:tcPr>
          <w:p>
            <w:r>
              <w:rPr>
                <w:b w:val="false"/>
                <w:bCs w:val="false"/>
                <w:color w:val="222222"/>
                <w:sz w:val="19"/>
                <w:szCs w:val="19"/>
              </w:rPr>
              <w:t xml:space="preserve">5. Lifecycle Module Implementation</w:t>
            </w:r>
          </w:p>
        </w:tc>
        <w:tc>
          <w:tcPr>
            <w:tcW w:type="dxa" w:w="2600"/>
            <w:tcMar>
              <w:top w:type="dxa" w:w="80"/>
              <w:left w:type="dxa" w:w="120"/>
              <w:bottom w:type="dxa" w:w="80"/>
              <w:right w:type="dxa" w:w="120"/>
            </w:tcMar>
            <w:vAlign w:val="center"/>
          </w:tcPr>
          <w:p>
            <w:r>
              <w:rPr>
                <w:b w:val="false"/>
                <w:bCs w:val="false"/>
                <w:color w:val="222222"/>
                <w:sz w:val="19"/>
                <w:szCs w:val="19"/>
              </w:rPr>
              <w:t xml:space="preserve">Continuing Review, Amendments, Safety, Monitoring</w:t>
            </w:r>
          </w:p>
        </w:tc>
        <w:tc>
          <w:tcPr>
            <w:tcW w:type="dxa" w:w="3200"/>
            <w:tcMar>
              <w:top w:type="dxa" w:w="80"/>
              <w:left w:type="dxa" w:w="120"/>
              <w:bottom w:type="dxa" w:w="80"/>
              <w:right w:type="dxa" w:w="120"/>
            </w:tcMar>
            <w:vAlign w:val="center"/>
          </w:tcPr>
          <w:p>
            <w:r>
              <w:rPr>
                <w:b w:val="false"/>
                <w:bCs w:val="false"/>
                <w:color w:val="222222"/>
                <w:sz w:val="19"/>
                <w:szCs w:val="19"/>
              </w:rPr>
              <w:t xml:space="preserve">Lifecycle modules functional in staging</w:t>
            </w:r>
          </w:p>
        </w:tc>
        <w:tc>
          <w:tcPr>
            <w:tcW w:type="dxa" w:w="1700"/>
            <w:tcMar>
              <w:top w:type="dxa" w:w="80"/>
              <w:left w:type="dxa" w:w="120"/>
              <w:bottom w:type="dxa" w:w="80"/>
              <w:right w:type="dxa" w:w="120"/>
            </w:tcMar>
            <w:vAlign w:val="center"/>
          </w:tcPr>
          <w:p>
            <w:r>
              <w:rPr>
                <w:b w:val="false"/>
                <w:bCs w:val="false"/>
                <w:color w:val="222222"/>
                <w:sz w:val="19"/>
                <w:szCs w:val="19"/>
              </w:rPr>
              <w:t xml:space="preserve">6 weeks</w:t>
            </w:r>
          </w:p>
        </w:tc>
      </w:tr>
      <w:tr>
        <w:tc>
          <w:tcPr>
            <w:tcW w:type="dxa" w:w="1300"/>
            <w:shd w:fill="EAF1F5" w:color="auto" w:val="clear"/>
            <w:tcMar>
              <w:top w:type="dxa" w:w="80"/>
              <w:left w:type="dxa" w:w="120"/>
              <w:bottom w:type="dxa" w:w="80"/>
              <w:right w:type="dxa" w:w="120"/>
            </w:tcMar>
            <w:vAlign w:val="center"/>
          </w:tcPr>
          <w:p>
            <w:r>
              <w:rPr>
                <w:b w:val="false"/>
                <w:bCs w:val="false"/>
                <w:color w:val="222222"/>
                <w:sz w:val="19"/>
                <w:szCs w:val="19"/>
              </w:rPr>
              <w:t xml:space="preserve">6. Meetings, Records &amp; Audit Modules</w:t>
            </w:r>
          </w:p>
        </w:tc>
        <w:tc>
          <w:tcPr>
            <w:tcW w:type="dxa" w:w="2600"/>
            <w:shd w:fill="EAF1F5" w:color="auto" w:val="clear"/>
            <w:tcMar>
              <w:top w:type="dxa" w:w="80"/>
              <w:left w:type="dxa" w:w="120"/>
              <w:bottom w:type="dxa" w:w="80"/>
              <w:right w:type="dxa" w:w="120"/>
            </w:tcMar>
            <w:vAlign w:val="center"/>
          </w:tcPr>
          <w:p>
            <w:r>
              <w:rPr>
                <w:b w:val="false"/>
                <w:bCs w:val="false"/>
                <w:color w:val="222222"/>
                <w:sz w:val="19"/>
                <w:szCs w:val="19"/>
              </w:rPr>
              <w:t xml:space="preserve">Meetings/Communication, Study Files/Archive, Audit modules</w:t>
            </w:r>
          </w:p>
        </w:tc>
        <w:tc>
          <w:tcPr>
            <w:tcW w:type="dxa" w:w="3200"/>
            <w:shd w:fill="EAF1F5" w:color="auto" w:val="clear"/>
            <w:tcMar>
              <w:top w:type="dxa" w:w="80"/>
              <w:left w:type="dxa" w:w="120"/>
              <w:bottom w:type="dxa" w:w="80"/>
              <w:right w:type="dxa" w:w="120"/>
            </w:tcMar>
            <w:vAlign w:val="center"/>
          </w:tcPr>
          <w:p>
            <w:r>
              <w:rPr>
                <w:b w:val="false"/>
                <w:bCs w:val="false"/>
                <w:color w:val="222222"/>
                <w:sz w:val="19"/>
                <w:szCs w:val="19"/>
              </w:rPr>
              <w:t xml:space="preserve">Full feature set in staging</w:t>
            </w:r>
          </w:p>
        </w:tc>
        <w:tc>
          <w:tcPr>
            <w:tcW w:type="dxa" w:w="1700"/>
            <w:shd w:fill="EAF1F5" w:color="auto" w:val="clear"/>
            <w:tcMar>
              <w:top w:type="dxa" w:w="80"/>
              <w:left w:type="dxa" w:w="120"/>
              <w:bottom w:type="dxa" w:w="80"/>
              <w:right w:type="dxa" w:w="120"/>
            </w:tcMar>
            <w:vAlign w:val="center"/>
          </w:tcPr>
          <w:p>
            <w:r>
              <w:rPr>
                <w:b w:val="false"/>
                <w:bCs w:val="false"/>
                <w:color w:val="222222"/>
                <w:sz w:val="19"/>
                <w:szCs w:val="19"/>
              </w:rPr>
              <w:t xml:space="preserve">5 weeks</w:t>
            </w:r>
          </w:p>
        </w:tc>
      </w:tr>
      <w:tr>
        <w:tc>
          <w:tcPr>
            <w:tcW w:type="dxa" w:w="1300"/>
            <w:tcMar>
              <w:top w:type="dxa" w:w="80"/>
              <w:left w:type="dxa" w:w="120"/>
              <w:bottom w:type="dxa" w:w="80"/>
              <w:right w:type="dxa" w:w="120"/>
            </w:tcMar>
            <w:vAlign w:val="center"/>
          </w:tcPr>
          <w:p>
            <w:r>
              <w:rPr>
                <w:b w:val="false"/>
                <w:bCs w:val="false"/>
                <w:color w:val="222222"/>
                <w:sz w:val="19"/>
                <w:szCs w:val="19"/>
              </w:rPr>
              <w:t xml:space="preserve">7. Testing &amp; UAT</w:t>
            </w:r>
          </w:p>
        </w:tc>
        <w:tc>
          <w:tcPr>
            <w:tcW w:type="dxa" w:w="2600"/>
            <w:tcMar>
              <w:top w:type="dxa" w:w="80"/>
              <w:left w:type="dxa" w:w="120"/>
              <w:bottom w:type="dxa" w:w="80"/>
              <w:right w:type="dxa" w:w="120"/>
            </w:tcMar>
            <w:vAlign w:val="center"/>
          </w:tcPr>
          <w:p>
            <w:r>
              <w:rPr>
                <w:b w:val="false"/>
                <w:bCs w:val="false"/>
                <w:color w:val="222222"/>
                <w:sz w:val="19"/>
                <w:szCs w:val="19"/>
              </w:rPr>
              <w:t xml:space="preserve">Unit, integration, security, and user-acceptance testing</w:t>
            </w:r>
          </w:p>
        </w:tc>
        <w:tc>
          <w:tcPr>
            <w:tcW w:type="dxa" w:w="3200"/>
            <w:tcMar>
              <w:top w:type="dxa" w:w="80"/>
              <w:left w:type="dxa" w:w="120"/>
              <w:bottom w:type="dxa" w:w="80"/>
              <w:right w:type="dxa" w:w="120"/>
            </w:tcMar>
            <w:vAlign w:val="center"/>
          </w:tcPr>
          <w:p>
            <w:r>
              <w:rPr>
                <w:b w:val="false"/>
                <w:bCs w:val="false"/>
                <w:color w:val="222222"/>
                <w:sz w:val="19"/>
                <w:szCs w:val="19"/>
              </w:rPr>
              <w:t xml:space="preserve">UAT sign-off</w:t>
            </w:r>
          </w:p>
        </w:tc>
        <w:tc>
          <w:tcPr>
            <w:tcW w:type="dxa" w:w="1700"/>
            <w:tcMar>
              <w:top w:type="dxa" w:w="80"/>
              <w:left w:type="dxa" w:w="120"/>
              <w:bottom w:type="dxa" w:w="80"/>
              <w:right w:type="dxa" w:w="120"/>
            </w:tcMar>
            <w:vAlign w:val="center"/>
          </w:tcPr>
          <w:p>
            <w:r>
              <w:rPr>
                <w:b w:val="false"/>
                <w:bCs w:val="false"/>
                <w:color w:val="222222"/>
                <w:sz w:val="19"/>
                <w:szCs w:val="19"/>
              </w:rPr>
              <w:t xml:space="preserve">4 weeks</w:t>
            </w:r>
          </w:p>
        </w:tc>
      </w:tr>
      <w:tr>
        <w:tc>
          <w:tcPr>
            <w:tcW w:type="dxa" w:w="1300"/>
            <w:shd w:fill="EAF1F5" w:color="auto" w:val="clear"/>
            <w:tcMar>
              <w:top w:type="dxa" w:w="80"/>
              <w:left w:type="dxa" w:w="120"/>
              <w:bottom w:type="dxa" w:w="80"/>
              <w:right w:type="dxa" w:w="120"/>
            </w:tcMar>
            <w:vAlign w:val="center"/>
          </w:tcPr>
          <w:p>
            <w:r>
              <w:rPr>
                <w:b w:val="false"/>
                <w:bCs w:val="false"/>
                <w:color w:val="222222"/>
                <w:sz w:val="19"/>
                <w:szCs w:val="19"/>
              </w:rPr>
              <w:t xml:space="preserve">8. Deployment &amp; Training</w:t>
            </w:r>
          </w:p>
        </w:tc>
        <w:tc>
          <w:tcPr>
            <w:tcW w:type="dxa" w:w="2600"/>
            <w:shd w:fill="EAF1F5" w:color="auto" w:val="clear"/>
            <w:tcMar>
              <w:top w:type="dxa" w:w="80"/>
              <w:left w:type="dxa" w:w="120"/>
              <w:bottom w:type="dxa" w:w="80"/>
              <w:right w:type="dxa" w:w="120"/>
            </w:tcMar>
            <w:vAlign w:val="center"/>
          </w:tcPr>
          <w:p>
            <w:r>
              <w:rPr>
                <w:b w:val="false"/>
                <w:bCs w:val="false"/>
                <w:color w:val="222222"/>
                <w:sz w:val="19"/>
                <w:szCs w:val="19"/>
              </w:rPr>
              <w:t xml:space="preserve">Production deployment, user training, documentation handover</w:t>
            </w:r>
          </w:p>
        </w:tc>
        <w:tc>
          <w:tcPr>
            <w:tcW w:type="dxa" w:w="3200"/>
            <w:shd w:fill="EAF1F5" w:color="auto" w:val="clear"/>
            <w:tcMar>
              <w:top w:type="dxa" w:w="80"/>
              <w:left w:type="dxa" w:w="120"/>
              <w:bottom w:type="dxa" w:w="80"/>
              <w:right w:type="dxa" w:w="120"/>
            </w:tcMar>
            <w:vAlign w:val="center"/>
          </w:tcPr>
          <w:p>
            <w:r>
              <w:rPr>
                <w:b w:val="false"/>
                <w:bCs w:val="false"/>
                <w:color w:val="222222"/>
                <w:sz w:val="19"/>
                <w:szCs w:val="19"/>
              </w:rPr>
              <w:t xml:space="preserve">System go-live</w:t>
            </w:r>
          </w:p>
        </w:tc>
        <w:tc>
          <w:tcPr>
            <w:tcW w:type="dxa" w:w="1700"/>
            <w:shd w:fill="EAF1F5" w:color="auto" w:val="clear"/>
            <w:tcMar>
              <w:top w:type="dxa" w:w="80"/>
              <w:left w:type="dxa" w:w="120"/>
              <w:bottom w:type="dxa" w:w="80"/>
              <w:right w:type="dxa" w:w="120"/>
            </w:tcMar>
            <w:vAlign w:val="center"/>
          </w:tcPr>
          <w:p>
            <w:r>
              <w:rPr>
                <w:b w:val="false"/>
                <w:bCs w:val="false"/>
                <w:color w:val="222222"/>
                <w:sz w:val="19"/>
                <w:szCs w:val="19"/>
              </w:rPr>
              <w:t xml:space="preserve">2 weeks</w:t>
            </w:r>
          </w:p>
        </w:tc>
      </w:tr>
    </w:tbl>
    <w:p>
      <w:pPr>
        <w:pStyle w:val="Heading2"/>
        <w:spacing w:after="160" w:before="320"/>
      </w:pPr>
      <w:r>
        <w:rPr>
          <w:b/>
          <w:bCs/>
          <w:color w:val="2E5266"/>
          <w:sz w:val="24"/>
          <w:szCs w:val="24"/>
        </w:rPr>
        <w:t xml:space="preserve">6.2 Testing and Acceptance</w:t>
      </w:r>
    </w:p>
    <w:p>
      <w:pPr>
        <w:spacing w:after="160" w:line="276"/>
        <w:jc w:val="both"/>
      </w:pPr>
      <w:r>
        <w:rPr>
          <w:i w:val="false"/>
          <w:iCs w:val="false"/>
          <w:color w:val="222222"/>
          <w:sz w:val="21"/>
          <w:szCs w:val="21"/>
        </w:rPr>
        <w:t xml:space="preserve">Each module undergoes unit and integration testing during implementation, followed by consolidated system testing and a formal User Acceptance Testing (UAT) cycle with representative Secretariat, reviewer, and Chair users. Acceptance criteria are drawn directly from the requirements traceability matrix so that sign-off can be tied back to specific SOP procedures.</w:t>
      </w:r>
    </w:p>
    <w:p>
      <w:pPr>
        <w:pStyle w:val="Heading2"/>
        <w:spacing w:after="160" w:before="320"/>
      </w:pPr>
      <w:r>
        <w:rPr>
          <w:b/>
          <w:bCs/>
          <w:color w:val="2E5266"/>
          <w:sz w:val="24"/>
          <w:szCs w:val="24"/>
        </w:rPr>
        <w:t xml:space="preserve">6.3 Deployment</w:t>
      </w:r>
    </w:p>
    <w:p>
      <w:pPr>
        <w:spacing w:after="160" w:line="276"/>
        <w:jc w:val="both"/>
      </w:pPr>
      <w:r>
        <w:rPr>
          <w:i w:val="false"/>
          <w:iCs w:val="false"/>
          <w:color w:val="222222"/>
          <w:sz w:val="21"/>
          <w:szCs w:val="21"/>
        </w:rPr>
        <w:t xml:space="preserve">Deployment follows a staged approach — development, staging, and production — with data migration (where applicable), backup procedures, and a rollback plan defined before production cutover.</w:t>
      </w:r>
    </w:p>
    <w:p>
      <w:pPr>
        <w:pStyle w:val="Heading2"/>
        <w:spacing w:after="160" w:before="320"/>
      </w:pPr>
      <w:r>
        <w:rPr>
          <w:b/>
          <w:bCs/>
          <w:color w:val="2E5266"/>
          <w:sz w:val="24"/>
          <w:szCs w:val="24"/>
        </w:rPr>
        <w:t xml:space="preserve">6.4 Training and Maintenance</w:t>
      </w:r>
    </w:p>
    <w:p>
      <w:pPr>
        <w:pStyle w:val="ListParagraph"/>
        <w:numPr>
          <w:ilvl w:val="0"/>
          <w:numId w:val="3"/>
        </w:numPr>
        <w:spacing w:after="90" w:line="268"/>
      </w:pPr>
      <w:r>
        <w:rPr>
          <w:color w:val="222222"/>
          <w:sz w:val="21"/>
          <w:szCs w:val="21"/>
        </w:rPr>
        <w:t xml:space="preserve">Role-based training sessions for Secretariat, reviewers, Committee members, and administrators.</w:t>
      </w:r>
    </w:p>
    <w:p>
      <w:pPr>
        <w:pStyle w:val="ListParagraph"/>
        <w:numPr>
          <w:ilvl w:val="0"/>
          <w:numId w:val="3"/>
        </w:numPr>
        <w:spacing w:after="90" w:line="268"/>
      </w:pPr>
      <w:r>
        <w:rPr>
          <w:color w:val="222222"/>
          <w:sz w:val="21"/>
          <w:szCs w:val="21"/>
        </w:rPr>
        <w:t xml:space="preserve">User manuals and quick-reference guides for each role.</w:t>
      </w:r>
    </w:p>
    <w:p>
      <w:pPr>
        <w:pStyle w:val="ListParagraph"/>
        <w:numPr>
          <w:ilvl w:val="0"/>
          <w:numId w:val="3"/>
        </w:numPr>
        <w:spacing w:after="90" w:line="268"/>
      </w:pPr>
      <w:r>
        <w:rPr>
          <w:color w:val="222222"/>
          <w:sz w:val="21"/>
          <w:szCs w:val="21"/>
        </w:rPr>
        <w:t xml:space="preserve">A defined maintenance and support plan covering bug fixes, minor enhancements, and periodic security updates post-launch.</w:t>
      </w:r>
    </w:p>
    <w:p>
      <w:r>
        <w:br w:type="page"/>
      </w:r>
    </w:p>
    <w:p>
      <w:pPr>
        <w:pStyle w:val="Heading1"/>
        <w:pBdr>
          <w:bottom w:val="single" w:color="1B3A53" w:sz="8" w:space="4"/>
        </w:pBdr>
        <w:spacing w:after="240" w:before="480"/>
      </w:pPr>
      <w:r>
        <w:rPr>
          <w:b/>
          <w:bCs/>
          <w:color w:val="1B3A53"/>
          <w:sz w:val="30"/>
          <w:szCs w:val="30"/>
        </w:rPr>
        <w:t xml:space="preserve">Chapter Seven: Expected Benefits and Outcomes</w:t>
      </w:r>
    </w:p>
    <w:p>
      <w:pPr>
        <w:spacing w:after="160" w:line="276"/>
        <w:jc w:val="both"/>
      </w:pPr>
      <w:r>
        <w:rPr>
          <w:i w:val="false"/>
          <w:iCs w:val="false"/>
          <w:color w:val="222222"/>
          <w:sz w:val="21"/>
          <w:szCs w:val="21"/>
        </w:rPr>
        <w:t xml:space="preserve">The project will deliver an integrated, secure, and traceable IRB Management Information System that digitally represents the AWHSC-IRB's established procedures and supports the management of research submissions, ethical review, committee decision-making, study monitoring, safety reporting, records management, confidentiality, and auditing within a unified information environment.</w:t>
      </w:r>
    </w:p>
    <w:p>
      <w:pPr>
        <w:pStyle w:val="Heading2"/>
        <w:spacing w:after="160" w:before="320"/>
      </w:pPr>
      <w:r>
        <w:rPr>
          <w:b/>
          <w:bCs/>
          <w:color w:val="2E5266"/>
          <w:sz w:val="24"/>
          <w:szCs w:val="24"/>
        </w:rPr>
        <w:t xml:space="preserve">7.1 Operational Benefits</w:t>
      </w:r>
    </w:p>
    <w:p>
      <w:pPr>
        <w:pStyle w:val="ListParagraph"/>
        <w:numPr>
          <w:ilvl w:val="0"/>
          <w:numId w:val="3"/>
        </w:numPr>
        <w:spacing w:after="90" w:line="268"/>
      </w:pPr>
      <w:r>
        <w:rPr>
          <w:color w:val="222222"/>
          <w:sz w:val="21"/>
          <w:szCs w:val="21"/>
        </w:rPr>
        <w:t xml:space="preserve">Faster, more predictable turnaround for protocol review, continuing review, and amendment decisions.</w:t>
      </w:r>
    </w:p>
    <w:p>
      <w:pPr>
        <w:pStyle w:val="ListParagraph"/>
        <w:numPr>
          <w:ilvl w:val="0"/>
          <w:numId w:val="3"/>
        </w:numPr>
        <w:spacing w:after="90" w:line="268"/>
      </w:pPr>
      <w:r>
        <w:rPr>
          <w:color w:val="222222"/>
          <w:sz w:val="21"/>
          <w:szCs w:val="21"/>
        </w:rPr>
        <w:t xml:space="preserve">Reduced administrative burden on the Secretariat through automated reminders, status tracking, and document handling.</w:t>
      </w:r>
    </w:p>
    <w:p>
      <w:pPr>
        <w:pStyle w:val="ListParagraph"/>
        <w:numPr>
          <w:ilvl w:val="0"/>
          <w:numId w:val="3"/>
        </w:numPr>
        <w:spacing w:after="90" w:line="268"/>
      </w:pPr>
      <w:r>
        <w:rPr>
          <w:color w:val="222222"/>
          <w:sz w:val="21"/>
          <w:szCs w:val="21"/>
        </w:rPr>
        <w:t xml:space="preserve">A single source of truth for the status and history of every protocol, from submission to archive.</w:t>
      </w:r>
    </w:p>
    <w:p>
      <w:pPr>
        <w:pStyle w:val="Heading2"/>
        <w:spacing w:after="160" w:before="320"/>
      </w:pPr>
      <w:r>
        <w:rPr>
          <w:b/>
          <w:bCs/>
          <w:color w:val="2E5266"/>
          <w:sz w:val="24"/>
          <w:szCs w:val="24"/>
        </w:rPr>
        <w:t xml:space="preserve">7.2 Governance and Compliance Benefits</w:t>
      </w:r>
    </w:p>
    <w:p>
      <w:pPr>
        <w:pStyle w:val="ListParagraph"/>
        <w:numPr>
          <w:ilvl w:val="0"/>
          <w:numId w:val="3"/>
        </w:numPr>
        <w:spacing w:after="90" w:line="268"/>
      </w:pPr>
      <w:r>
        <w:rPr>
          <w:color w:val="222222"/>
          <w:sz w:val="21"/>
          <w:szCs w:val="21"/>
        </w:rPr>
        <w:t xml:space="preserve">Stronger confidentiality and access control aligned to the SOP's confidentiality requirements.</w:t>
      </w:r>
    </w:p>
    <w:p>
      <w:pPr>
        <w:pStyle w:val="ListParagraph"/>
        <w:numPr>
          <w:ilvl w:val="0"/>
          <w:numId w:val="3"/>
        </w:numPr>
        <w:spacing w:after="90" w:line="268"/>
      </w:pPr>
      <w:r>
        <w:rPr>
          <w:color w:val="222222"/>
          <w:sz w:val="21"/>
          <w:szCs w:val="21"/>
        </w:rPr>
        <w:t xml:space="preserve">Complete, tamper-evident audit trails supporting the SOP's Auditing and Inspection procedure.</w:t>
      </w:r>
    </w:p>
    <w:p>
      <w:pPr>
        <w:pStyle w:val="ListParagraph"/>
        <w:numPr>
          <w:ilvl w:val="0"/>
          <w:numId w:val="3"/>
        </w:numPr>
        <w:spacing w:after="90" w:line="268"/>
      </w:pPr>
      <w:r>
        <w:rPr>
          <w:color w:val="222222"/>
          <w:sz w:val="21"/>
          <w:szCs w:val="21"/>
        </w:rPr>
        <w:t xml:space="preserve">Demonstrable, source-derived traceability between institutional procedures and system functionality.</w:t>
      </w:r>
    </w:p>
    <w:p>
      <w:pPr>
        <w:pStyle w:val="Heading2"/>
        <w:spacing w:after="160" w:before="320"/>
      </w:pPr>
      <w:r>
        <w:rPr>
          <w:b/>
          <w:bCs/>
          <w:color w:val="2E5266"/>
          <w:sz w:val="24"/>
          <w:szCs w:val="24"/>
        </w:rPr>
        <w:t xml:space="preserve">7.3 Strategic Benefits</w:t>
      </w:r>
    </w:p>
    <w:p>
      <w:pPr>
        <w:pStyle w:val="ListParagraph"/>
        <w:numPr>
          <w:ilvl w:val="0"/>
          <w:numId w:val="3"/>
        </w:numPr>
        <w:spacing w:after="90" w:line="268"/>
      </w:pPr>
      <w:r>
        <w:rPr>
          <w:color w:val="222222"/>
          <w:sz w:val="21"/>
          <w:szCs w:val="21"/>
        </w:rPr>
        <w:t xml:space="preserve">A maintainable, UML-documented technical foundation that can be extended as the IRB's needs evolve.</w:t>
      </w:r>
    </w:p>
    <w:p>
      <w:pPr>
        <w:pStyle w:val="ListParagraph"/>
        <w:numPr>
          <w:ilvl w:val="0"/>
          <w:numId w:val="3"/>
        </w:numPr>
        <w:spacing w:after="90" w:line="268"/>
      </w:pPr>
      <w:r>
        <w:rPr>
          <w:color w:val="222222"/>
          <w:sz w:val="21"/>
          <w:szCs w:val="21"/>
        </w:rPr>
        <w:t xml:space="preserve">Improved institutional readiness for external audits, inspections, and accreditation reviews.</w:t>
      </w:r>
    </w:p>
    <w:p>
      <w:r>
        <w:br w:type="page"/>
      </w:r>
    </w:p>
    <w:p>
      <w:pPr>
        <w:pStyle w:val="Heading1"/>
        <w:pBdr>
          <w:bottom w:val="single" w:color="1B3A53" w:sz="8" w:space="4"/>
        </w:pBdr>
        <w:spacing w:after="240" w:before="480"/>
      </w:pPr>
      <w:r>
        <w:rPr>
          <w:b/>
          <w:bCs/>
          <w:color w:val="1B3A53"/>
          <w:sz w:val="30"/>
          <w:szCs w:val="30"/>
        </w:rPr>
        <w:t xml:space="preserve">Chapter Eight: Conclusion</w:t>
      </w:r>
    </w:p>
    <w:p>
      <w:pPr>
        <w:spacing w:after="160" w:line="276"/>
        <w:jc w:val="both"/>
      </w:pPr>
      <w:r>
        <w:rPr>
          <w:i w:val="false"/>
          <w:iCs w:val="false"/>
          <w:color w:val="222222"/>
          <w:sz w:val="21"/>
          <w:szCs w:val="21"/>
        </w:rPr>
        <w:t xml:space="preserve">This proposal presents the AWHSC-IRB Management Information System as an SOP-driven, not generic, software project. Every functional module, workflow, and data structure proposed here is traceable to a specific procedure already defined and approved within the AWHSC-IRB SOP, giving the project a defensible institutional foundation rather than an assumed one.</w:t>
      </w:r>
    </w:p>
    <w:p>
      <w:pPr>
        <w:spacing w:after="160" w:line="276"/>
        <w:jc w:val="both"/>
      </w:pPr>
      <w:r>
        <w:rPr>
          <w:i w:val="false"/>
          <w:iCs w:val="false"/>
          <w:color w:val="222222"/>
          <w:sz w:val="21"/>
          <w:szCs w:val="21"/>
        </w:rPr>
        <w:t xml:space="preserve">The recommended chain of work — AWHSC-IRB SOP, requirements, UML analysis, architecture, database/API design, implementation, and testing — is what distinguishes this proposal from a generic “we will build a website” project. It is recommended that the next step be the development of the complete Software Requirements Specification and UML analysis package (Appendices A–C), using the AWHSC-IRB SOP as the primary source, so that detailed system design and implementation can proceed on an approved and traceable basis.</w:t>
      </w:r>
    </w:p>
    <w:p>
      <w:r>
        <w:br w:type="page"/>
      </w:r>
    </w:p>
    <w:p>
      <w:pPr>
        <w:pStyle w:val="Heading1"/>
        <w:pBdr>
          <w:bottom w:val="single" w:color="1B3A53" w:sz="8" w:space="4"/>
        </w:pBdr>
        <w:spacing w:after="240" w:before="480"/>
      </w:pPr>
      <w:r>
        <w:rPr>
          <w:b/>
          <w:bCs/>
          <w:color w:val="1B3A53"/>
          <w:sz w:val="30"/>
          <w:szCs w:val="30"/>
        </w:rPr>
        <w:t xml:space="preserve">References</w:t>
      </w:r>
    </w:p>
    <w:p>
      <w:pPr>
        <w:spacing w:after="160" w:line="276"/>
        <w:jc w:val="both"/>
      </w:pPr>
      <w:r>
        <w:rPr>
          <w:i w:val="false"/>
          <w:iCs w:val="false"/>
          <w:color w:val="222222"/>
          <w:sz w:val="21"/>
          <w:szCs w:val="21"/>
        </w:rPr>
        <w:t xml:space="preserve">AWHSC-IRB. Standard Operating Procedures for the Institutional Review Board (AWHSC-IRB SOP), 2026 edition. Internal institutional document.</w:t>
      </w:r>
    </w:p>
    <w:p>
      <w:pPr>
        <w:spacing w:after="160" w:line="276"/>
        <w:jc w:val="both"/>
      </w:pPr>
      <w:r>
        <w:rPr>
          <w:i w:val="false"/>
          <w:iCs w:val="false"/>
          <w:color w:val="222222"/>
          <w:sz w:val="21"/>
          <w:szCs w:val="21"/>
        </w:rPr>
        <w:t xml:space="preserve">[Additional references — national research ethics guidelines, relevant ICH-GCP or WHO IRB guidance documents, and software engineering standards used — to be added during the requirements phase.]</w:t>
      </w:r>
    </w:p>
    <w:p>
      <w:r>
        <w:br w:type="page"/>
      </w:r>
    </w:p>
    <w:p>
      <w:pPr>
        <w:pStyle w:val="Heading1"/>
        <w:pBdr>
          <w:bottom w:val="single" w:color="1B3A53" w:sz="8" w:space="4"/>
        </w:pBdr>
        <w:spacing w:after="240" w:before="480"/>
      </w:pPr>
      <w:r>
        <w:rPr>
          <w:b/>
          <w:bCs/>
          <w:color w:val="1B3A53"/>
          <w:sz w:val="30"/>
          <w:szCs w:val="30"/>
        </w:rPr>
        <w:t xml:space="preserve">SOP-to-System Traceability</w:t>
      </w:r>
    </w:p>
    <w:p>
      <w:pPr>
        <w:spacing w:after="160" w:line="276"/>
        <w:jc w:val="both"/>
      </w:pPr>
      <w:r>
        <w:rPr>
          <w:i w:val="false"/>
          <w:iCs w:val="false"/>
          <w:color w:val="222222"/>
          <w:sz w:val="21"/>
          <w:szCs w:val="21"/>
        </w:rPr>
        <w:t xml:space="preserve">This matrix is one of the strongest elements of the proposal: it shows, procedure by procedure, that the proposed system modules and their UML artifacts are derived directly from the AWHSC-IRB's own approved SOP rather than from generic assumptions about how an IRB should operate.</w:t>
      </w:r>
    </w:p>
    <w:tbl>
      <w:tblPr>
        <w:tblW w:type="dxa" w:w="7500"/>
        <w:tblBorders>
          <w:top w:val="single" w:color="8FAFC0" w:sz="4"/>
          <w:left w:val="single" w:color="8FAFC0" w:sz="4"/>
          <w:bottom w:val="single" w:color="8FAFC0" w:sz="4"/>
          <w:right w:val="single" w:color="8FAFC0" w:sz="4"/>
          <w:insideH w:val="single" w:color="8FAFC0" w:sz="2"/>
          <w:insideV w:val="single" w:color="8FAFC0" w:sz="2"/>
        </w:tblBorders>
      </w:tblPr>
      <w:tblGrid>
        <w:gridCol w:w="2500"/>
        <w:gridCol w:w="2500"/>
        <w:gridCol w:w="2500"/>
      </w:tblGrid>
      <w:tr>
        <w:trPr>
          <w:tblHeader/>
        </w:trPr>
        <w:tc>
          <w:tcPr>
            <w:tcW w:type="dxa" w:w="2500"/>
            <w:shd w:fill="1B3A53" w:color="auto" w:val="clear"/>
            <w:tcMar>
              <w:top w:type="dxa" w:w="80"/>
              <w:left w:type="dxa" w:w="120"/>
              <w:bottom w:type="dxa" w:w="80"/>
              <w:right w:type="dxa" w:w="120"/>
            </w:tcMar>
            <w:vAlign w:val="center"/>
          </w:tcPr>
          <w:p>
            <w:r>
              <w:rPr>
                <w:b/>
                <w:bCs/>
                <w:color w:val="FFFFFF"/>
                <w:sz w:val="19"/>
                <w:szCs w:val="19"/>
              </w:rPr>
              <w:t xml:space="preserve">AWHSC-IRB SOP Procedure</w:t>
            </w:r>
          </w:p>
        </w:tc>
        <w:tc>
          <w:tcPr>
            <w:tcW w:type="dxa" w:w="2500"/>
            <w:shd w:fill="1B3A53" w:color="auto" w:val="clear"/>
            <w:tcMar>
              <w:top w:type="dxa" w:w="80"/>
              <w:left w:type="dxa" w:w="120"/>
              <w:bottom w:type="dxa" w:w="80"/>
              <w:right w:type="dxa" w:w="120"/>
            </w:tcMar>
            <w:vAlign w:val="center"/>
          </w:tcPr>
          <w:p>
            <w:r>
              <w:rPr>
                <w:b/>
                <w:bCs/>
                <w:color w:val="FFFFFF"/>
                <w:sz w:val="19"/>
                <w:szCs w:val="19"/>
              </w:rPr>
              <w:t xml:space="preserve">Proposed System Module</w:t>
            </w:r>
          </w:p>
        </w:tc>
        <w:tc>
          <w:tcPr>
            <w:tcW w:type="dxa" w:w="2500"/>
            <w:shd w:fill="1B3A53" w:color="auto" w:val="clear"/>
            <w:tcMar>
              <w:top w:type="dxa" w:w="80"/>
              <w:left w:type="dxa" w:w="120"/>
              <w:bottom w:type="dxa" w:w="80"/>
              <w:right w:type="dxa" w:w="120"/>
            </w:tcMar>
            <w:vAlign w:val="center"/>
          </w:tcPr>
          <w:p>
            <w:r>
              <w:rPr>
                <w:b/>
                <w:bCs/>
                <w:color w:val="FFFFFF"/>
                <w:sz w:val="19"/>
                <w:szCs w:val="19"/>
              </w:rPr>
              <w:t xml:space="preserve">Primary UML Artifact</w:t>
            </w:r>
          </w:p>
        </w:tc>
      </w:tr>
      <w:tr>
        <w:tc>
          <w:tcPr>
            <w:tcW w:type="dxa" w:w="2500"/>
            <w:tcMar>
              <w:top w:type="dxa" w:w="80"/>
              <w:left w:type="dxa" w:w="120"/>
              <w:bottom w:type="dxa" w:w="80"/>
              <w:right w:type="dxa" w:w="120"/>
            </w:tcMar>
            <w:vAlign w:val="center"/>
          </w:tcPr>
          <w:p>
            <w:r>
              <w:rPr>
                <w:b w:val="false"/>
                <w:bCs w:val="false"/>
                <w:color w:val="222222"/>
                <w:sz w:val="19"/>
                <w:szCs w:val="19"/>
              </w:rPr>
              <w:t xml:space="preserve">Protocol Review</w:t>
            </w:r>
          </w:p>
        </w:tc>
        <w:tc>
          <w:tcPr>
            <w:tcW w:type="dxa" w:w="2500"/>
            <w:tcMar>
              <w:top w:type="dxa" w:w="80"/>
              <w:left w:type="dxa" w:w="120"/>
              <w:bottom w:type="dxa" w:w="80"/>
              <w:right w:type="dxa" w:w="120"/>
            </w:tcMar>
            <w:vAlign w:val="center"/>
          </w:tcPr>
          <w:p>
            <w:r>
              <w:rPr>
                <w:b w:val="false"/>
                <w:bCs w:val="false"/>
                <w:color w:val="222222"/>
                <w:sz w:val="19"/>
                <w:szCs w:val="19"/>
              </w:rPr>
              <w:t xml:space="preserve">Protocol Review</w:t>
            </w:r>
          </w:p>
        </w:tc>
        <w:tc>
          <w:tcPr>
            <w:tcW w:type="dxa" w:w="2500"/>
            <w:tcMar>
              <w:top w:type="dxa" w:w="80"/>
              <w:left w:type="dxa" w:w="120"/>
              <w:bottom w:type="dxa" w:w="80"/>
              <w:right w:type="dxa" w:w="120"/>
            </w:tcMar>
            <w:vAlign w:val="center"/>
          </w:tcPr>
          <w:p>
            <w:r>
              <w:rPr>
                <w:b w:val="false"/>
                <w:bCs w:val="false"/>
                <w:color w:val="222222"/>
                <w:sz w:val="19"/>
                <w:szCs w:val="19"/>
              </w:rPr>
              <w:t xml:space="preserve">Use Case + Activity</w:t>
            </w:r>
          </w:p>
        </w:tc>
      </w:tr>
      <w:tr>
        <w:tc>
          <w:tcPr>
            <w:tcW w:type="dxa" w:w="2500"/>
            <w:shd w:fill="EAF1F5" w:color="auto" w:val="clear"/>
            <w:tcMar>
              <w:top w:type="dxa" w:w="80"/>
              <w:left w:type="dxa" w:w="120"/>
              <w:bottom w:type="dxa" w:w="80"/>
              <w:right w:type="dxa" w:w="120"/>
            </w:tcMar>
            <w:vAlign w:val="center"/>
          </w:tcPr>
          <w:p>
            <w:r>
              <w:rPr>
                <w:b w:val="false"/>
                <w:bCs w:val="false"/>
                <w:color w:val="222222"/>
                <w:sz w:val="19"/>
                <w:szCs w:val="19"/>
              </w:rPr>
              <w:t xml:space="preserve">Resubmitted Protocol</w:t>
            </w:r>
          </w:p>
        </w:tc>
        <w:tc>
          <w:tcPr>
            <w:tcW w:type="dxa" w:w="2500"/>
            <w:shd w:fill="EAF1F5" w:color="auto" w:val="clear"/>
            <w:tcMar>
              <w:top w:type="dxa" w:w="80"/>
              <w:left w:type="dxa" w:w="120"/>
              <w:bottom w:type="dxa" w:w="80"/>
              <w:right w:type="dxa" w:w="120"/>
            </w:tcMar>
            <w:vAlign w:val="center"/>
          </w:tcPr>
          <w:p>
            <w:r>
              <w:rPr>
                <w:b w:val="false"/>
                <w:bCs w:val="false"/>
                <w:color w:val="222222"/>
                <w:sz w:val="19"/>
                <w:szCs w:val="19"/>
              </w:rPr>
              <w:t xml:space="preserve">Resubmission</w:t>
            </w:r>
          </w:p>
        </w:tc>
        <w:tc>
          <w:tcPr>
            <w:tcW w:type="dxa" w:w="2500"/>
            <w:shd w:fill="EAF1F5" w:color="auto" w:val="clear"/>
            <w:tcMar>
              <w:top w:type="dxa" w:w="80"/>
              <w:left w:type="dxa" w:w="120"/>
              <w:bottom w:type="dxa" w:w="80"/>
              <w:right w:type="dxa" w:w="120"/>
            </w:tcMar>
            <w:vAlign w:val="center"/>
          </w:tcPr>
          <w:p>
            <w:r>
              <w:rPr>
                <w:b w:val="false"/>
                <w:bCs w:val="false"/>
                <w:color w:val="222222"/>
                <w:sz w:val="19"/>
                <w:szCs w:val="19"/>
              </w:rPr>
              <w:t xml:space="preserve">Activity + State</w:t>
            </w:r>
          </w:p>
        </w:tc>
      </w:tr>
      <w:tr>
        <w:tc>
          <w:tcPr>
            <w:tcW w:type="dxa" w:w="2500"/>
            <w:tcMar>
              <w:top w:type="dxa" w:w="80"/>
              <w:left w:type="dxa" w:w="120"/>
              <w:bottom w:type="dxa" w:w="80"/>
              <w:right w:type="dxa" w:w="120"/>
            </w:tcMar>
            <w:vAlign w:val="center"/>
          </w:tcPr>
          <w:p>
            <w:r>
              <w:rPr>
                <w:b w:val="false"/>
                <w:bCs w:val="false"/>
                <w:color w:val="222222"/>
                <w:sz w:val="19"/>
                <w:szCs w:val="19"/>
              </w:rPr>
              <w:t xml:space="preserve">Continuing Review</w:t>
            </w:r>
          </w:p>
        </w:tc>
        <w:tc>
          <w:tcPr>
            <w:tcW w:type="dxa" w:w="2500"/>
            <w:tcMar>
              <w:top w:type="dxa" w:w="80"/>
              <w:left w:type="dxa" w:w="120"/>
              <w:bottom w:type="dxa" w:w="80"/>
              <w:right w:type="dxa" w:w="120"/>
            </w:tcMar>
            <w:vAlign w:val="center"/>
          </w:tcPr>
          <w:p>
            <w:r>
              <w:rPr>
                <w:b w:val="false"/>
                <w:bCs w:val="false"/>
                <w:color w:val="222222"/>
                <w:sz w:val="19"/>
                <w:szCs w:val="19"/>
              </w:rPr>
              <w:t xml:space="preserve">Study Lifecycle Management</w:t>
            </w:r>
          </w:p>
        </w:tc>
        <w:tc>
          <w:tcPr>
            <w:tcW w:type="dxa" w:w="2500"/>
            <w:tcMar>
              <w:top w:type="dxa" w:w="80"/>
              <w:left w:type="dxa" w:w="120"/>
              <w:bottom w:type="dxa" w:w="80"/>
              <w:right w:type="dxa" w:w="120"/>
            </w:tcMar>
            <w:vAlign w:val="center"/>
          </w:tcPr>
          <w:p>
            <w:r>
              <w:rPr>
                <w:b w:val="false"/>
                <w:bCs w:val="false"/>
                <w:color w:val="222222"/>
                <w:sz w:val="19"/>
                <w:szCs w:val="19"/>
              </w:rPr>
              <w:t xml:space="preserve">State + Sequence</w:t>
            </w:r>
          </w:p>
        </w:tc>
      </w:tr>
      <w:tr>
        <w:tc>
          <w:tcPr>
            <w:tcW w:type="dxa" w:w="2500"/>
            <w:shd w:fill="EAF1F5" w:color="auto" w:val="clear"/>
            <w:tcMar>
              <w:top w:type="dxa" w:w="80"/>
              <w:left w:type="dxa" w:w="120"/>
              <w:bottom w:type="dxa" w:w="80"/>
              <w:right w:type="dxa" w:w="120"/>
            </w:tcMar>
            <w:vAlign w:val="center"/>
          </w:tcPr>
          <w:p>
            <w:r>
              <w:rPr>
                <w:b w:val="false"/>
                <w:bCs w:val="false"/>
                <w:color w:val="222222"/>
                <w:sz w:val="19"/>
                <w:szCs w:val="19"/>
              </w:rPr>
              <w:t xml:space="preserve">Final Report</w:t>
            </w:r>
          </w:p>
        </w:tc>
        <w:tc>
          <w:tcPr>
            <w:tcW w:type="dxa" w:w="2500"/>
            <w:shd w:fill="EAF1F5" w:color="auto" w:val="clear"/>
            <w:tcMar>
              <w:top w:type="dxa" w:w="80"/>
              <w:left w:type="dxa" w:w="120"/>
              <w:bottom w:type="dxa" w:w="80"/>
              <w:right w:type="dxa" w:w="120"/>
            </w:tcMar>
            <w:vAlign w:val="center"/>
          </w:tcPr>
          <w:p>
            <w:r>
              <w:rPr>
                <w:b w:val="false"/>
                <w:bCs w:val="false"/>
                <w:color w:val="222222"/>
                <w:sz w:val="19"/>
                <w:szCs w:val="19"/>
              </w:rPr>
              <w:t xml:space="preserve">Study Closure</w:t>
            </w:r>
          </w:p>
        </w:tc>
        <w:tc>
          <w:tcPr>
            <w:tcW w:type="dxa" w:w="2500"/>
            <w:shd w:fill="EAF1F5" w:color="auto" w:val="clear"/>
            <w:tcMar>
              <w:top w:type="dxa" w:w="80"/>
              <w:left w:type="dxa" w:w="120"/>
              <w:bottom w:type="dxa" w:w="80"/>
              <w:right w:type="dxa" w:w="120"/>
            </w:tcMar>
            <w:vAlign w:val="center"/>
          </w:tcPr>
          <w:p>
            <w:r>
              <w:rPr>
                <w:b w:val="false"/>
                <w:bCs w:val="false"/>
                <w:color w:val="222222"/>
                <w:sz w:val="19"/>
                <w:szCs w:val="19"/>
              </w:rPr>
              <w:t xml:space="preserve">Activity</w:t>
            </w:r>
          </w:p>
        </w:tc>
      </w:tr>
      <w:tr>
        <w:tc>
          <w:tcPr>
            <w:tcW w:type="dxa" w:w="2500"/>
            <w:tcMar>
              <w:top w:type="dxa" w:w="80"/>
              <w:left w:type="dxa" w:w="120"/>
              <w:bottom w:type="dxa" w:w="80"/>
              <w:right w:type="dxa" w:w="120"/>
            </w:tcMar>
            <w:vAlign w:val="center"/>
          </w:tcPr>
          <w:p>
            <w:r>
              <w:rPr>
                <w:b w:val="false"/>
                <w:bCs w:val="false"/>
                <w:color w:val="222222"/>
                <w:sz w:val="19"/>
                <w:szCs w:val="19"/>
              </w:rPr>
              <w:t xml:space="preserve">Protocol Amendment</w:t>
            </w:r>
          </w:p>
        </w:tc>
        <w:tc>
          <w:tcPr>
            <w:tcW w:type="dxa" w:w="2500"/>
            <w:tcMar>
              <w:top w:type="dxa" w:w="80"/>
              <w:left w:type="dxa" w:w="120"/>
              <w:bottom w:type="dxa" w:w="80"/>
              <w:right w:type="dxa" w:w="120"/>
            </w:tcMar>
            <w:vAlign w:val="center"/>
          </w:tcPr>
          <w:p>
            <w:r>
              <w:rPr>
                <w:b w:val="false"/>
                <w:bCs w:val="false"/>
                <w:color w:val="222222"/>
                <w:sz w:val="19"/>
                <w:szCs w:val="19"/>
              </w:rPr>
              <w:t xml:space="preserve">Amendment Management</w:t>
            </w:r>
          </w:p>
        </w:tc>
        <w:tc>
          <w:tcPr>
            <w:tcW w:type="dxa" w:w="2500"/>
            <w:tcMar>
              <w:top w:type="dxa" w:w="80"/>
              <w:left w:type="dxa" w:w="120"/>
              <w:bottom w:type="dxa" w:w="80"/>
              <w:right w:type="dxa" w:w="120"/>
            </w:tcMar>
            <w:vAlign w:val="center"/>
          </w:tcPr>
          <w:p>
            <w:r>
              <w:rPr>
                <w:b w:val="false"/>
                <w:bCs w:val="false"/>
                <w:color w:val="222222"/>
                <w:sz w:val="19"/>
                <w:szCs w:val="19"/>
              </w:rPr>
              <w:t xml:space="preserve">Sequence + State</w:t>
            </w:r>
          </w:p>
        </w:tc>
      </w:tr>
      <w:tr>
        <w:tc>
          <w:tcPr>
            <w:tcW w:type="dxa" w:w="2500"/>
            <w:shd w:fill="EAF1F5" w:color="auto" w:val="clear"/>
            <w:tcMar>
              <w:top w:type="dxa" w:w="80"/>
              <w:left w:type="dxa" w:w="120"/>
              <w:bottom w:type="dxa" w:w="80"/>
              <w:right w:type="dxa" w:w="120"/>
            </w:tcMar>
            <w:vAlign w:val="center"/>
          </w:tcPr>
          <w:p>
            <w:r>
              <w:rPr>
                <w:b w:val="false"/>
                <w:bCs w:val="false"/>
                <w:color w:val="222222"/>
                <w:sz w:val="19"/>
                <w:szCs w:val="19"/>
              </w:rPr>
              <w:t xml:space="preserve">Safety Report</w:t>
            </w:r>
          </w:p>
        </w:tc>
        <w:tc>
          <w:tcPr>
            <w:tcW w:type="dxa" w:w="2500"/>
            <w:shd w:fill="EAF1F5" w:color="auto" w:val="clear"/>
            <w:tcMar>
              <w:top w:type="dxa" w:w="80"/>
              <w:left w:type="dxa" w:w="120"/>
              <w:bottom w:type="dxa" w:w="80"/>
              <w:right w:type="dxa" w:w="120"/>
            </w:tcMar>
            <w:vAlign w:val="center"/>
          </w:tcPr>
          <w:p>
            <w:r>
              <w:rPr>
                <w:b w:val="false"/>
                <w:bCs w:val="false"/>
                <w:color w:val="222222"/>
                <w:sz w:val="19"/>
                <w:szCs w:val="19"/>
              </w:rPr>
              <w:t xml:space="preserve">Safety Management</w:t>
            </w:r>
          </w:p>
        </w:tc>
        <w:tc>
          <w:tcPr>
            <w:tcW w:type="dxa" w:w="2500"/>
            <w:shd w:fill="EAF1F5" w:color="auto" w:val="clear"/>
            <w:tcMar>
              <w:top w:type="dxa" w:w="80"/>
              <w:left w:type="dxa" w:w="120"/>
              <w:bottom w:type="dxa" w:w="80"/>
              <w:right w:type="dxa" w:w="120"/>
            </w:tcMar>
            <w:vAlign w:val="center"/>
          </w:tcPr>
          <w:p>
            <w:r>
              <w:rPr>
                <w:b w:val="false"/>
                <w:bCs w:val="false"/>
                <w:color w:val="222222"/>
                <w:sz w:val="19"/>
                <w:szCs w:val="19"/>
              </w:rPr>
              <w:t xml:space="preserve">Class + Workflow</w:t>
            </w:r>
          </w:p>
        </w:tc>
      </w:tr>
      <w:tr>
        <w:tc>
          <w:tcPr>
            <w:tcW w:type="dxa" w:w="2500"/>
            <w:tcMar>
              <w:top w:type="dxa" w:w="80"/>
              <w:left w:type="dxa" w:w="120"/>
              <w:bottom w:type="dxa" w:w="80"/>
              <w:right w:type="dxa" w:w="120"/>
            </w:tcMar>
            <w:vAlign w:val="center"/>
          </w:tcPr>
          <w:p>
            <w:r>
              <w:rPr>
                <w:b w:val="false"/>
                <w:bCs w:val="false"/>
                <w:color w:val="222222"/>
                <w:sz w:val="19"/>
                <w:szCs w:val="19"/>
              </w:rPr>
              <w:t xml:space="preserve">Site Monitoring</w:t>
            </w:r>
          </w:p>
        </w:tc>
        <w:tc>
          <w:tcPr>
            <w:tcW w:type="dxa" w:w="2500"/>
            <w:tcMar>
              <w:top w:type="dxa" w:w="80"/>
              <w:left w:type="dxa" w:w="120"/>
              <w:bottom w:type="dxa" w:w="80"/>
              <w:right w:type="dxa" w:w="120"/>
            </w:tcMar>
            <w:vAlign w:val="center"/>
          </w:tcPr>
          <w:p>
            <w:r>
              <w:rPr>
                <w:b w:val="false"/>
                <w:bCs w:val="false"/>
                <w:color w:val="222222"/>
                <w:sz w:val="19"/>
                <w:szCs w:val="19"/>
              </w:rPr>
              <w:t xml:space="preserve">Monitoring</w:t>
            </w:r>
          </w:p>
        </w:tc>
        <w:tc>
          <w:tcPr>
            <w:tcW w:type="dxa" w:w="2500"/>
            <w:tcMar>
              <w:top w:type="dxa" w:w="80"/>
              <w:left w:type="dxa" w:w="120"/>
              <w:bottom w:type="dxa" w:w="80"/>
              <w:right w:type="dxa" w:w="120"/>
            </w:tcMar>
            <w:vAlign w:val="center"/>
          </w:tcPr>
          <w:p>
            <w:r>
              <w:rPr>
                <w:b w:val="false"/>
                <w:bCs w:val="false"/>
                <w:color w:val="222222"/>
                <w:sz w:val="19"/>
                <w:szCs w:val="19"/>
              </w:rPr>
              <w:t xml:space="preserve">Activity</w:t>
            </w:r>
          </w:p>
        </w:tc>
      </w:tr>
      <w:tr>
        <w:tc>
          <w:tcPr>
            <w:tcW w:type="dxa" w:w="2500"/>
            <w:shd w:fill="EAF1F5" w:color="auto" w:val="clear"/>
            <w:tcMar>
              <w:top w:type="dxa" w:w="80"/>
              <w:left w:type="dxa" w:w="120"/>
              <w:bottom w:type="dxa" w:w="80"/>
              <w:right w:type="dxa" w:w="120"/>
            </w:tcMar>
            <w:vAlign w:val="center"/>
          </w:tcPr>
          <w:p>
            <w:r>
              <w:rPr>
                <w:b w:val="false"/>
                <w:bCs w:val="false"/>
                <w:color w:val="222222"/>
                <w:sz w:val="19"/>
                <w:szCs w:val="19"/>
              </w:rPr>
              <w:t xml:space="preserve">Meeting &amp; Minutes</w:t>
            </w:r>
          </w:p>
        </w:tc>
        <w:tc>
          <w:tcPr>
            <w:tcW w:type="dxa" w:w="2500"/>
            <w:shd w:fill="EAF1F5" w:color="auto" w:val="clear"/>
            <w:tcMar>
              <w:top w:type="dxa" w:w="80"/>
              <w:left w:type="dxa" w:w="120"/>
              <w:bottom w:type="dxa" w:w="80"/>
              <w:right w:type="dxa" w:w="120"/>
            </w:tcMar>
            <w:vAlign w:val="center"/>
          </w:tcPr>
          <w:p>
            <w:r>
              <w:rPr>
                <w:b w:val="false"/>
                <w:bCs w:val="false"/>
                <w:color w:val="222222"/>
                <w:sz w:val="19"/>
                <w:szCs w:val="19"/>
              </w:rPr>
              <w:t xml:space="preserve">Meeting Management</w:t>
            </w:r>
          </w:p>
        </w:tc>
        <w:tc>
          <w:tcPr>
            <w:tcW w:type="dxa" w:w="2500"/>
            <w:shd w:fill="EAF1F5" w:color="auto" w:val="clear"/>
            <w:tcMar>
              <w:top w:type="dxa" w:w="80"/>
              <w:left w:type="dxa" w:w="120"/>
              <w:bottom w:type="dxa" w:w="80"/>
              <w:right w:type="dxa" w:w="120"/>
            </w:tcMar>
            <w:vAlign w:val="center"/>
          </w:tcPr>
          <w:p>
            <w:r>
              <w:rPr>
                <w:b w:val="false"/>
                <w:bCs w:val="false"/>
                <w:color w:val="222222"/>
                <w:sz w:val="19"/>
                <w:szCs w:val="19"/>
              </w:rPr>
              <w:t xml:space="preserve">Sequence</w:t>
            </w:r>
          </w:p>
        </w:tc>
      </w:tr>
      <w:tr>
        <w:tc>
          <w:tcPr>
            <w:tcW w:type="dxa" w:w="2500"/>
            <w:tcMar>
              <w:top w:type="dxa" w:w="80"/>
              <w:left w:type="dxa" w:w="120"/>
              <w:bottom w:type="dxa" w:w="80"/>
              <w:right w:type="dxa" w:w="120"/>
            </w:tcMar>
            <w:vAlign w:val="center"/>
          </w:tcPr>
          <w:p>
            <w:r>
              <w:rPr>
                <w:b w:val="false"/>
                <w:bCs w:val="false"/>
                <w:color w:val="222222"/>
                <w:sz w:val="19"/>
                <w:szCs w:val="19"/>
              </w:rPr>
              <w:t xml:space="preserve">Communication Records</w:t>
            </w:r>
          </w:p>
        </w:tc>
        <w:tc>
          <w:tcPr>
            <w:tcW w:type="dxa" w:w="2500"/>
            <w:tcMar>
              <w:top w:type="dxa" w:w="80"/>
              <w:left w:type="dxa" w:w="120"/>
              <w:bottom w:type="dxa" w:w="80"/>
              <w:right w:type="dxa" w:w="120"/>
            </w:tcMar>
            <w:vAlign w:val="center"/>
          </w:tcPr>
          <w:p>
            <w:r>
              <w:rPr>
                <w:b w:val="false"/>
                <w:bCs w:val="false"/>
                <w:color w:val="222222"/>
                <w:sz w:val="19"/>
                <w:szCs w:val="19"/>
              </w:rPr>
              <w:t xml:space="preserve">Communication</w:t>
            </w:r>
          </w:p>
        </w:tc>
        <w:tc>
          <w:tcPr>
            <w:tcW w:type="dxa" w:w="2500"/>
            <w:tcMar>
              <w:top w:type="dxa" w:w="80"/>
              <w:left w:type="dxa" w:w="120"/>
              <w:bottom w:type="dxa" w:w="80"/>
              <w:right w:type="dxa" w:w="120"/>
            </w:tcMar>
            <w:vAlign w:val="center"/>
          </w:tcPr>
          <w:p>
            <w:r>
              <w:rPr>
                <w:b w:val="false"/>
                <w:bCs w:val="false"/>
                <w:color w:val="222222"/>
                <w:sz w:val="19"/>
                <w:szCs w:val="19"/>
              </w:rPr>
              <w:t xml:space="preserve">Class + API</w:t>
            </w:r>
          </w:p>
        </w:tc>
      </w:tr>
      <w:tr>
        <w:tc>
          <w:tcPr>
            <w:tcW w:type="dxa" w:w="2500"/>
            <w:shd w:fill="EAF1F5" w:color="auto" w:val="clear"/>
            <w:tcMar>
              <w:top w:type="dxa" w:w="80"/>
              <w:left w:type="dxa" w:w="120"/>
              <w:bottom w:type="dxa" w:w="80"/>
              <w:right w:type="dxa" w:w="120"/>
            </w:tcMar>
            <w:vAlign w:val="center"/>
          </w:tcPr>
          <w:p>
            <w:r>
              <w:rPr>
                <w:b w:val="false"/>
                <w:bCs w:val="false"/>
                <w:color w:val="222222"/>
                <w:sz w:val="19"/>
                <w:szCs w:val="19"/>
              </w:rPr>
              <w:t xml:space="preserve">Active Study Files</w:t>
            </w:r>
          </w:p>
        </w:tc>
        <w:tc>
          <w:tcPr>
            <w:tcW w:type="dxa" w:w="2500"/>
            <w:shd w:fill="EAF1F5" w:color="auto" w:val="clear"/>
            <w:tcMar>
              <w:top w:type="dxa" w:w="80"/>
              <w:left w:type="dxa" w:w="120"/>
              <w:bottom w:type="dxa" w:w="80"/>
              <w:right w:type="dxa" w:w="120"/>
            </w:tcMar>
            <w:vAlign w:val="center"/>
          </w:tcPr>
          <w:p>
            <w:r>
              <w:rPr>
                <w:b w:val="false"/>
                <w:bCs w:val="false"/>
                <w:color w:val="222222"/>
                <w:sz w:val="19"/>
                <w:szCs w:val="19"/>
              </w:rPr>
              <w:t xml:space="preserve">Records Management</w:t>
            </w:r>
          </w:p>
        </w:tc>
        <w:tc>
          <w:tcPr>
            <w:tcW w:type="dxa" w:w="2500"/>
            <w:shd w:fill="EAF1F5" w:color="auto" w:val="clear"/>
            <w:tcMar>
              <w:top w:type="dxa" w:w="80"/>
              <w:left w:type="dxa" w:w="120"/>
              <w:bottom w:type="dxa" w:w="80"/>
              <w:right w:type="dxa" w:w="120"/>
            </w:tcMar>
            <w:vAlign w:val="center"/>
          </w:tcPr>
          <w:p>
            <w:r>
              <w:rPr>
                <w:b w:val="false"/>
                <w:bCs w:val="false"/>
                <w:color w:val="222222"/>
                <w:sz w:val="19"/>
                <w:szCs w:val="19"/>
              </w:rPr>
              <w:t xml:space="preserve">Class + ERD</w:t>
            </w:r>
          </w:p>
        </w:tc>
      </w:tr>
      <w:tr>
        <w:tc>
          <w:tcPr>
            <w:tcW w:type="dxa" w:w="2500"/>
            <w:tcMar>
              <w:top w:type="dxa" w:w="80"/>
              <w:left w:type="dxa" w:w="120"/>
              <w:bottom w:type="dxa" w:w="80"/>
              <w:right w:type="dxa" w:w="120"/>
            </w:tcMar>
            <w:vAlign w:val="center"/>
          </w:tcPr>
          <w:p>
            <w:r>
              <w:rPr>
                <w:b w:val="false"/>
                <w:bCs w:val="false"/>
                <w:color w:val="222222"/>
                <w:sz w:val="19"/>
                <w:szCs w:val="19"/>
              </w:rPr>
              <w:t xml:space="preserve">Archive / Retrieval</w:t>
            </w:r>
          </w:p>
        </w:tc>
        <w:tc>
          <w:tcPr>
            <w:tcW w:type="dxa" w:w="2500"/>
            <w:tcMar>
              <w:top w:type="dxa" w:w="80"/>
              <w:left w:type="dxa" w:w="120"/>
              <w:bottom w:type="dxa" w:w="80"/>
              <w:right w:type="dxa" w:w="120"/>
            </w:tcMar>
            <w:vAlign w:val="center"/>
          </w:tcPr>
          <w:p>
            <w:r>
              <w:rPr>
                <w:b w:val="false"/>
                <w:bCs w:val="false"/>
                <w:color w:val="222222"/>
                <w:sz w:val="19"/>
                <w:szCs w:val="19"/>
              </w:rPr>
              <w:t xml:space="preserve">Archive</w:t>
            </w:r>
          </w:p>
        </w:tc>
        <w:tc>
          <w:tcPr>
            <w:tcW w:type="dxa" w:w="2500"/>
            <w:tcMar>
              <w:top w:type="dxa" w:w="80"/>
              <w:left w:type="dxa" w:w="120"/>
              <w:bottom w:type="dxa" w:w="80"/>
              <w:right w:type="dxa" w:w="120"/>
            </w:tcMar>
            <w:vAlign w:val="center"/>
          </w:tcPr>
          <w:p>
            <w:r>
              <w:rPr>
                <w:b w:val="false"/>
                <w:bCs w:val="false"/>
                <w:color w:val="222222"/>
                <w:sz w:val="19"/>
                <w:szCs w:val="19"/>
              </w:rPr>
              <w:t xml:space="preserve">Activity</w:t>
            </w:r>
          </w:p>
        </w:tc>
      </w:tr>
      <w:tr>
        <w:tc>
          <w:tcPr>
            <w:tcW w:type="dxa" w:w="2500"/>
            <w:shd w:fill="EAF1F5" w:color="auto" w:val="clear"/>
            <w:tcMar>
              <w:top w:type="dxa" w:w="80"/>
              <w:left w:type="dxa" w:w="120"/>
              <w:bottom w:type="dxa" w:w="80"/>
              <w:right w:type="dxa" w:w="120"/>
            </w:tcMar>
            <w:vAlign w:val="center"/>
          </w:tcPr>
          <w:p>
            <w:r>
              <w:rPr>
                <w:b w:val="false"/>
                <w:bCs w:val="false"/>
                <w:color w:val="222222"/>
                <w:sz w:val="19"/>
                <w:szCs w:val="19"/>
              </w:rPr>
              <w:t xml:space="preserve">Confidentiality</w:t>
            </w:r>
          </w:p>
        </w:tc>
        <w:tc>
          <w:tcPr>
            <w:tcW w:type="dxa" w:w="2500"/>
            <w:shd w:fill="EAF1F5" w:color="auto" w:val="clear"/>
            <w:tcMar>
              <w:top w:type="dxa" w:w="80"/>
              <w:left w:type="dxa" w:w="120"/>
              <w:bottom w:type="dxa" w:w="80"/>
              <w:right w:type="dxa" w:w="120"/>
            </w:tcMar>
            <w:vAlign w:val="center"/>
          </w:tcPr>
          <w:p>
            <w:r>
              <w:rPr>
                <w:b w:val="false"/>
                <w:bCs w:val="false"/>
                <w:color w:val="222222"/>
                <w:sz w:val="19"/>
                <w:szCs w:val="19"/>
              </w:rPr>
              <w:t xml:space="preserve">Security / RBAC</w:t>
            </w:r>
          </w:p>
        </w:tc>
        <w:tc>
          <w:tcPr>
            <w:tcW w:type="dxa" w:w="2500"/>
            <w:shd w:fill="EAF1F5" w:color="auto" w:val="clear"/>
            <w:tcMar>
              <w:top w:type="dxa" w:w="80"/>
              <w:left w:type="dxa" w:w="120"/>
              <w:bottom w:type="dxa" w:w="80"/>
              <w:right w:type="dxa" w:w="120"/>
            </w:tcMar>
            <w:vAlign w:val="center"/>
          </w:tcPr>
          <w:p>
            <w:r>
              <w:rPr>
                <w:b w:val="false"/>
                <w:bCs w:val="false"/>
                <w:color w:val="222222"/>
                <w:sz w:val="19"/>
                <w:szCs w:val="19"/>
              </w:rPr>
              <w:t xml:space="preserve">Component</w:t>
            </w:r>
          </w:p>
        </w:tc>
      </w:tr>
      <w:tr>
        <w:tc>
          <w:tcPr>
            <w:tcW w:type="dxa" w:w="2500"/>
            <w:tcMar>
              <w:top w:type="dxa" w:w="80"/>
              <w:left w:type="dxa" w:w="120"/>
              <w:bottom w:type="dxa" w:w="80"/>
              <w:right w:type="dxa" w:w="120"/>
            </w:tcMar>
            <w:vAlign w:val="center"/>
          </w:tcPr>
          <w:p>
            <w:r>
              <w:rPr>
                <w:b w:val="false"/>
                <w:bCs w:val="false"/>
                <w:color w:val="222222"/>
                <w:sz w:val="19"/>
                <w:szCs w:val="19"/>
              </w:rPr>
              <w:t xml:space="preserve">Auditing &amp; Inspection</w:t>
            </w:r>
          </w:p>
        </w:tc>
        <w:tc>
          <w:tcPr>
            <w:tcW w:type="dxa" w:w="2500"/>
            <w:tcMar>
              <w:top w:type="dxa" w:w="80"/>
              <w:left w:type="dxa" w:w="120"/>
              <w:bottom w:type="dxa" w:w="80"/>
              <w:right w:type="dxa" w:w="120"/>
            </w:tcMar>
            <w:vAlign w:val="center"/>
          </w:tcPr>
          <w:p>
            <w:r>
              <w:rPr>
                <w:b w:val="false"/>
                <w:bCs w:val="false"/>
                <w:color w:val="222222"/>
                <w:sz w:val="19"/>
                <w:szCs w:val="19"/>
              </w:rPr>
              <w:t xml:space="preserve">Audit</w:t>
            </w:r>
          </w:p>
        </w:tc>
        <w:tc>
          <w:tcPr>
            <w:tcW w:type="dxa" w:w="2500"/>
            <w:tcMar>
              <w:top w:type="dxa" w:w="80"/>
              <w:left w:type="dxa" w:w="120"/>
              <w:bottom w:type="dxa" w:w="80"/>
              <w:right w:type="dxa" w:w="120"/>
            </w:tcMar>
            <w:vAlign w:val="center"/>
          </w:tcPr>
          <w:p>
            <w:r>
              <w:rPr>
                <w:b w:val="false"/>
                <w:bCs w:val="false"/>
                <w:color w:val="222222"/>
                <w:sz w:val="19"/>
                <w:szCs w:val="19"/>
              </w:rPr>
              <w:t xml:space="preserve">Class + Component</w:t>
            </w:r>
          </w:p>
        </w:tc>
      </w:tr>
    </w:tbl>
    <w:p>
      <w:r>
        <w:br w:type="page"/>
      </w:r>
    </w:p>
    <w:p>
      <w:pPr>
        <w:pStyle w:val="Heading1"/>
        <w:pBdr>
          <w:bottom w:val="single" w:color="1B3A53" w:sz="8" w:space="4"/>
        </w:pBdr>
        <w:spacing w:after="240" w:before="480"/>
      </w:pPr>
      <w:r>
        <w:rPr>
          <w:b/>
          <w:bCs/>
          <w:color w:val="1B3A53"/>
          <w:sz w:val="30"/>
          <w:szCs w:val="30"/>
        </w:rPr>
        <w:t xml:space="preserve">Appendices</w:t>
      </w:r>
    </w:p>
    <w:p>
      <w:pPr>
        <w:spacing w:after="160" w:line="276"/>
        <w:jc w:val="both"/>
      </w:pPr>
      <w:r>
        <w:rPr>
          <w:i w:val="false"/>
          <w:iCs w:val="false"/>
          <w:color w:val="222222"/>
          <w:sz w:val="21"/>
          <w:szCs w:val="21"/>
        </w:rPr>
        <w:t xml:space="preserve">The following technical appendices support this proposal. They are developed in full during the requirements and design phases described in Chapter Four, and are referenced throughout the proposal rather than reproduced in the main body, so that the proposal remains readable to non-technical stakeholders.</w:t>
      </w:r>
    </w:p>
    <w:p>
      <w:pPr>
        <w:pStyle w:val="Heading2"/>
        <w:spacing w:after="160" w:before="320"/>
      </w:pPr>
      <w:bookmarkStart w:name="appA" w:id="1"/>
      <w:r>
        <w:rPr>
          <w:b/>
          <w:bCs/>
          <w:color w:val="2E5266"/>
          <w:sz w:val="24"/>
          <w:szCs w:val="24"/>
        </w:rPr>
        <w:t xml:space="preserve">Appendix A — Software Requirements Specification (SRS)</w:t>
      </w:r>
      <w:bookmarkEnd w:id="1"/>
    </w:p>
    <w:p>
      <w:pPr>
        <w:spacing w:after="160" w:line="276"/>
        <w:jc w:val="both"/>
      </w:pPr>
      <w:r>
        <w:rPr>
          <w:color w:val="222222"/>
          <w:sz w:val="21"/>
          <w:szCs w:val="21"/>
        </w:rPr>
        <w:t xml:space="preserve">Full functional and non-functional requirements derived from the SOP analysis in </w:t>
      </w:r>
      <w:hyperlink w:history="1" w:anchor="sec41">
        <w:r>
          <w:rPr>
            <w:color w:val="1155CC"/>
            <w:sz w:val="21"/>
            <w:szCs w:val="21"/>
            <w:u w:val="single"/>
          </w:rPr>
          <w:t xml:space="preserve">Section 4.1</w:t>
        </w:r>
      </w:hyperlink>
      <w:r>
        <w:rPr>
          <w:color w:val="222222"/>
          <w:sz w:val="21"/>
          <w:szCs w:val="21"/>
        </w:rPr>
        <w:t xml:space="preserve">.</w:t>
      </w:r>
    </w:p>
    <w:p>
      <w:pPr>
        <w:pStyle w:val="Heading2"/>
        <w:spacing w:after="160" w:before="320"/>
      </w:pPr>
      <w:bookmarkStart w:name="appB" w:id="1"/>
      <w:r>
        <w:rPr>
          <w:b/>
          <w:bCs/>
          <w:color w:val="2E5266"/>
          <w:sz w:val="24"/>
          <w:szCs w:val="24"/>
        </w:rPr>
        <w:t xml:space="preserve">Appendix B — SOP-to-Requirement Traceability</w:t>
      </w:r>
      <w:bookmarkEnd w:id="1"/>
    </w:p>
    <w:p>
      <w:pPr>
        <w:spacing w:after="160" w:line="276"/>
        <w:jc w:val="both"/>
      </w:pPr>
      <w:r>
        <w:rPr>
          <w:i w:val="false"/>
          <w:iCs w:val="false"/>
          <w:color w:val="222222"/>
          <w:sz w:val="21"/>
          <w:szCs w:val="21"/>
        </w:rPr>
        <w:t xml:space="preserve">Detailed, requirement-level extension of the traceability matrix above, linking each SOP procedure through to its system requirement, use case, workflow, database entity, API, and test case.</w:t>
      </w:r>
    </w:p>
    <w:p>
      <w:pPr>
        <w:pStyle w:val="Heading2"/>
        <w:spacing w:after="160" w:before="320"/>
      </w:pPr>
      <w:bookmarkStart w:name="appC" w:id="1"/>
      <w:r>
        <w:rPr>
          <w:b/>
          <w:bCs/>
          <w:color w:val="2E5266"/>
          <w:sz w:val="24"/>
          <w:szCs w:val="24"/>
        </w:rPr>
        <w:t xml:space="preserve">Appendix C — UML Diagrams</w:t>
      </w:r>
      <w:bookmarkEnd w:id="1"/>
    </w:p>
    <w:p>
      <w:pPr>
        <w:pStyle w:val="ListParagraph"/>
        <w:numPr>
          <w:ilvl w:val="0"/>
          <w:numId w:val="3"/>
        </w:numPr>
        <w:spacing w:after="90" w:line="268"/>
      </w:pPr>
      <w:r>
        <w:rPr>
          <w:color w:val="222222"/>
          <w:sz w:val="21"/>
          <w:szCs w:val="21"/>
        </w:rPr>
        <w:t xml:space="preserve">Use Case Diagrams and Specifications</w:t>
      </w:r>
    </w:p>
    <w:p>
      <w:pPr>
        <w:pStyle w:val="ListParagraph"/>
        <w:numPr>
          <w:ilvl w:val="0"/>
          <w:numId w:val="3"/>
        </w:numPr>
        <w:spacing w:after="90" w:line="268"/>
      </w:pPr>
      <w:r>
        <w:rPr>
          <w:color w:val="222222"/>
          <w:sz w:val="21"/>
          <w:szCs w:val="21"/>
        </w:rPr>
        <w:t xml:space="preserve">Activity Diagrams</w:t>
      </w:r>
    </w:p>
    <w:p>
      <w:pPr>
        <w:pStyle w:val="ListParagraph"/>
        <w:numPr>
          <w:ilvl w:val="0"/>
          <w:numId w:val="3"/>
        </w:numPr>
        <w:spacing w:after="90" w:line="268"/>
      </w:pPr>
      <w:r>
        <w:rPr>
          <w:color w:val="222222"/>
          <w:sz w:val="21"/>
          <w:szCs w:val="21"/>
        </w:rPr>
        <w:t xml:space="preserve">Sequence Diagrams</w:t>
      </w:r>
    </w:p>
    <w:p>
      <w:pPr>
        <w:pStyle w:val="ListParagraph"/>
        <w:numPr>
          <w:ilvl w:val="0"/>
          <w:numId w:val="3"/>
        </w:numPr>
        <w:spacing w:after="90" w:line="268"/>
      </w:pPr>
      <w:r>
        <w:rPr>
          <w:color w:val="222222"/>
          <w:sz w:val="21"/>
          <w:szCs w:val="21"/>
        </w:rPr>
        <w:t xml:space="preserve">State Machine Diagrams</w:t>
      </w:r>
    </w:p>
    <w:p>
      <w:pPr>
        <w:pStyle w:val="ListParagraph"/>
        <w:numPr>
          <w:ilvl w:val="0"/>
          <w:numId w:val="3"/>
        </w:numPr>
        <w:spacing w:after="90" w:line="268"/>
      </w:pPr>
      <w:r>
        <w:rPr>
          <w:color w:val="222222"/>
          <w:sz w:val="21"/>
          <w:szCs w:val="21"/>
        </w:rPr>
        <w:t xml:space="preserve">Class Diagram</w:t>
      </w:r>
    </w:p>
    <w:p>
      <w:pPr>
        <w:pStyle w:val="Heading2"/>
        <w:spacing w:after="160" w:before="320"/>
      </w:pPr>
      <w:bookmarkStart w:name="appD" w:id="1"/>
      <w:r>
        <w:rPr>
          <w:b/>
          <w:bCs/>
          <w:color w:val="2E5266"/>
          <w:sz w:val="24"/>
          <w:szCs w:val="24"/>
        </w:rPr>
        <w:t xml:space="preserve">Appendix D — Database Design</w:t>
      </w:r>
      <w:bookmarkEnd w:id="1"/>
    </w:p>
    <w:p>
      <w:pPr>
        <w:pStyle w:val="ListParagraph"/>
        <w:numPr>
          <w:ilvl w:val="0"/>
          <w:numId w:val="3"/>
        </w:numPr>
        <w:spacing w:after="90" w:line="268"/>
      </w:pPr>
      <w:r>
        <w:rPr>
          <w:color w:val="222222"/>
          <w:sz w:val="21"/>
          <w:szCs w:val="21"/>
        </w:rPr>
        <w:t xml:space="preserve">Entity-Relationship Diagram (ERD)</w:t>
      </w:r>
    </w:p>
    <w:p>
      <w:pPr>
        <w:pStyle w:val="ListParagraph"/>
        <w:numPr>
          <w:ilvl w:val="0"/>
          <w:numId w:val="3"/>
        </w:numPr>
        <w:spacing w:after="90" w:line="268"/>
      </w:pPr>
      <w:r>
        <w:rPr>
          <w:color w:val="222222"/>
          <w:sz w:val="21"/>
          <w:szCs w:val="21"/>
        </w:rPr>
        <w:t xml:space="preserve">Database Schema</w:t>
      </w:r>
    </w:p>
    <w:p>
      <w:pPr>
        <w:pStyle w:val="ListParagraph"/>
        <w:numPr>
          <w:ilvl w:val="0"/>
          <w:numId w:val="3"/>
        </w:numPr>
        <w:spacing w:after="90" w:line="268"/>
      </w:pPr>
      <w:r>
        <w:rPr>
          <w:color w:val="222222"/>
          <w:sz w:val="21"/>
          <w:szCs w:val="21"/>
        </w:rPr>
        <w:t xml:space="preserve">Data Dictionary</w:t>
      </w:r>
    </w:p>
    <w:p>
      <w:pPr>
        <w:pStyle w:val="Heading2"/>
        <w:spacing w:after="160" w:before="320"/>
      </w:pPr>
      <w:bookmarkStart w:name="appE" w:id="1"/>
      <w:r>
        <w:rPr>
          <w:b/>
          <w:bCs/>
          <w:color w:val="2E5266"/>
          <w:sz w:val="24"/>
          <w:szCs w:val="24"/>
        </w:rPr>
        <w:t xml:space="preserve">Appendix E — Architecture</w:t>
      </w:r>
      <w:bookmarkEnd w:id="1"/>
    </w:p>
    <w:p>
      <w:pPr>
        <w:pStyle w:val="ListParagraph"/>
        <w:numPr>
          <w:ilvl w:val="0"/>
          <w:numId w:val="3"/>
        </w:numPr>
        <w:spacing w:after="90" w:line="268"/>
      </w:pPr>
      <w:r>
        <w:rPr>
          <w:color w:val="222222"/>
          <w:sz w:val="21"/>
          <w:szCs w:val="21"/>
        </w:rPr>
        <w:t xml:space="preserve">General Architecture (see </w:t>
      </w:r>
      <w:hyperlink w:history="1" w:anchor="sec32">
        <w:r>
          <w:rPr>
            <w:color w:val="1155CC"/>
            <w:sz w:val="21"/>
            <w:szCs w:val="21"/>
            <w:u w:val="single"/>
          </w:rPr>
          <w:t xml:space="preserve">Section 3.2</w:t>
        </w:r>
      </w:hyperlink>
      <w:r>
        <w:rPr>
          <w:color w:val="222222"/>
          <w:sz w:val="21"/>
          <w:szCs w:val="21"/>
        </w:rPr>
        <w:t xml:space="preserve">)</w:t>
      </w:r>
    </w:p>
    <w:p>
      <w:pPr>
        <w:pStyle w:val="ListParagraph"/>
        <w:numPr>
          <w:ilvl w:val="0"/>
          <w:numId w:val="3"/>
        </w:numPr>
        <w:spacing w:after="90" w:line="268"/>
      </w:pPr>
      <w:r>
        <w:rPr>
          <w:color w:val="222222"/>
          <w:sz w:val="21"/>
          <w:szCs w:val="21"/>
        </w:rPr>
        <w:t xml:space="preserve">Component Architecture</w:t>
      </w:r>
    </w:p>
    <w:p>
      <w:pPr>
        <w:pStyle w:val="ListParagraph"/>
        <w:numPr>
          <w:ilvl w:val="0"/>
          <w:numId w:val="3"/>
        </w:numPr>
        <w:spacing w:after="90" w:line="268"/>
      </w:pPr>
      <w:r>
        <w:rPr>
          <w:color w:val="222222"/>
          <w:sz w:val="21"/>
          <w:szCs w:val="21"/>
        </w:rPr>
        <w:t xml:space="preserve">Deployment Architecture</w:t>
      </w:r>
    </w:p>
    <w:p>
      <w:pPr>
        <w:pStyle w:val="ListParagraph"/>
        <w:numPr>
          <w:ilvl w:val="0"/>
          <w:numId w:val="3"/>
        </w:numPr>
        <w:spacing w:after="90" w:line="268"/>
      </w:pPr>
      <w:r>
        <w:rPr>
          <w:color w:val="222222"/>
          <w:sz w:val="21"/>
          <w:szCs w:val="21"/>
        </w:rPr>
        <w:t xml:space="preserve">Security Architecture</w:t>
      </w:r>
    </w:p>
    <w:p>
      <w:pPr>
        <w:pStyle w:val="Heading2"/>
        <w:spacing w:after="160" w:before="320"/>
      </w:pPr>
      <w:bookmarkStart w:name="appF" w:id="1"/>
      <w:r>
        <w:rPr>
          <w:b/>
          <w:bCs/>
          <w:color w:val="2E5266"/>
          <w:sz w:val="24"/>
          <w:szCs w:val="24"/>
        </w:rPr>
        <w:t xml:space="preserve">Appendix F — API Specification</w:t>
      </w:r>
      <w:bookmarkEnd w:id="1"/>
    </w:p>
    <w:p>
      <w:pPr>
        <w:pStyle w:val="ListParagraph"/>
        <w:numPr>
          <w:ilvl w:val="0"/>
          <w:numId w:val="3"/>
        </w:numPr>
        <w:spacing w:after="90" w:line="268"/>
      </w:pPr>
      <w:r>
        <w:rPr>
          <w:color w:val="222222"/>
          <w:sz w:val="21"/>
          <w:szCs w:val="21"/>
        </w:rPr>
        <w:t xml:space="preserve">API catalog</w:t>
      </w:r>
    </w:p>
    <w:p>
      <w:pPr>
        <w:pStyle w:val="ListParagraph"/>
        <w:numPr>
          <w:ilvl w:val="0"/>
          <w:numId w:val="3"/>
        </w:numPr>
        <w:spacing w:after="90" w:line="268"/>
      </w:pPr>
      <w:r>
        <w:rPr>
          <w:color w:val="222222"/>
          <w:sz w:val="21"/>
          <w:szCs w:val="21"/>
        </w:rPr>
        <w:t xml:space="preserve">API request/response contracts</w:t>
      </w:r>
    </w:p>
    <w:p>
      <w:pPr>
        <w:pStyle w:val="ListParagraph"/>
        <w:numPr>
          <w:ilvl w:val="0"/>
          <w:numId w:val="3"/>
        </w:numPr>
        <w:spacing w:after="90" w:line="268"/>
      </w:pPr>
      <w:r>
        <w:rPr>
          <w:color w:val="222222"/>
          <w:sz w:val="21"/>
          <w:szCs w:val="21"/>
        </w:rPr>
        <w:t xml:space="preserve">Error handling conventions</w:t>
      </w:r>
    </w:p>
    <w:p>
      <w:pPr>
        <w:pStyle w:val="Heading2"/>
        <w:spacing w:after="160" w:before="320"/>
      </w:pPr>
      <w:bookmarkStart w:name="appG" w:id="1"/>
      <w:r>
        <w:rPr>
          <w:b/>
          <w:bCs/>
          <w:color w:val="2E5266"/>
          <w:sz w:val="24"/>
          <w:szCs w:val="24"/>
        </w:rPr>
        <w:t xml:space="preserve">Appendix G — Security</w:t>
      </w:r>
      <w:bookmarkEnd w:id="1"/>
    </w:p>
    <w:p>
      <w:pPr>
        <w:pStyle w:val="ListParagraph"/>
        <w:numPr>
          <w:ilvl w:val="0"/>
          <w:numId w:val="3"/>
        </w:numPr>
        <w:spacing w:after="90" w:line="268"/>
      </w:pPr>
      <w:r>
        <w:rPr>
          <w:color w:val="222222"/>
          <w:sz w:val="21"/>
          <w:szCs w:val="21"/>
        </w:rPr>
        <w:t xml:space="preserve">Role-Based Access Control (RBAC) matrix</w:t>
      </w:r>
    </w:p>
    <w:p>
      <w:pPr>
        <w:pStyle w:val="ListParagraph"/>
        <w:numPr>
          <w:ilvl w:val="0"/>
          <w:numId w:val="3"/>
        </w:numPr>
        <w:spacing w:after="90" w:line="268"/>
      </w:pPr>
      <w:r>
        <w:rPr>
          <w:color w:val="222222"/>
          <w:sz w:val="21"/>
          <w:szCs w:val="21"/>
        </w:rPr>
        <w:t xml:space="preserve">Permission matrix</w:t>
      </w:r>
    </w:p>
    <w:p>
      <w:pPr>
        <w:pStyle w:val="ListParagraph"/>
        <w:numPr>
          <w:ilvl w:val="0"/>
          <w:numId w:val="3"/>
        </w:numPr>
        <w:spacing w:after="90" w:line="268"/>
      </w:pPr>
      <w:r>
        <w:rPr>
          <w:color w:val="222222"/>
          <w:sz w:val="21"/>
          <w:szCs w:val="21"/>
        </w:rPr>
        <w:t xml:space="preserve">Audit architecture</w:t>
      </w:r>
    </w:p>
    <w:p>
      <w:pPr>
        <w:pStyle w:val="ListParagraph"/>
        <w:numPr>
          <w:ilvl w:val="0"/>
          <w:numId w:val="3"/>
        </w:numPr>
        <w:spacing w:after="90" w:line="268"/>
      </w:pPr>
      <w:r>
        <w:rPr>
          <w:color w:val="222222"/>
          <w:sz w:val="21"/>
          <w:szCs w:val="21"/>
        </w:rPr>
        <w:t xml:space="preserve">Confidentiality controls</w:t>
      </w:r>
    </w:p>
    <w:p>
      <w:pPr>
        <w:pStyle w:val="Heading2"/>
        <w:spacing w:after="160" w:before="320"/>
      </w:pPr>
      <w:bookmarkStart w:name="appH" w:id="1"/>
      <w:r>
        <w:rPr>
          <w:b/>
          <w:bCs/>
          <w:color w:val="2E5266"/>
          <w:sz w:val="24"/>
          <w:szCs w:val="24"/>
        </w:rPr>
        <w:t xml:space="preserve">Appendix H — Business Rules</w:t>
      </w:r>
      <w:bookmarkEnd w:id="1"/>
    </w:p>
    <w:p>
      <w:pPr>
        <w:spacing w:after="160" w:line="276"/>
        <w:jc w:val="both"/>
      </w:pPr>
      <w:r>
        <w:rPr>
          <w:color w:val="222222"/>
          <w:sz w:val="21"/>
          <w:szCs w:val="21"/>
        </w:rPr>
        <w:t xml:space="preserve">Consolidated business rules extracted during requirements engineering (see </w:t>
      </w:r>
      <w:hyperlink w:history="1" w:anchor="sec41">
        <w:r>
          <w:rPr>
            <w:color w:val="1155CC"/>
            <w:sz w:val="21"/>
            <w:szCs w:val="21"/>
            <w:u w:val="single"/>
          </w:rPr>
          <w:t xml:space="preserve">Section 4.1</w:t>
        </w:r>
      </w:hyperlink>
      <w:r>
        <w:rPr>
          <w:color w:val="222222"/>
          <w:sz w:val="21"/>
          <w:szCs w:val="21"/>
        </w:rPr>
        <w:t xml:space="preserve">), covering eligibility, timing, and decision rules for each module.</w:t>
      </w:r>
    </w:p>
    <w:p>
      <w:pPr>
        <w:pStyle w:val="Heading2"/>
        <w:spacing w:after="160" w:before="320"/>
      </w:pPr>
      <w:bookmarkStart w:name="appI" w:id="1"/>
      <w:r>
        <w:rPr>
          <w:b/>
          <w:bCs/>
          <w:color w:val="2E5266"/>
          <w:sz w:val="24"/>
          <w:szCs w:val="24"/>
        </w:rPr>
        <w:t xml:space="preserve">Appendix I — Testing and Traceability</w:t>
      </w:r>
      <w:bookmarkEnd w:id="1"/>
    </w:p>
    <w:p>
      <w:pPr>
        <w:pStyle w:val="ListParagraph"/>
        <w:numPr>
          <w:ilvl w:val="0"/>
          <w:numId w:val="3"/>
        </w:numPr>
        <w:spacing w:after="90" w:line="268"/>
      </w:pPr>
      <w:r>
        <w:rPr>
          <w:color w:val="222222"/>
          <w:sz w:val="21"/>
          <w:szCs w:val="21"/>
        </w:rPr>
        <w:t xml:space="preserve">Test strategy</w:t>
      </w:r>
    </w:p>
    <w:p>
      <w:pPr>
        <w:pStyle w:val="ListParagraph"/>
        <w:numPr>
          <w:ilvl w:val="0"/>
          <w:numId w:val="3"/>
        </w:numPr>
        <w:spacing w:after="90" w:line="268"/>
      </w:pPr>
      <w:r>
        <w:rPr>
          <w:color w:val="222222"/>
          <w:sz w:val="21"/>
          <w:szCs w:val="21"/>
        </w:rPr>
        <w:t xml:space="preserve">Test cases</w:t>
      </w:r>
    </w:p>
    <w:p>
      <w:pPr>
        <w:pStyle w:val="ListParagraph"/>
        <w:numPr>
          <w:ilvl w:val="0"/>
          <w:numId w:val="3"/>
        </w:numPr>
        <w:spacing w:after="90" w:line="268"/>
      </w:pPr>
      <w:r>
        <w:rPr>
          <w:color w:val="222222"/>
          <w:sz w:val="21"/>
          <w:szCs w:val="21"/>
        </w:rPr>
        <w:t xml:space="preserve">Test traceability matrix</w:t>
      </w:r>
    </w:p>
    <w:p>
      <w:pPr>
        <w:pStyle w:val="ListParagraph"/>
        <w:numPr>
          <w:ilvl w:val="0"/>
          <w:numId w:val="3"/>
        </w:numPr>
        <w:spacing w:after="90" w:line="268"/>
      </w:pPr>
      <w:r>
        <w:rPr>
          <w:color w:val="222222"/>
          <w:sz w:val="21"/>
          <w:szCs w:val="21"/>
        </w:rPr>
        <w:t xml:space="preserve">User Acceptance Testing (UAT) results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570"/>
        <w:sz w:val="16"/>
        <w:szCs w:val="16"/>
      </w:rPr>
      <w:t xml:space="preserve">Page </w:t>
    </w:r>
    <w:r>
      <w:rPr>
        <w:color w:val="5A6570"/>
        <w:sz w:val="16"/>
        <w:szCs w:val="16"/>
      </w:rPr>
      <w:fldChar w:fldCharType="begin"/>
      <w:instrText xml:space="preserve">PAGE</w:instrText>
      <w:fldChar w:fldCharType="separate"/>
      <w:fldChar w:fldCharType="end"/>
    </w:r>
    <w:r>
      <w:rPr>
        <w:color w:val="5A6570"/>
        <w:sz w:val="16"/>
        <w:szCs w:val="16"/>
      </w:rPr>
      <w:t xml:space="preserve"> of </w:t>
    </w:r>
    <w:r>
      <w:rPr>
        <w:color w:val="5A65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570"/>
        <w:sz w:val="16"/>
        <w:szCs w:val="16"/>
      </w:rPr>
      <w:t xml:space="preserve">AWHSC-IRB MIS — Project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pPr>
    <w:rPr>
      <w:rFonts w:ascii="Calibri" w:cs="Calibri" w:eastAsia="Calibri" w:hAnsi="Calibri"/>
      <w:b/>
      <w:bCs/>
    </w:rPr>
  </w:style>
  <w:style w:type="paragraph" w:styleId="Heading2">
    <w:name w:val="Heading 2"/>
    <w:basedOn w:val="Normal"/>
    <w:next w:val="Normal"/>
    <w:qFormat/>
    <w:pPr>
      <w:spacing w:after="160" w:before="320"/>
    </w:pPr>
    <w:rPr>
      <w:rFonts w:ascii="Calibri" w:cs="Calibri" w:eastAsia="Calibri" w:hAnsi="Calibri"/>
      <w:b/>
      <w:bCs/>
    </w:rPr>
  </w:style>
  <w:style w:type="paragraph" w:styleId="Heading3">
    <w:name w:val="Heading 3"/>
    <w:basedOn w:val="Normal"/>
    <w:next w:val="Normal"/>
    <w:qFormat/>
    <w:pPr>
      <w:spacing w:after="120" w:before="220"/>
    </w:pPr>
    <w:rPr>
      <w:rFonts w:ascii="Calibri" w:cs="Calibri" w:eastAsia="Calibri" w:hAnsi="Calibri"/>
      <w:b/>
      <w:bCs/>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c22f3b6405564dbd5d8f5e7464b8add9a072b26.png"/><Relationship Id="rId10" Type="http://schemas.openxmlformats.org/officeDocument/2006/relationships/image" Target="media/106c87dfc4cc4ea9cc4675cd9ecd853d31ad831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2026-08-20T06:03:07.516Z</dcterms:created>
  <dcterms:modified xsi:type="dcterms:W3CDTF">2026-08-20T06:03:07.531Z</dcterms:modified>
</cp:coreProperties>
</file>

<file path=docProps/custom.xml><?xml version="1.0" encoding="utf-8"?>
<Properties xmlns="http://schemas.openxmlformats.org/officeDocument/2006/custom-properties" xmlns:vt="http://schemas.openxmlformats.org/officeDocument/2006/docPropsVTypes"/>
</file>