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70f898d8aa5894c376d564293160adfee8ce090"/>
    <w:p>
      <w:pPr>
        <w:pStyle w:val="Heading1"/>
      </w:pPr>
      <w:r>
        <w:t xml:space="preserve">Verification report — PetroDB Argentina dashboard</w:t>
      </w:r>
    </w:p>
    <w:p>
      <w:pPr>
        <w:pStyle w:val="FirstParagraph"/>
      </w:pPr>
      <w:r>
        <w:t xml:space="preserve">Every check prints the number it measured. Discrepancies are quantified and explained rather than reconciled away.</w:t>
      </w:r>
    </w:p>
    <w:p>
      <w:pPr>
        <w:pStyle w:val="BodyText"/>
      </w:pPr>
      <w:r>
        <w:t xml:space="preserve">Sources: petrodb (</w:t>
      </w:r>
      <w:r>
        <w:rPr>
          <w:rStyle w:val="VerbatimChar"/>
        </w:rPr>
        <w:t xml:space="preserve">sumpalabs/petrodb</w:t>
      </w:r>
      <w:r>
        <w:t xml:space="preserve">, CC BY 4.0) and Secretaría de Energía de la Nación,</w:t>
      </w:r>
      <w:r>
        <w:t xml:space="preserve"> </w:t>
      </w:r>
      <w:r>
        <w:rPr>
          <w:rStyle w:val="VerbatimChar"/>
        </w:rPr>
        <w:t xml:space="preserve">datos.energia.gob.ar</w:t>
      </w:r>
      <w:r>
        <w:t xml:space="preserve"> </w:t>
      </w:r>
      <w:r>
        <w:t xml:space="preserve">(CC BY 4.0).</w:t>
      </w:r>
      <w:r>
        <w:t xml:space="preserve"> </w:t>
      </w:r>
      <w:r>
        <w:rPr>
          <w:i/>
          <w:iCs/>
        </w:rPr>
        <w:t xml:space="preserve">Generated 2026-08-10 20:30 UTC from source driver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local_parquet</w:t>
      </w:r>
      <w:r>
        <w:rPr>
          <w:i/>
          <w:iCs/>
        </w:rPr>
        <w:t xml:space="preserve">.</w:t>
      </w:r>
    </w:p>
    <w:bookmarkStart w:id="9" w:name="X4152015651bdb063faaf2bc02e53682ef94d96b"/>
    <w:p>
      <w:pPr>
        <w:pStyle w:val="Heading2"/>
      </w:pPr>
      <w:r>
        <w:t xml:space="preserve">1. Row counts against the published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vs published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</w:t>
            </w:r>
          </w:p>
        </w:tc>
        <w:tc>
          <w:tcPr/>
          <w:p>
            <w:pPr>
              <w:pStyle w:val="Compact"/>
            </w:pPr>
            <w:r>
              <w:t xml:space="preserve">85,417</w:t>
            </w:r>
          </w:p>
        </w:tc>
        <w:tc>
          <w:tcPr/>
          <w:p>
            <w:pPr>
              <w:pStyle w:val="Compact"/>
            </w:pPr>
            <w:r>
              <w:t xml:space="preserve">documented ~85,418 (Δ 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well_events</w:t>
            </w:r>
          </w:p>
        </w:tc>
        <w:tc>
          <w:tcPr/>
          <w:p>
            <w:pPr>
              <w:pStyle w:val="Compact"/>
            </w:pPr>
            <w:r>
              <w:t xml:space="preserve">499,031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well_operator_history</w:t>
            </w:r>
          </w:p>
        </w:tc>
        <w:tc>
          <w:tcPr/>
          <w:p>
            <w:pPr>
              <w:pStyle w:val="Compact"/>
            </w:pPr>
            <w:r>
              <w:t xml:space="preserve">176,956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monthly_production</w:t>
            </w:r>
          </w:p>
        </w:tc>
        <w:tc>
          <w:tcPr/>
          <w:p>
            <w:pPr>
              <w:pStyle w:val="Compact"/>
            </w:pPr>
            <w:r>
              <w:t xml:space="preserve">17,775,911</w:t>
            </w:r>
          </w:p>
        </w:tc>
        <w:tc>
          <w:tcPr/>
          <w:p>
            <w:pPr>
              <w:pStyle w:val="Compact"/>
            </w:pPr>
            <w:r>
              <w:t xml:space="preserve">documented ~17,600,000 (Δ +175,911)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wells</w:t>
      </w:r>
      <w:r>
        <w:t xml:space="preserve"> </w:t>
      </w:r>
      <w:r>
        <w:t xml:space="preserve">count is 85,417 against a documented ~85,418 — a single row. The schema text says "~85,418", so this is a rounding of the author's own snapshot rather than a defect.</w:t>
      </w:r>
    </w:p>
    <w:bookmarkEnd w:id="9"/>
    <w:bookmarkStart w:id="10" w:name="Xb52e574d806ffb31fdd5d52513b5aa695da981b"/>
    <w:p>
      <w:pPr>
        <w:pStyle w:val="Heading2"/>
      </w:pPr>
      <w:r>
        <w:t xml:space="preserve">2. Referential integrity — every child idpozo exists in wells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orphan idpozo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monthly_production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well_events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well_operator_history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0"/>
    <w:bookmarkStart w:id="11" w:name="Xf636e6d5704699cfcc3ba5c591ca9cf1520dc3e"/>
    <w:p>
      <w:pPr>
        <w:pStyle w:val="Heading2"/>
      </w:pPr>
      <w:r>
        <w:t xml:space="preserve">3. Grain uniqueness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duplicate keys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monthly_production (idpozo, fecha)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well_operator_history (idpozo, valid_from)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(idpozo)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1"/>
    <w:bookmarkStart w:id="12" w:name="Xd58695054eb5b30887620a66112ce4d9ac4572d"/>
    <w:p>
      <w:pPr>
        <w:pStyle w:val="Heading2"/>
      </w:pPr>
      <w:r>
        <w:t xml:space="preserve">4. Reconciliation against the publisher's official monthly series</w:t>
      </w:r>
    </w:p>
    <w:p>
      <w:pPr>
        <w:pStyle w:val="FirstParagraph"/>
      </w:pPr>
      <w:r>
        <w:t xml:space="preserve">petrodb summed by basin and month, against</w:t>
      </w:r>
      <w:r>
        <w:t xml:space="preserve"> </w:t>
      </w:r>
      <w:r>
        <w:rPr>
          <w:rStyle w:val="VerbatimChar"/>
        </w:rPr>
        <w:t xml:space="preserve">serie-histórica de producción por cuenca</w:t>
      </w:r>
      <w:r>
        <w:t xml:space="preserve"> </w:t>
      </w:r>
      <w:r>
        <w:t xml:space="preserve">from datos.energia.gob.ar. Different processing chains, same underlying declarations — so the agreement below is meaningful.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fluid</w:t>
            </w:r>
          </w:p>
        </w:tc>
        <w:tc>
          <w:tcPr/>
          <w:p>
            <w:pPr>
              <w:pStyle w:val="Compact"/>
            </w:pPr>
            <w:r>
              <w:t xml:space="preserve">basin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petrodb total</w:t>
            </w:r>
          </w:p>
        </w:tc>
        <w:tc>
          <w:tcPr/>
          <w:p>
            <w:pPr>
              <w:pStyle w:val="Compact"/>
            </w:pPr>
            <w:r>
              <w:t xml:space="preserve">official total</w:t>
            </w:r>
          </w:p>
        </w:tc>
        <w:tc>
          <w:tcPr/>
          <w:p>
            <w:pPr>
              <w:pStyle w:val="Compact"/>
            </w:pPr>
            <w:r>
              <w:t xml:space="preserve">Δ total</w:t>
            </w:r>
          </w:p>
        </w:tc>
        <w:tc>
          <w:tcPr/>
          <w:p>
            <w:pPr>
              <w:pStyle w:val="Compact"/>
            </w:pPr>
            <w:r>
              <w:t xml:space="preserve">worst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AUSTRAL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25,224,937</w:t>
            </w:r>
          </w:p>
        </w:tc>
        <w:tc>
          <w:tcPr/>
          <w:p>
            <w:pPr>
              <w:pStyle w:val="Compact"/>
            </w:pPr>
            <w:r>
              <w:t xml:space="preserve">25,224,937</w:t>
            </w:r>
          </w:p>
        </w:tc>
        <w:tc>
          <w:tcPr/>
          <w:p>
            <w:pPr>
              <w:pStyle w:val="Compact"/>
            </w:pPr>
            <w:r>
              <w:t xml:space="preserve">-0.000%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GOLFO SAN JORGE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278,316,548</w:t>
            </w:r>
          </w:p>
        </w:tc>
        <w:tc>
          <w:tcPr/>
          <w:p>
            <w:pPr>
              <w:pStyle w:val="Compact"/>
            </w:pPr>
            <w:r>
              <w:t xml:space="preserve">278,888,899</w:t>
            </w:r>
          </w:p>
        </w:tc>
        <w:tc>
          <w:tcPr/>
          <w:p>
            <w:pPr>
              <w:pStyle w:val="Compact"/>
            </w:pPr>
            <w:r>
              <w:t xml:space="preserve">-0.205%</w:t>
            </w:r>
          </w:p>
        </w:tc>
        <w:tc>
          <w:tcPr/>
          <w:p>
            <w:pPr>
              <w:pStyle w:val="Compact"/>
            </w:pPr>
            <w:r>
              <w:t xml:space="preserve">35.18%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NEUQUINA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330,259,108</w:t>
            </w:r>
          </w:p>
        </w:tc>
        <w:tc>
          <w:tcPr/>
          <w:p>
            <w:pPr>
              <w:pStyle w:val="Compact"/>
            </w:pPr>
            <w:r>
              <w:t xml:space="preserve">330,823,824</w:t>
            </w:r>
          </w:p>
        </w:tc>
        <w:tc>
          <w:tcPr/>
          <w:p>
            <w:pPr>
              <w:pStyle w:val="Compact"/>
            </w:pPr>
            <w:r>
              <w:t xml:space="preserve">-0.171%</w:t>
            </w:r>
          </w:p>
        </w:tc>
        <w:tc>
          <w:tcPr/>
          <w:p>
            <w:pPr>
              <w:pStyle w:val="Compact"/>
            </w:pPr>
            <w:r>
              <w:t xml:space="preserve">11.36%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NOROESTE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9,515,936</w:t>
            </w:r>
          </w:p>
        </w:tc>
        <w:tc>
          <w:tcPr/>
          <w:p>
            <w:pPr>
              <w:pStyle w:val="Compact"/>
            </w:pPr>
            <w:r>
              <w:t xml:space="preserve">9,554,567</w:t>
            </w:r>
          </w:p>
        </w:tc>
        <w:tc>
          <w:tcPr/>
          <w:p>
            <w:pPr>
              <w:pStyle w:val="Compact"/>
            </w:pPr>
            <w:r>
              <w:t xml:space="preserve">-0.404%</w:t>
            </w:r>
          </w:p>
        </w:tc>
        <w:tc>
          <w:tcPr/>
          <w:p>
            <w:pPr>
              <w:pStyle w:val="Compact"/>
            </w:pPr>
            <w:r>
              <w:t xml:space="preserve">28.06%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CUYANA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30,907,079</w:t>
            </w:r>
          </w:p>
        </w:tc>
        <w:tc>
          <w:tcPr/>
          <w:p>
            <w:pPr>
              <w:pStyle w:val="Compact"/>
            </w:pPr>
            <w:r>
              <w:t xml:space="preserve">30,910,921</w:t>
            </w:r>
          </w:p>
        </w:tc>
        <w:tc>
          <w:tcPr/>
          <w:p>
            <w:pPr>
              <w:pStyle w:val="Compact"/>
            </w:pPr>
            <w:r>
              <w:t xml:space="preserve">-0.012%</w:t>
            </w:r>
          </w:p>
        </w:tc>
        <w:tc>
          <w:tcPr/>
          <w:p>
            <w:pPr>
              <w:pStyle w:val="Compact"/>
            </w:pPr>
            <w:r>
              <w:t xml:space="preserve">3.01%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AUSTRAL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206,366,529</w:t>
            </w:r>
          </w:p>
        </w:tc>
        <w:tc>
          <w:tcPr/>
          <w:p>
            <w:pPr>
              <w:pStyle w:val="Compact"/>
            </w:pPr>
            <w:r>
              <w:t xml:space="preserve">206,366,529</w:t>
            </w:r>
          </w:p>
        </w:tc>
        <w:tc>
          <w:tcPr/>
          <w:p>
            <w:pPr>
              <w:pStyle w:val="Compact"/>
            </w:pPr>
            <w:r>
              <w:t xml:space="preserve">-0.000%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GOLFO SAN JORGE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95,648,263</w:t>
            </w:r>
          </w:p>
        </w:tc>
        <w:tc>
          <w:tcPr/>
          <w:p>
            <w:pPr>
              <w:pStyle w:val="Compact"/>
            </w:pPr>
            <w:r>
              <w:t xml:space="preserve">95,883,023</w:t>
            </w:r>
          </w:p>
        </w:tc>
        <w:tc>
          <w:tcPr/>
          <w:p>
            <w:pPr>
              <w:pStyle w:val="Compact"/>
            </w:pPr>
            <w:r>
              <w:t xml:space="preserve">-0.245%</w:t>
            </w:r>
          </w:p>
        </w:tc>
        <w:tc>
          <w:tcPr/>
          <w:p>
            <w:pPr>
              <w:pStyle w:val="Compact"/>
            </w:pPr>
            <w:r>
              <w:t xml:space="preserve">54.00%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NEUQUINA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569,338,296</w:t>
            </w:r>
          </w:p>
        </w:tc>
        <w:tc>
          <w:tcPr/>
          <w:p>
            <w:pPr>
              <w:pStyle w:val="Compact"/>
            </w:pPr>
            <w:r>
              <w:t xml:space="preserve">569,582,508</w:t>
            </w:r>
          </w:p>
        </w:tc>
        <w:tc>
          <w:tcPr/>
          <w:p>
            <w:pPr>
              <w:pStyle w:val="Compact"/>
            </w:pPr>
            <w:r>
              <w:t xml:space="preserve">-0.043%</w:t>
            </w:r>
          </w:p>
        </w:tc>
        <w:tc>
          <w:tcPr/>
          <w:p>
            <w:pPr>
              <w:pStyle w:val="Compact"/>
            </w:pPr>
            <w:r>
              <w:t xml:space="preserve">3.49%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NOROESTE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66,973,875</w:t>
            </w:r>
          </w:p>
        </w:tc>
        <w:tc>
          <w:tcPr/>
          <w:p>
            <w:pPr>
              <w:pStyle w:val="Compact"/>
            </w:pPr>
            <w:r>
              <w:t xml:space="preserve">67,242,824</w:t>
            </w:r>
          </w:p>
        </w:tc>
        <w:tc>
          <w:tcPr/>
          <w:p>
            <w:pPr>
              <w:pStyle w:val="Compact"/>
            </w:pPr>
            <w:r>
              <w:t xml:space="preserve">-0.400%</w:t>
            </w:r>
          </w:p>
        </w:tc>
        <w:tc>
          <w:tcPr/>
          <w:p>
            <w:pPr>
              <w:pStyle w:val="Compact"/>
            </w:pPr>
            <w:r>
              <w:t xml:space="preserve">35.36%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CUYANA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1,070,295</w:t>
            </w:r>
          </w:p>
        </w:tc>
        <w:tc>
          <w:tcPr/>
          <w:p>
            <w:pPr>
              <w:pStyle w:val="Compact"/>
            </w:pPr>
            <w:r>
              <w:t xml:space="preserve">1,070,468</w:t>
            </w:r>
          </w:p>
        </w:tc>
        <w:tc>
          <w:tcPr/>
          <w:p>
            <w:pPr>
              <w:pStyle w:val="Compact"/>
            </w:pPr>
            <w:r>
              <w:t xml:space="preserve">-0.016%</w:t>
            </w:r>
          </w:p>
        </w:tc>
        <w:tc>
          <w:tcPr/>
          <w:p>
            <w:pPr>
              <w:pStyle w:val="Compact"/>
            </w:pPr>
            <w:r>
              <w:t xml:space="preserve">3.36%</w:t>
            </w:r>
          </w:p>
        </w:tc>
      </w:tr>
    </w:tbl>
    <w:bookmarkEnd w:id="12"/>
    <w:bookmarkStart w:id="13" w:name="X143efee071198d4b0dce3b29b0665bac4c9b811"/>
    <w:p>
      <w:pPr>
        <w:pStyle w:val="Heading2"/>
      </w:pPr>
      <w:r>
        <w:t xml:space="preserve">5. Unit re-derivation from the publisher's own columns</w:t>
      </w:r>
    </w:p>
    <w:p>
      <w:pPr>
        <w:pStyle w:val="FirstParagraph"/>
      </w:pPr>
      <w:r>
        <w:t xml:space="preserve">The official oil series publishes the monthly total, the daily average and the daily average in kbbl. Those three are redundant, which makes them a closed test of both the volume unit and the barrel factor — no external constant is trusted.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total (m³)</w:t>
            </w:r>
          </w:p>
        </w:tc>
        <w:tc>
          <w:tcPr/>
          <w:p>
            <w:pPr>
              <w:pStyle w:val="Compact"/>
            </w:pPr>
            <w:r>
              <w:t xml:space="preserve">total/days</w:t>
            </w:r>
          </w:p>
        </w:tc>
        <w:tc>
          <w:tcPr/>
          <w:p>
            <w:pPr>
              <w:pStyle w:val="Compact"/>
            </w:pPr>
            <w:r>
              <w:t xml:space="preserve">published daily</w:t>
            </w:r>
          </w:p>
        </w:tc>
        <w:tc>
          <w:tcPr/>
          <w:p>
            <w:pPr>
              <w:pStyle w:val="Compact"/>
            </w:pPr>
            <w:r>
              <w:t xml:space="preserve">implied bbl/m³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2006-01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3,019,656.7</w:t>
            </w:r>
          </w:p>
        </w:tc>
        <w:tc>
          <w:tcPr/>
          <w:p>
            <w:pPr>
              <w:pStyle w:val="Compact"/>
            </w:pPr>
            <w:r>
              <w:t xml:space="preserve">97,408.28</w:t>
            </w:r>
          </w:p>
        </w:tc>
        <w:tc>
          <w:tcPr/>
          <w:p>
            <w:pPr>
              <w:pStyle w:val="Compact"/>
            </w:pPr>
            <w:r>
              <w:t xml:space="preserve">97,408.28</w:t>
            </w:r>
          </w:p>
        </w:tc>
        <w:tc>
          <w:tcPr/>
          <w:p>
            <w:pPr>
              <w:pStyle w:val="Compact"/>
            </w:pPr>
            <w:r>
              <w:t xml:space="preserve">6.28981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2006-02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2,756,375.6</w:t>
            </w:r>
          </w:p>
        </w:tc>
        <w:tc>
          <w:tcPr/>
          <w:p>
            <w:pPr>
              <w:pStyle w:val="Compact"/>
            </w:pPr>
            <w:r>
              <w:t xml:space="preserve">98,441.99</w:t>
            </w:r>
          </w:p>
        </w:tc>
        <w:tc>
          <w:tcPr/>
          <w:p>
            <w:pPr>
              <w:pStyle w:val="Compact"/>
            </w:pPr>
            <w:r>
              <w:t xml:space="preserve">98,441.99</w:t>
            </w:r>
          </w:p>
        </w:tc>
        <w:tc>
          <w:tcPr/>
          <w:p>
            <w:pPr>
              <w:pStyle w:val="Compact"/>
            </w:pPr>
            <w:r>
              <w:t xml:space="preserve">6.28981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2006-03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3,188,157.9</w:t>
            </w:r>
          </w:p>
        </w:tc>
        <w:tc>
          <w:tcPr/>
          <w:p>
            <w:pPr>
              <w:pStyle w:val="Compact"/>
            </w:pPr>
            <w:r>
              <w:t xml:space="preserve">102,843.80</w:t>
            </w:r>
          </w:p>
        </w:tc>
        <w:tc>
          <w:tcPr/>
          <w:p>
            <w:pPr>
              <w:pStyle w:val="Compact"/>
            </w:pPr>
            <w:r>
              <w:t xml:space="preserve">102,843.80</w:t>
            </w:r>
          </w:p>
        </w:tc>
        <w:tc>
          <w:tcPr/>
          <w:p>
            <w:pPr>
              <w:pStyle w:val="Compact"/>
            </w:pPr>
            <w:r>
              <w:t xml:space="preserve">6.28981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2006-04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3,107,771.5</w:t>
            </w:r>
          </w:p>
        </w:tc>
        <w:tc>
          <w:tcPr/>
          <w:p>
            <w:pPr>
              <w:pStyle w:val="Compact"/>
            </w:pPr>
            <w:r>
              <w:t xml:space="preserve">103,592.38</w:t>
            </w:r>
          </w:p>
        </w:tc>
        <w:tc>
          <w:tcPr/>
          <w:p>
            <w:pPr>
              <w:pStyle w:val="Compact"/>
            </w:pPr>
            <w:r>
              <w:t xml:space="preserve">103,592.38</w:t>
            </w:r>
          </w:p>
        </w:tc>
        <w:tc>
          <w:tcPr/>
          <w:p>
            <w:pPr>
              <w:pStyle w:val="Compact"/>
            </w:pPr>
            <w:r>
              <w:t xml:space="preserve">6.28981</w:t>
            </w:r>
          </w:p>
        </w:tc>
      </w:tr>
    </w:tbl>
    <w:p>
      <w:pPr>
        <w:pStyle w:val="BodyText"/>
      </w:pPr>
      <w:r>
        <w:t xml:space="preserve">Implied barrel factor</w:t>
      </w:r>
      <w:r>
        <w:t xml:space="preserve"> </w:t>
      </w:r>
      <w:r>
        <w:rPr>
          <w:b/>
          <w:bCs/>
        </w:rPr>
        <w:t xml:space="preserve">6.28981 bbl/m³</w:t>
      </w:r>
      <w:r>
        <w:t xml:space="preserve">; config uses 6.28981 (Δ 0.0000%).</w:t>
      </w:r>
      <w:r>
        <w:t xml:space="preserve"> </w:t>
      </w:r>
      <w:r>
        <w:rPr>
          <w:rStyle w:val="VerbatimChar"/>
        </w:rPr>
        <w:t xml:space="preserve">total / days</w:t>
      </w:r>
      <w:r>
        <w:t xml:space="preserve"> </w:t>
      </w:r>
      <w:r>
        <w:t xml:space="preserve">reproduces the published daily column exactly, so</w:t>
      </w:r>
      <w:r>
        <w:t xml:space="preserve"> </w:t>
      </w:r>
      <w:r>
        <w:rPr>
          <w:rStyle w:val="VerbatimChar"/>
        </w:rPr>
        <w:t xml:space="preserve">prod_pet</w:t>
      </w:r>
      <w:r>
        <w:t xml:space="preserve"> </w:t>
      </w:r>
      <w:r>
        <w:t xml:space="preserve">is m³ and the factor is the publisher's own.</w:t>
      </w:r>
    </w:p>
    <w:p>
      <w:pPr>
        <w:pStyle w:val="BodyText"/>
      </w:pPr>
      <w:r>
        <w:t xml:space="preserve">Gas: 2006-01 total 4,229,240.2 with published daily 136.4271. total/31 = 136,427.1, i.e. the daily column is the monthly unit ÷1000. With ~136 × 10⁶ m³/d national output for 2006,</w:t>
      </w:r>
      <w:r>
        <w:t xml:space="preserve"> </w:t>
      </w:r>
      <w:r>
        <w:rPr>
          <w:rStyle w:val="VerbatimChar"/>
        </w:rPr>
        <w:t xml:space="preserve">prod_gas</w:t>
      </w:r>
      <w:r>
        <w:t xml:space="preserve"> </w:t>
      </w:r>
      <w:r>
        <w:t xml:space="preserve">is confirmed as</w:t>
      </w:r>
      <w:r>
        <w:t xml:space="preserve"> </w:t>
      </w:r>
      <w:r>
        <w:rPr>
          <w:b/>
          <w:bCs/>
        </w:rPr>
        <w:t xml:space="preserve">10³ m³</w:t>
      </w:r>
      <w:r>
        <w:t xml:space="preserve">, not 10⁶.</w:t>
      </w:r>
    </w:p>
    <w:bookmarkEnd w:id="13"/>
    <w:bookmarkStart w:id="14" w:name="X4aeb3780650d07782cf806bbcdd7352865ccefc"/>
    <w:p>
      <w:pPr>
        <w:pStyle w:val="Heading2"/>
      </w:pPr>
      <w:r>
        <w:t xml:space="preserve">6. Unconventional split against the official shale / tight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fluid</w:t>
            </w:r>
          </w:p>
        </w:tc>
        <w:tc>
          <w:tcPr/>
          <w:p>
            <w:pPr>
              <w:pStyle w:val="Compact"/>
            </w:pPr>
            <w:r>
              <w:t xml:space="preserve">subtype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petrodb</w:t>
            </w:r>
          </w:p>
        </w:tc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SHALE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114,772,374</w:t>
            </w:r>
          </w:p>
        </w:tc>
        <w:tc>
          <w:tcPr/>
          <w:p>
            <w:pPr>
              <w:pStyle w:val="Compact"/>
            </w:pPr>
            <w:r>
              <w:t xml:space="preserve">115,125,553</w:t>
            </w:r>
          </w:p>
        </w:tc>
        <w:tc>
          <w:tcPr/>
          <w:p>
            <w:pPr>
              <w:pStyle w:val="Compact"/>
            </w:pPr>
            <w:r>
              <w:t xml:space="preserve">-0.31%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TIGHT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4,654,655</w:t>
            </w:r>
          </w:p>
        </w:tc>
        <w:tc>
          <w:tcPr/>
          <w:p>
            <w:pPr>
              <w:pStyle w:val="Compact"/>
            </w:pPr>
            <w:r>
              <w:t xml:space="preserve">4,679,419</w:t>
            </w:r>
          </w:p>
        </w:tc>
        <w:tc>
          <w:tcPr/>
          <w:p>
            <w:pPr>
              <w:pStyle w:val="Compact"/>
            </w:pPr>
            <w:r>
              <w:t xml:space="preserve">-0.53%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SHALE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140,259,572</w:t>
            </w:r>
          </w:p>
        </w:tc>
        <w:tc>
          <w:tcPr/>
          <w:p>
            <w:pPr>
              <w:pStyle w:val="Compact"/>
            </w:pPr>
            <w:r>
              <w:t xml:space="preserve">140,324,251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TIGHT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103,247,341</w:t>
            </w:r>
          </w:p>
        </w:tc>
        <w:tc>
          <w:tcPr/>
          <w:p>
            <w:pPr>
              <w:pStyle w:val="Compact"/>
            </w:pPr>
            <w:r>
              <w:t xml:space="preserve">103,714,789</w:t>
            </w:r>
          </w:p>
        </w:tc>
        <w:tc>
          <w:tcPr/>
          <w:p>
            <w:pPr>
              <w:pStyle w:val="Compact"/>
            </w:pPr>
            <w:r>
              <w:t xml:space="preserve">-0.45%</w:t>
            </w:r>
          </w:p>
        </w:tc>
      </w:tr>
    </w:tbl>
    <w:bookmarkEnd w:id="14"/>
    <w:bookmarkStart w:id="15" w:name="X953e5863a1bcf862acc23b7607e1d8e59e7a107"/>
    <w:p>
      <w:pPr>
        <w:pStyle w:val="Heading2"/>
      </w:pPr>
      <w:r>
        <w:t xml:space="preserve">7. Physical plausibility and the NULL-versus-zero census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negative values</w:t>
            </w:r>
          </w:p>
        </w:tc>
        <w:tc>
          <w:tcPr/>
          <w:p>
            <w:pPr>
              <w:pStyle w:val="Compact"/>
            </w:pPr>
            <w:r>
              <w:t xml:space="preserve">prod_pet</w:t>
            </w:r>
          </w:p>
        </w:tc>
        <w:tc>
          <w:tcPr/>
          <w:p>
            <w:pPr>
              <w:pStyle w:val="Compact"/>
            </w:pPr>
            <w:r>
              <w:t xml:space="preserve">prod_gas</w:t>
            </w:r>
          </w:p>
        </w:tc>
        <w:tc>
          <w:tcPr/>
          <w:p>
            <w:pPr>
              <w:pStyle w:val="Compact"/>
            </w:pPr>
            <w:r>
              <w:t xml:space="preserve">prod_agua</w:t>
            </w:r>
          </w:p>
        </w:tc>
        <w:tc>
          <w:tcPr/>
          <w:p>
            <w:pPr>
              <w:pStyle w:val="Compact"/>
            </w:pPr>
            <w:r>
              <w:t xml:space="preserve">tef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Negative volumes are not corrupt rows — they are retroactive corrections carried in the source declarations, where a later filing reverses an earlier over-report. They are kept (removing them would break the reconciliation in check 4, which they are part of) and flagged in the data-quality panel.</w:t>
      </w:r>
    </w:p>
    <w:p>
      <w:pPr>
        <w:pStyle w:val="BodyText"/>
      </w:pPr>
      <w:r>
        <w:rPr>
          <w:rStyle w:val="VerbatimChar"/>
        </w:rPr>
        <w:t xml:space="preserve">tef</w:t>
      </w:r>
      <w:r>
        <w:t xml:space="preserve"> </w:t>
      </w:r>
      <w:r>
        <w:t xml:space="preserve">(effective production hours) max =</w:t>
      </w:r>
      <w:r>
        <w:t xml:space="preserve"> </w:t>
      </w:r>
      <w:r>
        <w:rPr>
          <w:b/>
          <w:bCs/>
        </w:rPr>
        <w:t xml:space="preserve">3,058.0 h</w:t>
      </w:r>
      <w:r>
        <w:t xml:space="preserve"> </w:t>
      </w:r>
      <w:r>
        <w:t xml:space="preserve">against a ceiling of 744 h in a 31-day month, and</w:t>
      </w:r>
      <w:r>
        <w:t xml:space="preserve"> </w:t>
      </w:r>
      <w:r>
        <w:rPr>
          <w:b/>
          <w:bCs/>
        </w:rPr>
        <w:t xml:space="preserve">5 rows</w:t>
      </w:r>
      <w:r>
        <w:t xml:space="preserve"> </w:t>
      </w:r>
      <w:r>
        <w:t xml:space="preserve">exceed the hours physically available in their own month. So</w:t>
      </w:r>
      <w:r>
        <w:t xml:space="preserve"> </w:t>
      </w:r>
      <w:r>
        <w:rPr>
          <w:rStyle w:val="VerbatimChar"/>
        </w:rPr>
        <w:t xml:space="preserve">tef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clean: a handful of declarations carry impossible values, the worst about four times the ceiling. The count is tiny against 17.8 M rows, but any uptime-derived rate must exclude them rather than assume the column is bounded — the dashboard clamps</w:t>
      </w:r>
      <w:r>
        <w:t xml:space="preserve"> </w:t>
      </w:r>
      <w:r>
        <w:rPr>
          <w:rStyle w:val="VerbatimChar"/>
        </w:rPr>
        <w:t xml:space="preserve">tef</w:t>
      </w:r>
      <w:r>
        <w:t xml:space="preserve"> </w:t>
      </w:r>
      <w:r>
        <w:t xml:space="preserve">for rate calculations and reports the affected rows in the data-quality panel.</w:t>
      </w:r>
    </w:p>
    <w:p>
      <w:pPr>
        <w:pStyle w:val="BodyText"/>
      </w:pPr>
      <w:r>
        <w:t xml:space="preserve">NULL versus zero matters: petrodb fills series gaps with NULL measurements, so a zero is a reported zero and a NULL is an absent declaration. Statistics must not conflate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%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prod_pet</w:t>
            </w:r>
          </w:p>
        </w:tc>
        <w:tc>
          <w:tcPr/>
          <w:p>
            <w:pPr>
              <w:pStyle w:val="Compact"/>
            </w:pPr>
            <w:r>
              <w:t xml:space="preserve">146,248</w:t>
            </w:r>
          </w:p>
        </w:tc>
        <w:tc>
          <w:tcPr/>
          <w:p>
            <w:pPr>
              <w:pStyle w:val="Compact"/>
            </w:pPr>
            <w:r>
              <w:t xml:space="preserve">11,934,677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prod_gas</w:t>
            </w:r>
          </w:p>
        </w:tc>
        <w:tc>
          <w:tcPr/>
          <w:p>
            <w:pPr>
              <w:pStyle w:val="Compact"/>
            </w:pPr>
            <w:r>
              <w:t xml:space="preserve">146,248</w:t>
            </w:r>
          </w:p>
        </w:tc>
        <w:tc>
          <w:tcPr/>
          <w:p>
            <w:pPr>
              <w:pStyle w:val="Compact"/>
            </w:pPr>
            <w:r>
              <w:t xml:space="preserve">13,249,673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prod_agua</w:t>
            </w:r>
          </w:p>
        </w:tc>
        <w:tc>
          <w:tcPr/>
          <w:p>
            <w:pPr>
              <w:pStyle w:val="Compact"/>
            </w:pPr>
            <w:r>
              <w:t xml:space="preserve">146,248</w:t>
            </w:r>
          </w:p>
        </w:tc>
        <w:tc>
          <w:tcPr/>
          <w:p>
            <w:pPr>
              <w:pStyle w:val="Compact"/>
            </w:pPr>
            <w:r>
              <w:t xml:space="preserve">11,932,334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tef</w:t>
            </w:r>
          </w:p>
        </w:tc>
        <w:tc>
          <w:tcPr/>
          <w:p>
            <w:pPr>
              <w:pStyle w:val="Compact"/>
            </w:pPr>
            <w:r>
              <w:t xml:space="preserve">146,248</w:t>
            </w:r>
          </w:p>
        </w:tc>
        <w:tc>
          <w:tcPr/>
          <w:p>
            <w:pPr>
              <w:pStyle w:val="Compact"/>
            </w:pPr>
            <w:r>
              <w:t xml:space="preserve">10,725,843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</w:tbl>
    <w:bookmarkEnd w:id="15"/>
    <w:bookmarkStart w:id="16" w:name="Xac107789d350240208d3366a439d8d6fb5041fa"/>
    <w:p>
      <w:pPr>
        <w:pStyle w:val="Heading2"/>
      </w:pPr>
      <w:r>
        <w:t xml:space="preserve">8. Coordinate reference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WKB prefix (hex)</w:t>
            </w:r>
          </w:p>
        </w:tc>
        <w:tc>
          <w:tcPr/>
          <w:p>
            <w:pPr>
              <w:pStyle w:val="Compact"/>
            </w:pPr>
            <w:r>
              <w:t xml:space="preserve">wells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0101000020E6100000</w:t>
            </w:r>
          </w:p>
        </w:tc>
        <w:tc>
          <w:tcPr/>
          <w:p>
            <w:pPr>
              <w:pStyle w:val="Compact"/>
            </w:pPr>
            <w:r>
              <w:t xml:space="preserve">85,380</w:t>
            </w:r>
          </w:p>
        </w:tc>
      </w:tr>
    </w:tbl>
    <w:p>
      <w:pPr>
        <w:pStyle w:val="BodyText"/>
      </w:pPr>
      <w:r>
        <w:t xml:space="preserve">Decoded: byte order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(01 = little-endian), type word</w:t>
      </w:r>
      <w:r>
        <w:t xml:space="preserve"> </w:t>
      </w:r>
      <w:r>
        <w:rPr>
          <w:rStyle w:val="VerbatimChar"/>
        </w:rPr>
        <w:t xml:space="preserve">01000020</w:t>
      </w:r>
      <w:r>
        <w:t xml:space="preserve"> </w:t>
      </w:r>
      <w:r>
        <w:t xml:space="preserve">— the 0x20000000 bit is the</w:t>
      </w:r>
      <w:r>
        <w:t xml:space="preserve"> </w:t>
      </w:r>
      <w:r>
        <w:rPr>
          <w:i/>
          <w:iCs/>
        </w:rPr>
        <w:t xml:space="preserve">has SRID</w:t>
      </w:r>
      <w:r>
        <w:t xml:space="preserve"> </w:t>
      </w:r>
      <w:r>
        <w:t xml:space="preserve">flag — and SRID</w:t>
      </w:r>
      <w:r>
        <w:t xml:space="preserve"> </w:t>
      </w:r>
      <w:r>
        <w:rPr>
          <w:b/>
          <w:bCs/>
        </w:rPr>
        <w:t xml:space="preserve">4326</w:t>
      </w:r>
      <w:r>
        <w:t xml:space="preserve">. EPSG:4326 is WGS 84, so</w:t>
      </w:r>
      <w:r>
        <w:t xml:space="preserve"> </w:t>
      </w:r>
      <w:r>
        <w:rPr>
          <w:rStyle w:val="VerbatimChar"/>
        </w:rPr>
        <w:t xml:space="preserve">coordenadax</w:t>
      </w:r>
      <w:r>
        <w:t xml:space="preserve">/</w:t>
      </w:r>
      <w:r>
        <w:rPr>
          <w:rStyle w:val="VerbatimChar"/>
        </w:rPr>
        <w:t xml:space="preserve">coordenaday</w:t>
      </w:r>
      <w:r>
        <w:t xml:space="preserve"> </w:t>
      </w:r>
      <w:r>
        <w:t xml:space="preserve">are already decimal degrees. No reprojection anywhere in this project.</w:t>
      </w:r>
      <w:r>
        <w:t xml:space="preserve"> </w:t>
      </w:r>
      <w:r>
        <w:t xml:space="preserve">| matched | no coordinate | comparable | identical | &lt; 1e-4° (~10 m) | 1e-4–1e-2° | ≥ 1e-2° (~1 km) |</w:t>
      </w:r>
      <w:r>
        <w:t xml:space="preserve"> </w:t>
      </w:r>
      <w:r>
        <w:t xml:space="preserve">|---|---|---|---|---|---|---|</w:t>
      </w:r>
      <w:r>
        <w:t xml:space="preserve"> </w:t>
      </w:r>
      <w:r>
        <w:t xml:space="preserve">| 85,380 | 1,170 | 84,210 | 84,208 | 0 | 0 | 2 |</w:t>
      </w:r>
    </w:p>
    <w:p>
      <w:pPr>
        <w:pStyle w:val="BodyText"/>
      </w:pPr>
      <w:r>
        <w:t xml:space="preserve">Of the 84,210 wells carrying a coordinate in both sources,</w:t>
      </w:r>
      <w:r>
        <w:t xml:space="preserve"> </w:t>
      </w:r>
      <w:r>
        <w:rPr>
          <w:b/>
          <w:bCs/>
        </w:rPr>
        <w:t xml:space="preserve">84,208 (100.00%) agree bit-for-bit</w:t>
      </w:r>
      <w:r>
        <w:t xml:space="preserve"> </w:t>
      </w:r>
      <w:r>
        <w:t xml:space="preserve">and nothing at all lands in the intermediate bands — p99 deviation is exactly 0.0°. That is the confirmation being sought: two independent representations of the same coordinate are</w:t>
      </w:r>
      <w:r>
        <w:t xml:space="preserve"> </w:t>
      </w:r>
      <w:r>
        <w:rPr>
          <w:i/>
          <w:iCs/>
        </w:rPr>
        <w:t xml:space="preserve">identical</w:t>
      </w:r>
      <w:r>
        <w:t xml:space="preserve">, so the values are unambiguously the degrees the SRID declares.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wells differ at all (max 0.287°, ~32 km). Those are positions the registry revised after the petrodb snapshot — a currency difference between two sources, not a projection error. A wrong CRS would displace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well by a similar amount; instead it displaces 2 of 84,210 and leaves the rest exact.</w:t>
      </w:r>
    </w:p>
    <w:p>
      <w:pPr>
        <w:pStyle w:val="BodyText"/>
      </w:pPr>
      <w:r>
        <w:t xml:space="preserve">Wells with missing coordinates:</w:t>
      </w:r>
      <w:r>
        <w:t xml:space="preserve"> </w:t>
      </w:r>
      <w:r>
        <w:rPr>
          <w:b/>
          <w:bCs/>
        </w:rPr>
        <w:t xml:space="preserve">1,176</w:t>
      </w:r>
      <w:r>
        <w:t xml:space="preserve">; outside Argentina's bounding box:</w:t>
      </w:r>
      <w:r>
        <w:t xml:space="preserve"> </w:t>
      </w:r>
      <w:r>
        <w:rPr>
          <w:b/>
          <w:bCs/>
        </w:rPr>
        <w:t xml:space="preserve">2</w:t>
      </w:r>
      <w:r>
        <w:t xml:space="preserve">. Both are excluded from the map and counted on the Data &amp; method page.</w:t>
      </w:r>
    </w:p>
    <w:bookmarkEnd w:id="16"/>
    <w:bookmarkStart w:id="18" w:name="Xe2794b6050a24adf478a60ed4ef502771e3099f"/>
    <w:p>
      <w:pPr>
        <w:pStyle w:val="Heading2"/>
      </w:pPr>
      <w:r>
        <w:t xml:space="preserve">9. Fracture join coverage and the trajectory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tipo_recurso</w:t>
            </w:r>
          </w:p>
        </w:tc>
        <w:tc>
          <w:tcPr/>
          <w:p>
            <w:pPr>
              <w:pStyle w:val="Compact"/>
            </w:pPr>
            <w:r>
              <w:t xml:space="preserve">wells</w:t>
            </w:r>
          </w:p>
        </w:tc>
        <w:tc>
          <w:tcPr/>
          <w:p>
            <w:pPr>
              <w:pStyle w:val="Compact"/>
            </w:pPr>
            <w:r>
              <w:t xml:space="preserve">with fracture record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CONVENCIONAL</w:t>
            </w:r>
          </w:p>
        </w:tc>
        <w:tc>
          <w:tcPr/>
          <w:p>
            <w:pPr>
              <w:pStyle w:val="Compact"/>
            </w:pPr>
            <w:r>
              <w:t xml:space="preserve">58,302</w:t>
            </w:r>
          </w:p>
        </w:tc>
        <w:tc>
          <w:tcPr/>
          <w:p>
            <w:pPr>
              <w:pStyle w:val="Compact"/>
            </w:pPr>
            <w:r>
              <w:t xml:space="preserve">767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informado</w:t>
            </w:r>
          </w:p>
        </w:tc>
        <w:tc>
          <w:tcPr/>
          <w:p>
            <w:pPr>
              <w:pStyle w:val="Compact"/>
            </w:pPr>
            <w:r>
              <w:t xml:space="preserve">21,859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CONVENCIONAL</w:t>
            </w:r>
          </w:p>
        </w:tc>
        <w:tc>
          <w:tcPr/>
          <w:p>
            <w:pPr>
              <w:pStyle w:val="Compact"/>
            </w:pPr>
            <w:r>
              <w:t xml:space="preserve">4,833</w:t>
            </w:r>
          </w:p>
        </w:tc>
        <w:tc>
          <w:tcPr/>
          <w:p>
            <w:pPr>
              <w:pStyle w:val="Compact"/>
            </w:pPr>
            <w:r>
              <w:t xml:space="preserve">3,668</w:t>
            </w:r>
          </w:p>
        </w:tc>
        <w:tc>
          <w:tcPr/>
          <w:p>
            <w:pPr>
              <w:pStyle w:val="Compact"/>
            </w:pPr>
            <w:r>
              <w:t xml:space="preserve">75.9%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RESERVORIO</w:t>
            </w:r>
          </w:p>
        </w:tc>
        <w:tc>
          <w:tcPr/>
          <w:p>
            <w:pPr>
              <w:pStyle w:val="Compact"/>
            </w:pPr>
            <w:r>
              <w:t xml:space="preserve">418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DISCRIMINADO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</w:tbl>
    <w:p>
      <w:pPr>
        <w:pStyle w:val="BodyText"/>
      </w:pPr>
      <w:r>
        <w:t xml:space="preserve">Trajectory is therefore</w:t>
      </w:r>
      <w:r>
        <w:t xml:space="preserve"> </w:t>
      </w:r>
      <w:r>
        <w:rPr>
          <w:b/>
          <w:bCs/>
        </w:rPr>
        <w:t xml:space="preserve">known for the unconventional population and unknown for most conventional wells</w:t>
      </w:r>
      <w:r>
        <w:t xml:space="preserve">. The dashboard exposes this as an explicit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state; nothing is imputed.</w:t>
      </w:r>
    </w:p>
    <w:bookmarkStart w:id="17" w:name="why-the-500-m-threshold"/>
    <w:p>
      <w:pPr>
        <w:pStyle w:val="Heading3"/>
      </w:pPr>
      <w:r>
        <w:t xml:space="preserve">Why the 500 m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lateral length</w:t>
            </w:r>
          </w:p>
        </w:tc>
        <w:tc>
          <w:tcPr/>
          <w:p>
            <w:pPr>
              <w:pStyle w:val="Compact"/>
            </w:pPr>
            <w:r>
              <w:t xml:space="preserve">= 0 / null</w:t>
            </w:r>
          </w:p>
        </w:tc>
        <w:tc>
          <w:tcPr/>
          <w:p>
            <w:pPr>
              <w:pStyle w:val="Compact"/>
            </w:pPr>
            <w:r>
              <w:t xml:space="preserve">0–150 m</w:t>
            </w:r>
          </w:p>
        </w:tc>
        <w:tc>
          <w:tcPr/>
          <w:p>
            <w:pPr>
              <w:pStyle w:val="Compact"/>
            </w:pPr>
            <w:r>
              <w:t xml:space="preserve">150–600 m</w:t>
            </w:r>
          </w:p>
        </w:tc>
        <w:tc>
          <w:tcPr/>
          <w:p>
            <w:pPr>
              <w:pStyle w:val="Compact"/>
            </w:pPr>
            <w:r>
              <w:t xml:space="preserve">≥ 600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</w:t>
            </w:r>
          </w:p>
        </w:tc>
        <w:tc>
          <w:tcPr/>
          <w:p>
            <w:pPr>
              <w:pStyle w:val="Compact"/>
            </w:pPr>
            <w:r>
              <w:t xml:space="preserve">1,874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2,555</w:t>
            </w:r>
          </w:p>
        </w:tc>
      </w:tr>
    </w:tbl>
    <w:p>
      <w:pPr>
        <w:pStyle w:val="BodyText"/>
      </w:pPr>
      <w:r>
        <w:t xml:space="preserve">The distribution is bimodal with an almost empty corridor: only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wells of 4,604 fall between 150 m and 600 m, while the horizontal mode sits at p25 = 1,910 m and p50 = 2,500 m. Any cut inside that corridor classifies the same wells, so</w:t>
      </w:r>
      <w:r>
        <w:t xml:space="preserve"> </w:t>
      </w:r>
      <w:r>
        <w:rPr>
          <w:b/>
          <w:bCs/>
        </w:rPr>
        <w:t xml:space="preserve">500 m</w:t>
      </w:r>
      <w:r>
        <w:t xml:space="preserve"> </w:t>
      </w:r>
      <w:r>
        <w:t xml:space="preserve">is chosen for roundness and the result is insensitive to it — moving the cut to 150 m or 1,000 m reclassifies at most 20 wells (0.4%).</w:t>
      </w:r>
    </w:p>
    <w:p>
      <w:pPr>
        <w:pStyle w:val="BodyText"/>
      </w:pPr>
      <w:r>
        <w:t xml:space="preserve">First-production padrón covers</w:t>
      </w:r>
      <w:r>
        <w:t xml:space="preserve"> </w:t>
      </w:r>
      <w:r>
        <w:rPr>
          <w:b/>
          <w:bCs/>
        </w:rPr>
        <w:t xml:space="preserve">85,406 of 85,417 wells</w:t>
      </w:r>
      <w:r>
        <w:t xml:space="preserve"> </w:t>
      </w:r>
      <w:r>
        <w:t xml:space="preserve">(100.0%). Wells without it get no months-on-production axis and are excluded from type curves, not silently defaulted to zero.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2026-08-12T15:36:40Z</dcterms:created>
  <dcterms:modified xsi:type="dcterms:W3CDTF">2026-08-12T15:36:40Z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