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how-it-works"/>
    <w:p>
      <w:pPr>
        <w:pStyle w:val="Heading1"/>
      </w:pPr>
      <w:r>
        <w:t xml:space="preserve">How it works</w:t>
      </w:r>
    </w:p>
    <w:p>
      <w:pPr>
        <w:pStyle w:val="FirstParagraph"/>
      </w:pPr>
      <w:r>
        <w:t xml:space="preserve">A walk through the machinery, at the level of what is actually happening rather</w:t>
      </w:r>
      <w:r>
        <w:t xml:space="preserve"> </w:t>
      </w:r>
      <w:r>
        <w:t xml:space="preserve">than what the code says. Written for someone who knows the physics and is</w:t>
      </w:r>
      <w:r>
        <w:t xml:space="preserve"> </w:t>
      </w:r>
      <w:r>
        <w:t xml:space="preserve">building fluency with the engineering.</w:t>
      </w:r>
    </w:p>
    <w:bookmarkStart w:id="9" w:name="Xd04fa727e3ffbc94288b6943dfa8f7d8a55b65f"/>
    <w:p>
      <w:pPr>
        <w:pStyle w:val="Heading2"/>
      </w:pPr>
      <w:r>
        <w:t xml:space="preserve">1. What a "static site" actually is</w:t>
      </w:r>
    </w:p>
    <w:p>
      <w:pPr>
        <w:pStyle w:val="FirstParagraph"/>
      </w:pPr>
      <w:r>
        <w:t xml:space="preserve">There is no server here. Not "a small server" — none. GitHub Pages is a file</w:t>
      </w:r>
      <w:r>
        <w:t xml:space="preserve"> </w:t>
      </w:r>
      <w:r>
        <w:t xml:space="preserve">host: it receives</w:t>
      </w:r>
      <w:r>
        <w:t xml:space="preserve"> </w:t>
      </w:r>
      <w:r>
        <w:rPr>
          <w:rStyle w:val="VerbatimChar"/>
        </w:rPr>
        <w:t xml:space="preserve">GET /data/agg_monthly.parquet</w:t>
      </w:r>
      <w:r>
        <w:t xml:space="preserve"> </w:t>
      </w:r>
      <w:r>
        <w:t xml:space="preserve">and returns those bytes. It</w:t>
      </w:r>
      <w:r>
        <w:t xml:space="preserve"> </w:t>
      </w:r>
      <w:r>
        <w:t xml:space="preserve">never runs any of our code.</w:t>
      </w:r>
    </w:p>
    <w:p>
      <w:pPr>
        <w:pStyle w:val="BodyText"/>
      </w:pPr>
      <w:r>
        <w:t xml:space="preserve">That sounds like a limitation and is mostly a liberation: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Nothing to keep alive.</w:t>
      </w:r>
      <w:r>
        <w:t xml:space="preserve"> </w:t>
      </w:r>
      <w:r>
        <w:t xml:space="preserve">No process to crash, no database to patch, no bill.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Nothing to attack.</w:t>
      </w:r>
      <w:r>
        <w:t xml:space="preserve"> </w:t>
      </w:r>
      <w:r>
        <w:t xml:space="preserve">There is no query for anyone to inject into, because</w:t>
      </w:r>
      <w:r>
        <w:t xml:space="preserve"> </w:t>
      </w:r>
      <w:r>
        <w:t xml:space="preserve">there is no server-side query.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scales for free.</w:t>
      </w:r>
      <w:r>
        <w:t xml:space="preserve"> </w:t>
      </w:r>
      <w:r>
        <w:t xml:space="preserve">A thousand simultaneous readers is a thousand file</w:t>
      </w:r>
      <w:r>
        <w:t xml:space="preserve"> </w:t>
      </w:r>
      <w:r>
        <w:t xml:space="preserve">downloads from a CDN, which is what CDNs exist for.</w:t>
      </w:r>
    </w:p>
    <w:p>
      <w:pPr>
        <w:pStyle w:val="FirstParagraph"/>
      </w:pPr>
      <w:r>
        <w:t xml:space="preserve">The cost is that every computation has to happen in the reader's browser. Which</w:t>
      </w:r>
      <w:r>
        <w:t xml:space="preserve"> </w:t>
      </w:r>
      <w:r>
        <w:t xml:space="preserve">raises the obvious question: how do you query 17.8 million rows in a browser?</w:t>
      </w:r>
    </w:p>
    <w:bookmarkEnd w:id="9"/>
    <w:bookmarkStart w:id="10" w:name="X013eeda921c303815a5901e0c8a75262103f69f"/>
    <w:p>
      <w:pPr>
        <w:pStyle w:val="Heading2"/>
      </w:pPr>
      <w:r>
        <w:t xml:space="preserve">2. Why the data is columnar</w:t>
      </w:r>
    </w:p>
    <w:p>
      <w:pPr>
        <w:pStyle w:val="FirstParagraph"/>
      </w:pPr>
      <w:r>
        <w:t xml:space="preserve">A row-oriented format stores record 1's every field, then record 2's, and so on.</w:t>
      </w:r>
      <w:r>
        <w:t xml:space="preserve"> </w:t>
      </w:r>
      <w:r>
        <w:t xml:space="preserve">To sum one column you must read past every other column.</w:t>
      </w:r>
    </w:p>
    <w:p>
      <w:pPr>
        <w:pStyle w:val="BodyText"/>
      </w:pPr>
      <w:r>
        <w:t xml:space="preserve">Parquet is column-oriented: all 17.8 million</w:t>
      </w:r>
      <w:r>
        <w:t xml:space="preserve"> </w:t>
      </w:r>
      <w:r>
        <w:rPr>
          <w:rStyle w:val="VerbatimChar"/>
        </w:rPr>
        <w:t xml:space="preserve">prod_pet</w:t>
      </w:r>
      <w:r>
        <w:t xml:space="preserve"> </w:t>
      </w:r>
      <w:r>
        <w:t xml:space="preserve">values sit contiguously,</w:t>
      </w:r>
      <w:r>
        <w:t xml:space="preserve"> </w:t>
      </w:r>
      <w:r>
        <w:t xml:space="preserve">then all the</w:t>
      </w:r>
      <w:r>
        <w:t xml:space="preserve"> </w:t>
      </w:r>
      <w:r>
        <w:rPr>
          <w:rStyle w:val="VerbatimChar"/>
        </w:rPr>
        <w:t xml:space="preserve">prod_gas</w:t>
      </w:r>
      <w:r>
        <w:t xml:space="preserve"> </w:t>
      </w:r>
      <w:r>
        <w:t xml:space="preserve">values. Summing oil touches only the oil bytes. A chart</w:t>
      </w:r>
      <w:r>
        <w:t xml:space="preserve"> </w:t>
      </w:r>
      <w:r>
        <w:t xml:space="preserve">that needs 3 of 11 columns reads roughly 3/11 of the file.</w:t>
      </w:r>
    </w:p>
    <w:p>
      <w:pPr>
        <w:pStyle w:val="BodyText"/>
      </w:pPr>
      <w:r>
        <w:t xml:space="preserve">Contiguity also means the values compress well — a column of dates or of basin</w:t>
      </w:r>
      <w:r>
        <w:t xml:space="preserve"> </w:t>
      </w:r>
      <w:r>
        <w:t xml:space="preserve">names is enormously more repetitive than a row mixing dates, names and floats.</w:t>
      </w:r>
      <w:r>
        <w:t xml:space="preserve"> </w:t>
      </w:r>
      <w:r>
        <w:t xml:space="preserve">The 143 MB of source Parquet re-encodes to 97 MB with ZSTD after column pruning,</w:t>
      </w:r>
      <w:r>
        <w:t xml:space="preserve"> </w:t>
      </w:r>
      <w:r>
        <w:t xml:space="preserve">and the aggregate cube crushes 17.8 M rows into 4.5 MB.</w:t>
      </w:r>
    </w:p>
    <w:p>
      <w:pPr>
        <w:pStyle w:val="BodyText"/>
      </w:pPr>
      <w:r>
        <w:t xml:space="preserve">The same idea is repeated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browser.</w:t>
      </w:r>
      <w:r>
        <w:t xml:space="preserve"> </w:t>
      </w:r>
      <w:r>
        <w:rPr>
          <w:rStyle w:val="VerbatimChar"/>
        </w:rPr>
        <w:t xml:space="preserve">site/js/store.js</w:t>
      </w:r>
      <w:r>
        <w:t xml:space="preserve"> </w:t>
      </w:r>
      <w:r>
        <w:t xml:space="preserve">decodes each</w:t>
      </w:r>
      <w:r>
        <w:t xml:space="preserve"> </w:t>
      </w:r>
      <w:r>
        <w:t xml:space="preserve">column into a flat</w:t>
      </w:r>
      <w:r>
        <w:t xml:space="preserve"> </w:t>
      </w:r>
      <w:r>
        <w:rPr>
          <w:rStyle w:val="VerbatimChar"/>
        </w:rPr>
        <w:t xml:space="preserve">Float64Array</w:t>
      </w:r>
      <w:r>
        <w:t xml:space="preserve">, and each categorical column into an</w:t>
      </w:r>
      <w:r>
        <w:t xml:space="preserve"> </w:t>
      </w:r>
      <w:r>
        <w:rPr>
          <w:rStyle w:val="VerbatimChar"/>
        </w:rPr>
        <w:t xml:space="preserve">Int32Array</w:t>
      </w:r>
      <w:r>
        <w:t xml:space="preserve"> </w:t>
      </w:r>
      <w:r>
        <w:t xml:space="preserve">of dictionary codes plus a string table. Filtering is then integer</w:t>
      </w:r>
      <w:r>
        <w:t xml:space="preserve"> </w:t>
      </w:r>
      <w:r>
        <w:t xml:space="preserve">comparison over contiguous memory. The alternative — 296,154 JavaScript objects</w:t>
      </w:r>
      <w:r>
        <w:t xml:space="preserve"> </w:t>
      </w:r>
      <w:r>
        <w:t xml:space="preserve">— costs about a hundred megabytes and makes the garbage collector do most of the</w:t>
      </w:r>
      <w:r>
        <w:t xml:space="preserve"> </w:t>
      </w:r>
      <w:r>
        <w:t xml:space="preserve">work of every keystroke.</w:t>
      </w:r>
    </w:p>
    <w:bookmarkEnd w:id="10"/>
    <w:bookmarkStart w:id="11" w:name="Xe354918699c727fa7cf20291ee4ef66eeda5634"/>
    <w:p>
      <w:pPr>
        <w:pStyle w:val="Heading2"/>
      </w:pPr>
      <w:r>
        <w:t xml:space="preserve">3. Row groups, and why sorting is not cosmetic</w:t>
      </w:r>
    </w:p>
    <w:p>
      <w:pPr>
        <w:pStyle w:val="FirstParagraph"/>
      </w:pPr>
      <w:r>
        <w:t xml:space="preserve">A Parquet file is divided into</w:t>
      </w:r>
      <w:r>
        <w:t xml:space="preserve"> </w:t>
      </w:r>
      <w:r>
        <w:rPr>
          <w:b/>
          <w:bCs/>
        </w:rPr>
        <w:t xml:space="preserve">row groups</w:t>
      </w:r>
      <w:r>
        <w:t xml:space="preserve">, and the footer records, per row</w:t>
      </w:r>
      <w:r>
        <w:t xml:space="preserve"> </w:t>
      </w:r>
      <w:r>
        <w:t xml:space="preserve">group and per column, the minimum and maximum value it contains.</w:t>
      </w:r>
    </w:p>
    <w:p>
      <w:pPr>
        <w:pStyle w:val="BodyText"/>
      </w:pPr>
      <w:r>
        <w:t xml:space="preserve">That footer is a map. A reader can download it (a few kilobytes), decide from</w:t>
      </w:r>
      <w:r>
        <w:t xml:space="preserve"> </w:t>
      </w:r>
      <w:r>
        <w:t xml:space="preserve">the statistics which row groups could possibly contain the rows it wants, and</w:t>
      </w:r>
      <w:r>
        <w:t xml:space="preserve"> </w:t>
      </w:r>
      <w:r>
        <w:t xml:space="preserve">then fetch only those byte ranges with HTTP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requests — a standard header</w:t>
      </w:r>
      <w:r>
        <w:t xml:space="preserve"> </w:t>
      </w:r>
      <w:r>
        <w:t xml:space="preserve">every CDN honours.</w:t>
      </w:r>
    </w:p>
    <w:p>
      <w:pPr>
        <w:pStyle w:val="BodyText"/>
      </w:pPr>
      <w:r>
        <w:t xml:space="preserve">This is why</w:t>
      </w:r>
      <w:r>
        <w:t xml:space="preserve"> </w:t>
      </w:r>
      <w:r>
        <w:rPr>
          <w:rStyle w:val="VerbatimChar"/>
        </w:rPr>
        <w:t xml:space="preserve">04_build_web_data.py</w:t>
      </w:r>
      <w:r>
        <w:t xml:space="preserve"> </w:t>
      </w:r>
      <w:r>
        <w:t xml:space="preserve">writes Tier C</w:t>
      </w:r>
      <w:r>
        <w:t xml:space="preserve"> </w:t>
      </w:r>
      <w:r>
        <w:rPr>
          <w:b/>
          <w:bCs/>
        </w:rPr>
        <w:t xml:space="preserve">sorted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idpozo</w:t>
      </w:r>
      <w:r>
        <w:t xml:space="preserve">. Sorted,</w:t>
      </w:r>
      <w:r>
        <w:t xml:space="preserve"> </w:t>
      </w:r>
      <w:r>
        <w:t xml:space="preserve">one well's rows land in one or two row groups, and the min/max statistics exclude</w:t>
      </w:r>
      <w:r>
        <w:t xml:space="preserve"> </w:t>
      </w:r>
      <w:r>
        <w:t xml:space="preserve">all the others. Unsorted, that well's rows are scattered through every row group,</w:t>
      </w:r>
      <w:r>
        <w:t xml:space="preserve"> </w:t>
      </w:r>
      <w:r>
        <w:t xml:space="preserve">no statistics can exclude anything, and reading one well means reading the whole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Two things had to be true before that theory produced the practice, and both</w:t>
      </w:r>
      <w:r>
        <w:t xml:space="preserve"> </w:t>
      </w:r>
      <w:r>
        <w:t xml:space="preserve">were wrong in the first version:</w:t>
      </w:r>
    </w:p>
    <w:p>
      <w:pPr>
        <w:pStyle w:val="BodyText"/>
      </w:pPr>
      <w:r>
        <w:rPr>
          <w:b/>
          <w:bCs/>
        </w:rPr>
        <w:t xml:space="preserve">The reader has to actually prune.</w:t>
      </w:r>
      <w:r>
        <w:t xml:space="preserve"> </w:t>
      </w:r>
      <w:r>
        <w:t xml:space="preserve">The obvious implementation asks hyparquet</w:t>
      </w:r>
      <w:r>
        <w:t xml:space="preserve"> </w:t>
      </w:r>
      <w:r>
        <w:t xml:space="preserve">for the file and filters rows in JavaScript. That is correct and it downloads</w:t>
      </w:r>
      <w:r>
        <w:t xml:space="preserve"> </w:t>
      </w:r>
      <w:r>
        <w:t xml:space="preserve">every byte — the pruning never happens, because nothing ever consulted the</w:t>
      </w:r>
      <w:r>
        <w:t xml:space="preserve"> </w:t>
      </w:r>
      <w:r>
        <w:t xml:space="preserve">statistics.</w:t>
      </w:r>
      <w:r>
        <w:t xml:space="preserve"> </w:t>
      </w:r>
      <w:r>
        <w:rPr>
          <w:rStyle w:val="VerbatimChar"/>
        </w:rPr>
        <w:t xml:space="preserve">loadWellHistory</w:t>
      </w:r>
      <w:r>
        <w:t xml:space="preserve"> </w:t>
      </w:r>
      <w:r>
        <w:t xml:space="preserve">now reads the footer itself, compares</w:t>
      </w:r>
      <w:r>
        <w:t xml:space="preserve"> </w:t>
      </w:r>
      <w:r>
        <w:rPr>
          <w:rStyle w:val="VerbatimChar"/>
        </w:rPr>
        <w:t xml:space="preserve">idpozo</w:t>
      </w:r>
      <w:r>
        <w:t xml:space="preserve"> </w:t>
      </w:r>
      <w:r>
        <w:t xml:space="preserve">against each row group's min/max, and reads only the row ranges that can match.</w:t>
      </w:r>
    </w:p>
    <w:p>
      <w:pPr>
        <w:pStyle w:val="BodyText"/>
      </w:pPr>
      <w:r>
        <w:rPr>
          <w:b/>
          <w:bCs/>
        </w:rPr>
        <w:t xml:space="preserve">Row-group size is the resolution of the pruning.</w:t>
      </w:r>
      <w:r>
        <w:t xml:space="preserve"> </w:t>
      </w:r>
      <w:r>
        <w:t xml:space="preserve">A row group is the smallest</w:t>
      </w:r>
      <w:r>
        <w:t xml:space="preserve"> </w:t>
      </w:r>
      <w:r>
        <w:t xml:space="preserve">unit that can be skipped, so it decides the floor on what one query costs. At</w:t>
      </w:r>
      <w:r>
        <w:t xml:space="preserve"> </w:t>
      </w:r>
      <w:r>
        <w:t xml:space="preserve">50,000 rows per group each group was ~300 KB and one well pulled 10.4 MB across</w:t>
      </w:r>
      <w:r>
        <w:t xml:space="preserve"> </w:t>
      </w:r>
      <w:r>
        <w:t xml:space="preserve">twenty files. At 5,000 rows, plus only fetching the years the well actually</w:t>
      </w:r>
      <w:r>
        <w:t xml:space="preserve"> </w:t>
      </w:r>
      <w:r>
        <w:t xml:space="preserve">produced in, the same well costs</w:t>
      </w:r>
      <w:r>
        <w:t xml:space="preserve"> </w:t>
      </w:r>
      <w:r>
        <w:rPr>
          <w:b/>
          <w:bCs/>
        </w:rPr>
        <w:t xml:space="preserve">1.2 MB in 14 requests, 219 ms</w:t>
      </w:r>
      <w:r>
        <w:t xml:space="preserve"> </w:t>
      </w:r>
      <w:r>
        <w:t xml:space="preserve">— 1.1% of the</w:t>
      </w:r>
      <w:r>
        <w:t xml:space="preserve"> </w:t>
      </w:r>
      <w:r>
        <w:t xml:space="preserve">tier. The whole Tier C grew 97 → 105 MB in exchange, which is the right way to</w:t>
      </w:r>
      <w:r>
        <w:t xml:space="preserve"> </w:t>
      </w:r>
      <w:r>
        <w:t xml:space="preserve">trade when the file is read over HTTP rather than from disk.</w:t>
      </w:r>
    </w:p>
    <w:p>
      <w:pPr>
        <w:pStyle w:val="BodyText"/>
      </w:pPr>
      <w:r>
        <w:t xml:space="preserve">Same bytes, same format, same reader. Sort order and row-group size are the</w:t>
      </w:r>
      <w:r>
        <w:t xml:space="preserve"> </w:t>
      </w:r>
      <w:r>
        <w:t xml:space="preserve">entire difference between a 1 MB request and a 105 MB one.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python -m http.server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implement Range — it returns 200</w:t>
      </w:r>
      <w:r>
        <w:t xml:space="preserve"> </w:t>
      </w:r>
      <w:r>
        <w:t xml:space="preserve">and the whole file. So this optimisation is invisible in local development and</w:t>
      </w:r>
      <w:r>
        <w:t xml:space="preserve"> </w:t>
      </w:r>
      <w:r>
        <w:t xml:space="preserve">only demonstrable against the deployed site. That is why the verification step</w:t>
      </w:r>
      <w:r>
        <w:t xml:space="preserve"> </w:t>
      </w:r>
      <w:r>
        <w:t xml:space="preserve">insists on testing the live URL.</w:t>
      </w:r>
    </w:p>
    <w:bookmarkEnd w:id="11"/>
    <w:bookmarkStart w:id="12" w:name="Xe09ef4dc40f7680ec501ca14f569d6000a5f2ad"/>
    <w:p>
      <w:pPr>
        <w:pStyle w:val="Heading2"/>
      </w:pPr>
      <w:r>
        <w:t xml:space="preserve">4. The three tiers, and why loading order is the user experience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summary.json</w:t>
            </w:r>
            <w:r>
              <w:t xml:space="preserve">, 40 KB gzipped</w:t>
            </w:r>
          </w:p>
        </w:tc>
        <w:tc>
          <w:tcPr/>
          <w:p>
            <w:pPr>
              <w:pStyle w:val="Compact"/>
            </w:pPr>
            <w:r>
              <w:t xml:space="preserve">fetched first; renders the overview with no engine at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cube + wells + type curves, ~8 MB</w:t>
            </w:r>
          </w:p>
        </w:tc>
        <w:tc>
          <w:tcPr/>
          <w:p>
            <w:pPr>
              <w:pStyle w:val="Compact"/>
            </w:pPr>
            <w:r>
              <w:t xml:space="preserve">fetched in parallel behind it; powers all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97 MB of history</w:t>
            </w:r>
          </w:p>
        </w:tc>
        <w:tc>
          <w:tcPr/>
          <w:p>
            <w:pPr>
              <w:pStyle w:val="Compact"/>
            </w:pPr>
            <w:r>
              <w:t xml:space="preserve">never loaded whole — only ranges, only on demand</w:t>
            </w:r>
          </w:p>
        </w:tc>
      </w:tr>
    </w:tbl>
    <w:p>
      <w:pPr>
        <w:pStyle w:val="BodyText"/>
      </w:pPr>
      <w:r>
        <w:t xml:space="preserve">The ordering matters more than the sizes. If the page waited for all 8 MB before</w:t>
      </w:r>
      <w:r>
        <w:t xml:space="preserve"> </w:t>
      </w:r>
      <w:r>
        <w:t xml:space="preserve">drawing anything, it would be blank for several seconds on a phone. Instead the</w:t>
      </w:r>
      <w:r>
        <w:t xml:space="preserve"> </w:t>
      </w:r>
      <w:r>
        <w:t xml:space="preserve">first meaningful paint needs 40 KB, and the heavier tier arrives while the reader</w:t>
      </w:r>
      <w:r>
        <w:t xml:space="preserve"> </w:t>
      </w:r>
      <w:r>
        <w:t xml:space="preserve">is already reading.</w:t>
      </w:r>
    </w:p>
    <w:bookmarkEnd w:id="12"/>
    <w:bookmarkStart w:id="13" w:name="Xf769cd1c4df9a63eb057bab552a9a93846eb8b8"/>
    <w:p>
      <w:pPr>
        <w:pStyle w:val="Heading2"/>
      </w:pPr>
      <w:r>
        <w:t xml:space="preserve">5. Why not DuckDB-WASM</w:t>
      </w:r>
    </w:p>
    <w:p>
      <w:pPr>
        <w:pStyle w:val="FirstParagraph"/>
      </w:pPr>
      <w:r>
        <w:t xml:space="preserve">The plan originally called for DuckDB compiled to WebAssembly — a real SQL engine</w:t>
      </w:r>
      <w:r>
        <w:t xml:space="preserve"> </w:t>
      </w:r>
      <w:r>
        <w:t xml:space="preserve">in the browser, and a genuinely impressive thing. It was dropped after measuring</w:t>
      </w:r>
      <w:r>
        <w:t xml:space="preserve"> </w:t>
      </w:r>
      <w:r>
        <w:t xml:space="preserve">it: the WASM binary is 34–39 MB uncompressed, roughly 10 MB over the wire.</w:t>
      </w:r>
    </w:p>
    <w:p>
      <w:pPr>
        <w:pStyle w:val="BodyText"/>
      </w:pPr>
      <w:r>
        <w:t xml:space="preserve">Against that, the work it would do is aggregating a 296 k-row pre-aggregated</w:t>
      </w:r>
      <w:r>
        <w:t xml:space="preserve"> </w:t>
      </w:r>
      <w:r>
        <w:t xml:space="preserve">cube, which plain JavaScript does in single-digit milliseconds. Paying 10 MB on a</w:t>
      </w:r>
      <w:r>
        <w:t xml:space="preserve"> </w:t>
      </w:r>
      <w:r>
        <w:t xml:space="preserve">phone for that is a bad trade. hyparquet reads the same files in 58 KB.</w:t>
      </w:r>
    </w:p>
    <w:p>
      <w:pPr>
        <w:pStyle w:val="BodyText"/>
      </w:pPr>
      <w:r>
        <w:t xml:space="preserve">The abstraction in</w:t>
      </w:r>
      <w:r>
        <w:t xml:space="preserve"> </w:t>
      </w:r>
      <w:r>
        <w:rPr>
          <w:rStyle w:val="VerbatimChar"/>
        </w:rPr>
        <w:t xml:space="preserve">site/js/query.js</w:t>
      </w:r>
      <w:r>
        <w:t xml:space="preserve"> </w:t>
      </w:r>
      <w:r>
        <w:t xml:space="preserve">exists so this stays a reversible decision:</w:t>
      </w:r>
      <w:r>
        <w:t xml:space="preserve"> </w:t>
      </w:r>
      <w:r>
        <w:t xml:space="preserve">views ask for data with a</w:t>
      </w:r>
      <w:r>
        <w:t xml:space="preserve"> </w:t>
      </w:r>
      <w:r>
        <w:rPr>
          <w:i/>
          <w:iCs/>
        </w:rPr>
        <w:t xml:space="preserve">structured spec</w:t>
      </w:r>
      <w:r>
        <w:t xml:space="preserve">, never a SQL string, so the thing</w:t>
      </w:r>
      <w:r>
        <w:t xml:space="preserve"> </w:t>
      </w:r>
      <w:r>
        <w:t xml:space="preserve">compiling that spec can be swapped without touching a view.</w:t>
      </w:r>
    </w:p>
    <w:bookmarkEnd w:id="13"/>
    <w:bookmarkStart w:id="14" w:name="Xa773550a57bcc1f0e2e8099df718781a584a7d1"/>
    <w:p>
      <w:pPr>
        <w:pStyle w:val="Heading2"/>
      </w:pPr>
      <w:r>
        <w:t xml:space="preserve">6. Temporal joins — the part that is easy to get quietly wrong</w:t>
      </w:r>
    </w:p>
    <w:p>
      <w:pPr>
        <w:pStyle w:val="FirstParagraph"/>
      </w:pPr>
      <w:r>
        <w:t xml:space="preserve">Two attributes change over time, and they change in different shapes.</w:t>
      </w:r>
    </w:p>
    <w:p>
      <w:pPr>
        <w:pStyle w:val="BodyText"/>
      </w:pPr>
      <w:r>
        <w:rPr>
          <w:b/>
          <w:bCs/>
        </w:rPr>
        <w:t xml:space="preserve">Operator</w:t>
      </w:r>
      <w:r>
        <w:t xml:space="preserve"> </w:t>
      </w:r>
      <w:r>
        <w:t xml:space="preserve">is stored as explicit intervals: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 </w:t>
      </w:r>
      <w:r>
        <w:t xml:space="preserve">per run.</w:t>
      </w:r>
      <w:r>
        <w:t xml:space="preserve"> </w:t>
      </w:r>
      <w:r>
        <w:t xml:space="preserve">Matching a production month to its operator is a range predicate. The open-ended</w:t>
      </w:r>
      <w:r>
        <w:t xml:space="preserve"> </w:t>
      </w:r>
      <w:r>
        <w:t xml:space="preserve">run has a NULL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, hence the coalesce to a far-future date — miss that</w:t>
      </w:r>
      <w:r>
        <w:t xml:space="preserve"> </w:t>
      </w:r>
      <w:r>
        <w:t xml:space="preserve">and every well's most recent operator silently vanishes.</w:t>
      </w:r>
    </w:p>
    <w:p>
      <w:pPr>
        <w:pStyle w:val="BodyText"/>
      </w:pPr>
      <w:r>
        <w:rPr>
          <w:b/>
          <w:bCs/>
        </w:rPr>
        <w:t xml:space="preserve">Well state</w:t>
      </w:r>
      <w:r>
        <w:t xml:space="preserve"> </w:t>
      </w:r>
      <w:r>
        <w:t xml:space="preserve">is stored only at</w:t>
      </w:r>
      <w:r>
        <w:t xml:space="preserve"> </w:t>
      </w:r>
      <w:r>
        <w:rPr>
          <w:i/>
          <w:iCs/>
        </w:rPr>
        <w:t xml:space="preserve">transitions</w:t>
      </w:r>
      <w:r>
        <w:t xml:space="preserve"> </w:t>
      </w:r>
      <w:r>
        <w:t xml:space="preserve">— a row exists for the month</w:t>
      </w:r>
      <w:r>
        <w:t xml:space="preserve"> </w:t>
      </w:r>
      <w:r>
        <w:t xml:space="preserve">something changed, and nothing in between. The state in any other month is</w:t>
      </w:r>
      <w:r>
        <w:t xml:space="preserve"> </w:t>
      </w:r>
      <w:r>
        <w:t xml:space="preserve">carried forward from the last change. That is an</w:t>
      </w:r>
      <w:r>
        <w:t xml:space="preserve"> </w:t>
      </w:r>
      <w:r>
        <w:rPr>
          <w:rStyle w:val="VerbatimChar"/>
        </w:rPr>
        <w:t xml:space="preserve">ASOF JOIN</w:t>
      </w:r>
      <w:r>
        <w:t xml:space="preserve">: match the most</w:t>
      </w:r>
      <w:r>
        <w:t xml:space="preserve"> </w:t>
      </w:r>
      <w:r>
        <w:t xml:space="preserve">recent row at or before the probe date. A correlated subquery gives the same</w:t>
      </w:r>
      <w:r>
        <w:t xml:space="preserve"> </w:t>
      </w:r>
      <w:r>
        <w:t xml:space="preserve">answer and is orders of magnitude slower over 17.8 M rows.</w:t>
      </w:r>
    </w:p>
    <w:p>
      <w:pPr>
        <w:pStyle w:val="BodyText"/>
      </w:pPr>
      <w:r>
        <w:t xml:space="preserve">The guard at the end of</w:t>
      </w:r>
      <w:r>
        <w:t xml:space="preserve"> </w:t>
      </w:r>
      <w:r>
        <w:rPr>
          <w:rStyle w:val="VerbatimChar"/>
        </w:rPr>
        <w:t xml:space="preserve">03_enrich.py</w:t>
      </w:r>
      <w:r>
        <w:t xml:space="preserve"> </w:t>
      </w:r>
      <w:r>
        <w:t xml:space="preserve">is worth understanding. A range join</w:t>
      </w:r>
      <w:r>
        <w:t xml:space="preserve"> </w:t>
      </w:r>
      <w:r>
        <w:t xml:space="preserve">whose intervals overlap silently</w:t>
      </w:r>
      <w:r>
        <w:t xml:space="preserve"> </w:t>
      </w:r>
      <w:r>
        <w:rPr>
          <w:i/>
          <w:iCs/>
        </w:rPr>
        <w:t xml:space="preserve">duplicates</w:t>
      </w:r>
      <w:r>
        <w:t xml:space="preserve"> </w:t>
      </w:r>
      <w:r>
        <w:t xml:space="preserve">rows — and duplicated well-months</w:t>
      </w:r>
      <w:r>
        <w:t xml:space="preserve"> </w:t>
      </w:r>
      <w:r>
        <w:t xml:space="preserve">inflate every total downstream while looking completely normal. Asserting that</w:t>
      </w:r>
      <w:r>
        <w:t xml:space="preserve"> </w:t>
      </w:r>
      <w:r>
        <w:t xml:space="preserve">the output row count still equals the input's is a two-line check that catches</w:t>
      </w:r>
      <w:r>
        <w:t xml:space="preserve"> </w:t>
      </w:r>
      <w:r>
        <w:t xml:space="preserve">the entire class of error.</w:t>
      </w:r>
    </w:p>
    <w:bookmarkEnd w:id="14"/>
    <w:bookmarkStart w:id="15" w:name="Xeb916050975e1166df66a7d7857a20bd62068ed"/>
    <w:p>
      <w:pPr>
        <w:pStyle w:val="Heading2"/>
      </w:pPr>
      <w:r>
        <w:t xml:space="preserve">7. Where the numbers were checked</w:t>
      </w:r>
    </w:p>
    <w:p>
      <w:pPr>
        <w:pStyle w:val="FirstParagraph"/>
      </w:pPr>
      <w:r>
        <w:rPr>
          <w:rStyle w:val="VerbatimChar"/>
        </w:rPr>
        <w:t xml:space="preserve">02_verify.py</w:t>
      </w:r>
      <w:r>
        <w:t xml:space="preserve"> </w:t>
      </w:r>
      <w:r>
        <w:t xml:space="preserve">reconciles this pipeline's output against a series the publisher</w:t>
      </w:r>
      <w:r>
        <w:t xml:space="preserve"> </w:t>
      </w:r>
      <w:r>
        <w:t xml:space="preserve">computes independently. The agreement (−0.0% to −0.4% by basin over 240 months)</w:t>
      </w:r>
      <w:r>
        <w:t xml:space="preserve"> </w:t>
      </w:r>
      <w:r>
        <w:t xml:space="preserve">is meaningful precisely because the two numbers travel different routes to the</w:t>
      </w:r>
      <w:r>
        <w:t xml:space="preserve"> </w:t>
      </w:r>
      <w:r>
        <w:t xml:space="preserve">same place.</w:t>
      </w:r>
    </w:p>
    <w:p>
      <w:pPr>
        <w:pStyle w:val="BodyText"/>
      </w:pPr>
      <w:r>
        <w:t xml:space="preserve">Two habits are worth stealing from 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Re-derive constants instead of importing them.</w:t>
      </w:r>
      <w:r>
        <w:t xml:space="preserve"> </w:t>
      </w:r>
      <w:r>
        <w:t xml:space="preserve">The official oil series</w:t>
      </w:r>
      <w:r>
        <w:t xml:space="preserve"> </w:t>
      </w:r>
      <w:r>
        <w:t xml:space="preserve">publishes monthly total, daily average, and daily average in kbbl. Those three</w:t>
      </w:r>
      <w:r>
        <w:t xml:space="preserve"> </w:t>
      </w:r>
      <w:r>
        <w:t xml:space="preserve">are redundant, so dividing the first by the days in the month must reproduce</w:t>
      </w:r>
      <w:r>
        <w:t xml:space="preserve"> </w:t>
      </w:r>
      <w:r>
        <w:t xml:space="preserve">the second, and their ratio must give the barrel factor. It does, exactly:</w:t>
      </w:r>
      <w:r>
        <w:t xml:space="preserve"> </w:t>
      </w:r>
      <w:r>
        <w:t xml:space="preserve">6.28981 bbl/m³ — the publisher's own number, not a textbook's.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 the distribution, not the extreme.</w:t>
      </w:r>
      <w:r>
        <w:t xml:space="preserve"> </w:t>
      </w:r>
      <w:r>
        <w:t xml:space="preserve">The first version of the</w:t>
      </w:r>
      <w:r>
        <w:t xml:space="preserve"> </w:t>
      </w:r>
      <w:r>
        <w:t xml:space="preserve">coordinate check printed the maximum deviation, saw 0.287°, and would have</w:t>
      </w:r>
      <w:r>
        <w:t xml:space="preserve"> </w:t>
      </w:r>
      <w:r>
        <w:t xml:space="preserve">read as a failure. The distribution showed 84,208 of 84,210 wells matching</w:t>
      </w:r>
      <w:r>
        <w:t xml:space="preserve"> </w:t>
      </w:r>
      <w:r>
        <w:rPr>
          <w:i/>
          <w:iCs/>
        </w:rPr>
        <w:t xml:space="preserve">bit-for-bit</w:t>
      </w:r>
      <w:r>
        <w:t xml:space="preserve"> </w:t>
      </w:r>
      <w:r>
        <w:t xml:space="preserve">with two revised outliers. A wrong projection displaces every</w:t>
      </w:r>
      <w:r>
        <w:t xml:space="preserve"> </w:t>
      </w:r>
      <w:r>
        <w:t xml:space="preserve">well; two moved wells are a currency difference. The maximum alone could not</w:t>
      </w:r>
      <w:r>
        <w:t xml:space="preserve"> </w:t>
      </w:r>
      <w:r>
        <w:t xml:space="preserve">tell those apart.</w:t>
      </w:r>
    </w:p>
    <w:bookmarkEnd w:id="15"/>
    <w:bookmarkStart w:id="16" w:name="X1222a0f7e5379a8b91758a99582b604efc84717"/>
    <w:p>
      <w:pPr>
        <w:pStyle w:val="Heading2"/>
      </w:pPr>
      <w:r>
        <w:t xml:space="preserve">8. The seams built for later</w:t>
      </w:r>
    </w:p>
    <w:p>
      <w:pPr>
        <w:pStyle w:val="FirstParagraph"/>
      </w:pPr>
      <w:r>
        <w:t xml:space="preserve">Two abstractions exist to make a future migration cheap: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tools/sources/</w:t>
      </w:r>
      <w:r>
        <w:t xml:space="preserve"> </w:t>
      </w:r>
      <w:r>
        <w:t xml:space="preserve">— no pipeline stage names a file path. Each asks a driver for</w:t>
      </w:r>
      <w:r>
        <w:t xml:space="preserve"> </w:t>
      </w:r>
      <w:r>
        <w:t xml:space="preserve">a SQL expression to put after</w:t>
      </w:r>
      <w:r>
        <w:t xml:space="preserve"> </w:t>
      </w:r>
      <w:r>
        <w:rPr>
          <w:rStyle w:val="VerbatimChar"/>
        </w:rPr>
        <w:t xml:space="preserve">FROM</w:t>
      </w:r>
      <w:r>
        <w:t xml:space="preserve">. Local Parquet, remote Parquet over HTTPS,</w:t>
      </w:r>
      <w:r>
        <w:t xml:space="preserve"> </w:t>
      </w:r>
      <w:r>
        <w:t xml:space="preserve">and a stubbed SQL database all satisfy the same interface, selected by one line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site/js/query.js</w:t>
      </w:r>
      <w:r>
        <w:t xml:space="preserve"> </w:t>
      </w:r>
      <w:r>
        <w:t xml:space="preserve">— no view names a file, a URL, or an engine. Views submit a</w:t>
      </w:r>
      <w:r>
        <w:t xml:space="preserve"> </w:t>
      </w:r>
      <w:r>
        <w:t xml:space="preserve">structured spec. Today it compiles against typed arrays; tomorrow it can</w:t>
      </w:r>
      <w:r>
        <w:t xml:space="preserve"> </w:t>
      </w:r>
      <w:r>
        <w:t xml:space="preserve">compile to SQL and be posted to an endpoint.</w:t>
      </w:r>
    </w:p>
    <w:p>
      <w:pPr>
        <w:pStyle w:val="FirstParagraph"/>
      </w:pPr>
      <w:r>
        <w:t xml:space="preserve">Neither costs anything today. Both are the kind of thing that is nearly free to</w:t>
      </w:r>
      <w:r>
        <w:t xml:space="preserve"> </w:t>
      </w:r>
      <w:r>
        <w:t xml:space="preserve">put in at the start and expensive to retrofit.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2026-08-11T12:20:13Z</dcterms:created>
  <dcterms:modified xsi:type="dcterms:W3CDTF">2026-08-11T12:20:13Z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