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data-dictionary"/>
    <w:p>
      <w:pPr>
        <w:pStyle w:val="Heading1"/>
      </w:pPr>
      <w:r>
        <w:t xml:space="preserve">Data dictionary</w:t>
      </w:r>
    </w:p>
    <w:p>
      <w:pPr>
        <w:pStyle w:val="FirstParagraph"/>
      </w:pPr>
      <w:r>
        <w:t xml:space="preserve">Source column identifiers are Spanish, exactly as the publisher issues them.</w:t>
      </w:r>
      <w:r>
        <w:t xml:space="preserve"> </w:t>
      </w:r>
      <w:r>
        <w:t xml:space="preserve">This maps each to its meaning and unit. Derived fields are marked</w:t>
      </w:r>
      <w:r>
        <w:t xml:space="preserve"> </w:t>
      </w:r>
      <w:r>
        <w:rPr>
          <w:b/>
          <w:bCs/>
        </w:rPr>
        <w:t xml:space="preserve">[derived]</w:t>
      </w:r>
      <w:r>
        <w:t xml:space="preserve"> </w:t>
      </w:r>
      <w:r>
        <w:t xml:space="preserve">with the rule that produces them.</w:t>
      </w:r>
    </w:p>
    <w:bookmarkStart w:id="9" w:name="units-once-and-for-all"/>
    <w:p>
      <w:pPr>
        <w:pStyle w:val="Heading2"/>
      </w:pPr>
      <w:r>
        <w:t xml:space="preserve">Units, once and for 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Stored unit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m³ = 6.28981 bbl</w:t>
            </w:r>
            <w:r>
              <w:t xml:space="preserve"> </w:t>
            </w:r>
            <w:r>
              <w:t xml:space="preserve">— re-derived from the publisher's own redundant columns, not taken from a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10³ m³</w:t>
            </w:r>
          </w:p>
        </w:tc>
        <w:tc>
          <w:tcPr/>
          <w:p>
            <w:pPr>
              <w:pStyle w:val="Compact"/>
            </w:pPr>
            <w:r>
              <w:t xml:space="preserve">"Mm³" in Argentine usage means</w:t>
            </w:r>
            <w:r>
              <w:t xml:space="preserve"> </w:t>
            </w:r>
            <w:r>
              <w:rPr>
                <w:i/>
                <w:iCs/>
              </w:rPr>
              <w:t xml:space="preserve">thousands</w:t>
            </w:r>
            <w:r>
              <w:t xml:space="preserve">, not millions.</w:t>
            </w:r>
            <w:r>
              <w:t xml:space="preserve"> </w:t>
            </w:r>
            <w:r>
              <w:rPr>
                <w:rStyle w:val="VerbatimChar"/>
              </w:rPr>
              <w:t xml:space="preserve">1 × 10³ m³ = 35.3147 Mcf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Water, injection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tef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effective production time in the month; ceiling is 744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Depth, lateral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Proppant</w:t>
            </w:r>
          </w:p>
        </w:tc>
        <w:tc>
          <w:tcPr/>
          <w:p>
            <w:pPr>
              <w:pStyle w:val="Compact"/>
            </w:pPr>
            <w:r>
              <w:t xml:space="preserve">tonnes</w:t>
            </w:r>
          </w:p>
        </w:tc>
        <w:tc>
          <w:tcPr/>
          <w:p>
            <w:pPr>
              <w:pStyle w:val="Compact"/>
            </w:pPr>
            <w:r>
              <w:t xml:space="preserve">national + imported, summed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Coordinates</w:t>
            </w:r>
          </w:p>
        </w:tc>
        <w:tc>
          <w:tcPr/>
          <w:p>
            <w:pPr>
              <w:pStyle w:val="Compact"/>
            </w:pPr>
            <w:r>
              <w:t xml:space="preserve">degrees</w:t>
            </w:r>
          </w:p>
        </w:tc>
        <w:tc>
          <w:tcPr/>
          <w:p>
            <w:pPr>
              <w:pStyle w:val="Compact"/>
            </w:pPr>
            <w:r>
              <w:t xml:space="preserve">WGS 84 (EPSG:4326), confirmed by decoding the geometry's SRID</w:t>
            </w:r>
          </w:p>
        </w:tc>
      </w:tr>
    </w:tbl>
    <w:p>
      <w:pPr>
        <w:pStyle w:val="BodyText"/>
      </w:pPr>
      <w:r>
        <w:t xml:space="preserve">Nothing is ever stored converted. Oilfield units are a display-time toggle, so</w:t>
      </w:r>
      <w:r>
        <w:t xml:space="preserve"> </w:t>
      </w:r>
      <w:r>
        <w:t xml:space="preserve">there is exactly one number of record.</w:t>
      </w:r>
    </w:p>
    <w:bookmarkEnd w:id="9"/>
    <w:bookmarkStart w:id="10" w:name="wells--one-row-per-idpozo"/>
    <w:p>
      <w:pPr>
        <w:pStyle w:val="Heading2"/>
      </w:pPr>
      <w:r>
        <w:rPr>
          <w:rStyle w:val="VerbatimChar"/>
        </w:rPr>
        <w:t xml:space="preserve">wells</w:t>
      </w:r>
      <w:r>
        <w:t xml:space="preserve"> </w:t>
      </w:r>
      <w:r>
        <w:t xml:space="preserve">— one row per</w:t>
      </w:r>
      <w:r>
        <w:t xml:space="preserve"> </w:t>
      </w:r>
      <w:r>
        <w:rPr>
          <w:rStyle w:val="VerbatimChar"/>
        </w:rPr>
        <w:t xml:space="preserve">idpozo</w:t>
      </w:r>
    </w:p>
    <w:p>
      <w:pPr>
        <w:pStyle w:val="FirstParagraph"/>
      </w:pPr>
      <w:r>
        <w:rPr>
          <w:rStyle w:val="VerbatimChar"/>
          <w:b/>
          <w:bCs/>
        </w:rPr>
        <w:t xml:space="preserve">idpozo</w:t>
      </w:r>
      <w:r>
        <w:rPr>
          <w:b/>
          <w:bCs/>
        </w:rPr>
        <w:t xml:space="preserve"> </w:t>
      </w:r>
      <w:r>
        <w:rPr>
          <w:b/>
          <w:bCs/>
        </w:rPr>
        <w:t xml:space="preserve">is a wellbore × producing formation, not a wellbore.</w:t>
      </w:r>
      <w:r>
        <w:t xml:space="preserve"> </w:t>
      </w:r>
      <w:r>
        <w:t xml:space="preserve">A well producing</w:t>
      </w:r>
      <w:r>
        <w:t xml:space="preserve"> </w:t>
      </w:r>
      <w:r>
        <w:t xml:space="preserve">from two formations appears twice. Every "well count" on the site counts</w:t>
      </w:r>
      <w:r>
        <w:t xml:space="preserve"> </w:t>
      </w:r>
      <w:r>
        <w:rPr>
          <w:rStyle w:val="VerbatimChar"/>
        </w:rPr>
        <w:t xml:space="preserve">idpozo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idpozo</w:t>
            </w:r>
          </w:p>
        </w:tc>
        <w:tc>
          <w:tcPr/>
          <w:p>
            <w:pPr>
              <w:pStyle w:val="Compact"/>
            </w:pPr>
            <w:r>
              <w:t xml:space="preserve">integer identity of the wellbore × formation pair; the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human-readable well code (e.g.</w:t>
            </w:r>
            <w:r>
              <w:t xml:space="preserve"> </w:t>
            </w:r>
            <w:r>
              <w:rPr>
                <w:rStyle w:val="VerbatimChar"/>
              </w:rPr>
              <w:t xml:space="preserve">YPF.BLO.x-8</w:t>
            </w:r>
            <w:r>
              <w:t xml:space="preserve">); a label, and 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formprod</w:t>
            </w:r>
          </w:p>
        </w:tc>
        <w:tc>
          <w:tcPr/>
          <w:p>
            <w:pPr>
              <w:pStyle w:val="Compact"/>
            </w:pPr>
            <w:r>
              <w:t xml:space="preserve">producing formation — the one encoded in the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formacion</w:t>
            </w:r>
          </w:p>
        </w:tc>
        <w:tc>
          <w:tcPr/>
          <w:p>
            <w:pPr>
              <w:pStyle w:val="Compact"/>
            </w:pPr>
            <w:r>
              <w:t xml:space="preserve">geological formation as reported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cod_area</w:t>
            </w:r>
          </w:p>
        </w:tc>
        <w:tc>
          <w:tcPr/>
          <w:p>
            <w:pPr>
              <w:pStyle w:val="Compact"/>
            </w:pPr>
            <w:r>
              <w:t xml:space="preserve">permit / concession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yacimiento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cuenca</w:t>
            </w:r>
          </w:p>
        </w:tc>
        <w:tc>
          <w:tcPr/>
          <w:p>
            <w:pPr>
              <w:pStyle w:val="Compact"/>
            </w:pPr>
            <w:r>
              <w:t xml:space="preserve">sedimentary basin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provincia</w:t>
            </w:r>
          </w:p>
        </w:tc>
        <w:tc>
          <w:tcPr/>
          <w:p>
            <w:pPr>
              <w:pStyle w:val="Compact"/>
            </w:pPr>
            <w:r>
              <w:t xml:space="preserve">province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clasificacion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subclasificacion</w:t>
            </w:r>
          </w:p>
        </w:tc>
        <w:tc>
          <w:tcPr/>
          <w:p>
            <w:pPr>
              <w:pStyle w:val="Compact"/>
            </w:pPr>
            <w:r>
              <w:t xml:space="preserve">regulatory classification (Exploración, Desarrollo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tipo_recurso</w:t>
            </w:r>
          </w:p>
        </w:tc>
        <w:tc>
          <w:tcPr/>
          <w:p>
            <w:pPr>
              <w:pStyle w:val="Compact"/>
            </w:pPr>
            <w:r>
              <w:t xml:space="preserve">CONVENCIONAL / NO CONVENCIONAL / No informado / SIN RESERVORIO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sub_tipo_recurso</w:t>
            </w:r>
          </w:p>
        </w:tc>
        <w:tc>
          <w:tcPr/>
          <w:p>
            <w:pPr>
              <w:pStyle w:val="Compact"/>
            </w:pPr>
            <w:r>
              <w:t xml:space="preserve">SHALE / TIGHT / No informado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cota</w:t>
            </w:r>
          </w:p>
        </w:tc>
        <w:tc>
          <w:tcPr/>
          <w:p>
            <w:pPr>
              <w:pStyle w:val="Compact"/>
            </w:pPr>
            <w:r>
              <w:t xml:space="preserve">surface elevation, m a.s.l.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profundidad</w:t>
            </w:r>
          </w:p>
        </w:tc>
        <w:tc>
          <w:tcPr/>
          <w:p>
            <w:pPr>
              <w:pStyle w:val="Compact"/>
            </w:pPr>
            <w:r>
              <w:t xml:space="preserve">final well depth,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coordenadax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coordenaday</w:t>
            </w:r>
          </w:p>
        </w:tc>
        <w:tc>
          <w:tcPr/>
          <w:p>
            <w:pPr>
              <w:pStyle w:val="Compact"/>
            </w:pPr>
            <w:r>
              <w:t xml:space="preserve">longitude / latitude, WGS 84 degrees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</w:t>
            </w:r>
          </w:p>
        </w:tc>
        <w:tc>
          <w:tcPr/>
          <w:p>
            <w:pPr>
              <w:pStyle w:val="Compact"/>
            </w:pPr>
            <w:r>
              <w:t xml:space="preserve">geometry as WKB, SRID 4326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adjiv_fecha_inicio_perf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_fin_term</w:t>
            </w:r>
          </w:p>
        </w:tc>
        <w:tc>
          <w:tcPr/>
          <w:p>
            <w:pPr>
              <w:pStyle w:val="Compact"/>
            </w:pPr>
            <w:r>
              <w:t xml:space="preserve">spud, drilling end, completion start, completion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pet_inicial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gas_inicial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agua_inicial</w:t>
            </w:r>
          </w:p>
        </w:tc>
        <w:tc>
          <w:tcPr/>
          <w:p>
            <w:pPr>
              <w:pStyle w:val="Compact"/>
            </w:pPr>
            <w:r>
              <w:t xml:space="preserve">initial test rates (m³/d, 10³ m³/d, m³/d)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has_production</w:t>
            </w:r>
          </w:p>
        </w:tc>
        <w:tc>
          <w:tcPr/>
          <w:p>
            <w:pPr>
              <w:pStyle w:val="Compact"/>
            </w:pPr>
            <w:r>
              <w:t xml:space="preserve">false for registry wells that never produced</w:t>
            </w:r>
          </w:p>
        </w:tc>
      </w:tr>
    </w:tbl>
    <w:bookmarkEnd w:id="10"/>
    <w:bookmarkStart w:id="11" w:name="Xccdb91e2b66723008434e89d62df1746c72e36f"/>
    <w:p>
      <w:pPr>
        <w:pStyle w:val="Heading2"/>
      </w:pPr>
      <w:r>
        <w:rPr>
          <w:rStyle w:val="VerbatimChar"/>
        </w:rPr>
        <w:t xml:space="preserve">monthly_production</w:t>
      </w:r>
      <w:r>
        <w:t xml:space="preserve"> </w:t>
      </w:r>
      <w:r>
        <w:t xml:space="preserve">— one row per (</w:t>
      </w:r>
      <w:r>
        <w:rPr>
          <w:rStyle w:val="VerbatimChar"/>
        </w:rPr>
        <w:t xml:space="preserve">idpozo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measurement month, first day of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prod_pet</w:t>
            </w:r>
          </w:p>
        </w:tc>
        <w:tc>
          <w:tcPr/>
          <w:p>
            <w:pPr>
              <w:pStyle w:val="Compact"/>
            </w:pPr>
            <w:r>
              <w:t xml:space="preserve">oil produced in the month, 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prod_gas</w:t>
            </w:r>
          </w:p>
        </w:tc>
        <w:tc>
          <w:tcPr/>
          <w:p>
            <w:pPr>
              <w:pStyle w:val="Compact"/>
            </w:pPr>
            <w:r>
              <w:t xml:space="preserve">gas produced, 10³ 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prod_agua</w:t>
            </w:r>
          </w:p>
        </w:tc>
        <w:tc>
          <w:tcPr/>
          <w:p>
            <w:pPr>
              <w:pStyle w:val="Compact"/>
            </w:pPr>
            <w:r>
              <w:t xml:space="preserve">water produced, 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iny_agua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iny_gas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iny_co2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iny_otro</w:t>
            </w:r>
          </w:p>
        </w:tc>
        <w:tc>
          <w:tcPr/>
          <w:p>
            <w:pPr>
              <w:pStyle w:val="Compact"/>
            </w:pPr>
            <w:r>
              <w:t xml:space="preserve">injection volumes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Tiempo Efectivo de Producción</w:t>
            </w:r>
            <w:r>
              <w:t xml:space="preserve"> </w:t>
            </w:r>
            <w:r>
              <w:t xml:space="preserve">— effective production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vida_util</w:t>
            </w:r>
          </w:p>
        </w:tc>
        <w:tc>
          <w:tcPr/>
          <w:p>
            <w:pPr>
              <w:pStyle w:val="Compact"/>
            </w:pPr>
            <w:r>
              <w:t xml:space="preserve">declared remaining useful life, months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Null is not zero.</w:t>
      </w:r>
      <w:r>
        <w:t xml:space="preserve"> </w:t>
      </w:r>
      <w:r>
        <w:t xml:space="preserve">Gaps in a well's series carry NULL measurements; a declared</w:t>
      </w:r>
      <w:r>
        <w:t xml:space="preserve"> </w:t>
      </w:r>
      <w:r>
        <w:t xml:space="preserve">zero is a real zero. About 0.8% of well-months are NULL. Statistics skip NULLs</w:t>
      </w:r>
      <w:r>
        <w:t xml:space="preserve"> </w:t>
      </w:r>
      <w:r>
        <w:t xml:space="preserve">and report them separately.</w:t>
      </w:r>
    </w:p>
    <w:bookmarkEnd w:id="11"/>
    <w:bookmarkStart w:id="12" w:name="well_operator_history--well_events"/>
    <w:p>
      <w:pPr>
        <w:pStyle w:val="Heading2"/>
      </w:pPr>
      <w:r>
        <w:rPr>
          <w:rStyle w:val="VerbatimChar"/>
        </w:rPr>
        <w:t xml:space="preserve">well_operator_history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well_events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idempresa</w:t>
            </w:r>
          </w:p>
        </w:tc>
        <w:tc>
          <w:tcPr/>
          <w:p>
            <w:pPr>
              <w:pStyle w:val="Compact"/>
            </w:pPr>
            <w:r>
              <w:t xml:space="preserve">operator code —</w:t>
            </w:r>
            <w:r>
              <w:t xml:space="preserve"> </w:t>
            </w:r>
            <w:r>
              <w:rPr>
                <w:b/>
                <w:bCs/>
              </w:rPr>
              <w:t xml:space="preserve">VARCHAR</w:t>
            </w:r>
            <w:r>
              <w:t xml:space="preserve">, not an integer (</w:t>
            </w:r>
            <w:r>
              <w:rPr>
                <w:rStyle w:val="VerbatimChar"/>
              </w:rPr>
              <w:t xml:space="preserve">Z001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operator 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inclusive month bounds of one operator run;</w:t>
            </w:r>
            <w:r>
              <w:t xml:space="preserve"> </w:t>
            </w:r>
            <w:r>
              <w:rPr>
                <w:rStyle w:val="VerbatimChar"/>
              </w:rPr>
              <w:t xml:space="preserve">valid_to</w:t>
            </w:r>
            <w:r>
              <w:t xml:space="preserve"> </w:t>
            </w:r>
            <w:r>
              <w:t xml:space="preserve">NULL = still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tipoestado</w:t>
            </w:r>
          </w:p>
        </w:tc>
        <w:tc>
          <w:tcPr/>
          <w:p>
            <w:pPr>
              <w:pStyle w:val="Compact"/>
            </w:pPr>
            <w:r>
              <w:t xml:space="preserve">operational state (</w:t>
            </w:r>
            <w:r>
              <w:rPr>
                <w:rStyle w:val="VerbatimChar"/>
              </w:rPr>
              <w:t xml:space="preserve">Extracción Efectiva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Parado Transitoriamente</w:t>
            </w:r>
            <w:r>
              <w:t xml:space="preserve"> 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tipoextraccion</w:t>
            </w:r>
          </w:p>
        </w:tc>
        <w:tc>
          <w:tcPr/>
          <w:p>
            <w:pPr>
              <w:pStyle w:val="Compact"/>
            </w:pPr>
            <w:r>
              <w:t xml:space="preserve">lift method (</w:t>
            </w:r>
            <w:r>
              <w:rPr>
                <w:rStyle w:val="VerbatimChar"/>
              </w:rPr>
              <w:t xml:space="preserve">Bombeo Mecánico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Surgente</w:t>
            </w:r>
            <w:r>
              <w:t xml:space="preserve"> 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tipopozo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 type by fluid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Petrolífero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Gasífero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Inyección de Agua</w:t>
            </w:r>
            <w:r>
              <w:t xml:space="preserve">) — this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trajectory</w:t>
            </w:r>
          </w:p>
        </w:tc>
      </w:tr>
    </w:tbl>
    <w:bookmarkEnd w:id="12"/>
    <w:bookmarkStart w:id="13" w:name="X7bae71bfd1af1468f2f518744658a1c9eb51780"/>
    <w:p>
      <w:pPr>
        <w:pStyle w:val="Heading2"/>
      </w:pPr>
      <w:r>
        <w:t xml:space="preserve">Fracture table (Adjunto IV) — one row per fracture job</w:t>
      </w:r>
    </w:p>
    <w:p>
      <w:pPr>
        <w:pStyle w:val="FirstParagraph"/>
      </w:pPr>
      <w:r>
        <w:t xml:space="preserve">Joined to production on</w:t>
      </w:r>
      <w:r>
        <w:t xml:space="preserve"> </w:t>
      </w:r>
      <w:r>
        <w:rPr>
          <w:rStyle w:val="VerbatimChar"/>
        </w:rPr>
        <w:t xml:space="preserve">idpozo</w:t>
      </w:r>
      <w:r>
        <w:t xml:space="preserve">. Covers 4,604 of 85,417 wells (76% of</w:t>
      </w:r>
      <w:r>
        <w:t xml:space="preserve"> </w:t>
      </w:r>
      <w:r>
        <w:t xml:space="preserve">unconventional wells, ~1% of conventional).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longitud_rama_horizontal_m</w:t>
            </w:r>
          </w:p>
        </w:tc>
        <w:tc>
          <w:tcPr/>
          <w:p>
            <w:pPr>
              <w:pStyle w:val="Compact"/>
            </w:pPr>
            <w:r>
              <w:t xml:space="preserve">lateral length, m — the source of trajectory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cantidad_fracturas</w:t>
            </w:r>
          </w:p>
        </w:tc>
        <w:tc>
          <w:tcPr/>
          <w:p>
            <w:pPr>
              <w:pStyle w:val="Compact"/>
            </w:pPr>
            <w:r>
              <w:t xml:space="preserve">number of fracture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tipo_terminacion</w:t>
            </w:r>
          </w:p>
        </w:tc>
        <w:tc>
          <w:tcPr/>
          <w:p>
            <w:pPr>
              <w:pStyle w:val="Compact"/>
            </w:pPr>
            <w:r>
              <w:t xml:space="preserve">completion type (</w:t>
            </w:r>
            <w:r>
              <w:rPr>
                <w:rStyle w:val="VerbatimChar"/>
              </w:rPr>
              <w:t xml:space="preserve">Punzado</w:t>
            </w:r>
            <w:r>
              <w:t xml:space="preserve"> </w:t>
            </w:r>
            <w:r>
              <w:t xml:space="preserve">= plug-and-perf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arena_bombeada_nacional_tn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_importada_tn</w:t>
            </w:r>
          </w:p>
        </w:tc>
        <w:tc>
          <w:tcPr/>
          <w:p>
            <w:pPr>
              <w:pStyle w:val="Compact"/>
            </w:pPr>
            <w:r>
              <w:t xml:space="preserve">proppant pumped, tonnes, domestic / imported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agua_inyectada_m3</w:t>
            </w:r>
          </w:p>
        </w:tc>
        <w:tc>
          <w:tcPr/>
          <w:p>
            <w:pPr>
              <w:pStyle w:val="Compact"/>
            </w:pPr>
            <w:r>
              <w:t xml:space="preserve">fluid volume, 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presion_maxima_psi</w:t>
            </w:r>
          </w:p>
        </w:tc>
        <w:tc>
          <w:tcPr/>
          <w:p>
            <w:pPr>
              <w:pStyle w:val="Compact"/>
            </w:pPr>
            <w:r>
              <w:t xml:space="preserve">maximum treating pressure, 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potencia_equipos_fractura_hp</w:t>
            </w:r>
          </w:p>
        </w:tc>
        <w:tc>
          <w:tcPr/>
          <w:p>
            <w:pPr>
              <w:pStyle w:val="Compact"/>
            </w:pPr>
            <w:r>
              <w:t xml:space="preserve">pump power, 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fecha_inicio_fractura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_fin_</w:t>
            </w:r>
          </w:p>
        </w:tc>
        <w:tc>
          <w:tcPr/>
          <w:p>
            <w:pPr>
              <w:pStyle w:val="Compact"/>
            </w:pPr>
            <w:r>
              <w:t xml:space="preserve">job start / end</w:t>
            </w:r>
          </w:p>
        </w:tc>
      </w:tr>
    </w:tbl>
    <w:bookmarkEnd w:id="13"/>
    <w:bookmarkStart w:id="14" w:name="derived-fields"/>
    <w:p>
      <w:pPr>
        <w:pStyle w:val="Heading2"/>
      </w:pPr>
      <w:r>
        <w:t xml:space="preserve">Derived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trajectory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t xml:space="preserve">no fracture record 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; lateral ≥ 500 m →</w:t>
            </w:r>
            <w:r>
              <w:t xml:space="preserve"> </w:t>
            </w:r>
            <w:r>
              <w:rPr>
                <w:rStyle w:val="VerbatimChar"/>
              </w:rPr>
              <w:t xml:space="preserve">Horizontal</w:t>
            </w:r>
            <w:r>
              <w:t xml:space="preserve">; else</w:t>
            </w:r>
            <w:r>
              <w:t xml:space="preserve"> </w:t>
            </w:r>
            <w:r>
              <w:rPr>
                <w:rStyle w:val="VerbatimChar"/>
              </w:rPr>
              <w:t xml:space="preserve">Vertical</w:t>
            </w:r>
            <w:r>
              <w:t xml:space="preserve">. The 500 m cut sits inside an almost empty corridor in the distribution — only 20 of 4,604 wells fall between 150 m and 600 m — so the classification is insensitive to it.</w:t>
            </w:r>
            <w:r>
              <w:t xml:space="preserve"> </w:t>
            </w:r>
            <w:r>
              <w:rPr>
                <w:b/>
                <w:bCs/>
              </w:rPr>
              <w:t xml:space="preserve">Never imputed for wells without a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lateral_m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across jobs — a property of the wellbore, so it does not 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proppant_t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frac_water_m3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across jobs — consumed per job, so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max_pressure_psi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across jobs — an observed peak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proppant_kg_per_m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proppant_t × 1000 / lateral_m</w:t>
            </w:r>
            <w:r>
              <w:t xml:space="preserve">; NULL when lateral is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stage_spacing_m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lateral_m /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gor_m3_m3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cum_gas × 1000 / cum_oil</w:t>
            </w:r>
            <w:r>
              <w:t xml:space="preserve"> </w:t>
            </w:r>
            <w:r>
              <w:t xml:space="preserve">(the ×1000 converts 10³ m³ → m³)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first_prod_declared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t xml:space="preserve">first-production month from the official padrón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first_prod_month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t xml:space="preserve">first month with non-zero oil or gas in this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operator_asof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t xml:space="preserve">operator holding the well</w:t>
            </w:r>
            <w:r>
              <w:t xml:space="preserve"> </w:t>
            </w:r>
            <w:r>
              <w:rPr>
                <w:b/>
                <w:bCs/>
              </w:rPr>
              <w:t xml:space="preserve">in that month</w:t>
            </w:r>
            <w:r>
              <w:t xml:space="preserve">, by range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well_fluid_asof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tipopozo</w:t>
            </w:r>
            <w:r>
              <w:t xml:space="preserve"> </w:t>
            </w:r>
            <w:r>
              <w:t xml:space="preserve">in force that month, by ASOF join (events record only transitions)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operator_latest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t xml:space="preserve">most recent operator — a different question, and a different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tef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prod_monthly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[derived]</w:t>
            </w:r>
          </w:p>
        </w:tc>
        <w:tc>
          <w:tcPr/>
          <w:p>
            <w:pPr>
              <w:pStyle w:val="Compact"/>
            </w:pPr>
            <w:r>
              <w:t xml:space="preserve">clamped to the hours available in the month; five source rows exceed it, worst case 3,058 h</w:t>
            </w:r>
          </w:p>
        </w:tc>
      </w:tr>
    </w:tbl>
    <w:bookmarkEnd w:id="14"/>
    <w:bookmarkStart w:id="15" w:name="statistical-conventions"/>
    <w:p>
      <w:pPr>
        <w:pStyle w:val="Heading2"/>
      </w:pPr>
      <w:r>
        <w:t xml:space="preserve">Statistical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p10 is the LOW value.</w:t>
      </w:r>
      <w:r>
        <w:t xml:space="preserve"> </w:t>
      </w:r>
      <w:r>
        <w:t xml:space="preserve">p10 &lt; p50 &lt; p90. Stated on the page itself, because</w:t>
      </w:r>
      <w:r>
        <w:t xml:space="preserve"> </w:t>
      </w:r>
      <w:r>
        <w:t xml:space="preserve">the reserves convention runs the other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of observation is always declared.</w:t>
      </w:r>
      <w:r>
        <w:t xml:space="preserve"> </w:t>
      </w:r>
      <w:r>
        <w:t xml:space="preserve">A statistic over well-months and a</w:t>
      </w:r>
      <w:r>
        <w:t xml:space="preserve"> </w:t>
      </w:r>
      <w:r>
        <w:t xml:space="preserve">statistic over wells answer different questions; the Statistics page names</w:t>
      </w:r>
      <w:r>
        <w:t xml:space="preserve"> </w:t>
      </w:r>
      <w:r>
        <w:t xml:space="preserve">which one is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Well counts are per month.</w:t>
      </w:r>
      <w:r>
        <w:t xml:space="preserve"> </w:t>
      </w:r>
      <w:r>
        <w:t xml:space="preserve">A well recurs in every month it produces, so</w:t>
      </w:r>
      <w:r>
        <w:t xml:space="preserve"> </w:t>
      </w:r>
      <w:r>
        <w:t xml:space="preserve">counts may be summed across categories within a month but never along time.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2026-08-10T21:16:01Z</dcterms:created>
  <dcterms:modified xsi:type="dcterms:W3CDTF">2026-08-10T21:16:01Z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