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20"/>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11"/>
                    <a:stretch>
                      <a:fillRect/>
                    </a:stretch>
                  </pic:blipFill>
                  <pic:spPr>
                    <a:xfrm>
                      <a:off x="0" y="0"/>
                      <a:ext cx="2286000" cy="695901"/>
                    </a:xfrm>
                    <a:prstGeom prst="rect"/>
                  </pic:spPr>
                </pic:pic>
              </a:graphicData>
            </a:graphic>
          </wp:inline>
        </w:drawing>
      </w:r>
    </w:p>
    <w:p>
      <w:pPr>
        <w:spacing w:before="160" w:after="80"/>
      </w:pPr>
      <w:r>
        <w:rPr>
          <w:rFonts w:ascii="Calibri" w:hAnsi="Calibri"/>
          <w:b/>
          <w:color w:val="002060"/>
          <w:sz w:val="44"/>
        </w:rPr>
        <w:t>STRATEGIC PROPOSAL &amp; BUSINESS REQUIREMENTS DOCUMENT</w:t>
      </w:r>
    </w:p>
    <w:p>
      <w:pPr>
        <w:spacing w:after="280"/>
      </w:pPr>
      <w:r>
        <w:rPr>
          <w:rFonts w:ascii="Calibri" w:hAnsi="Calibri"/>
          <w:b/>
          <w:color w:val="ED7D31"/>
          <w:sz w:val="22"/>
        </w:rPr>
        <w:t>SISTEM ORIGINASI PEMBIAYAAN ALAT BERAT &amp; CRM (LOS-CRM)</w:t>
        <w:br/>
        <w:t>TRANSFORMASI FINTECH-GRADE UNTUK PERCEPATAN PENJUALAN UNIT LIUGONG DI INDONESIA</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EXECUTIVE VALUE PROPOSITION UNTUK BAPAK PRESIDEN DIREKTUR</w:t>
              <w:br/>
            </w:r>
            <w:r>
              <w:rPr>
                <w:rFonts w:ascii="Calibri" w:hAnsi="Calibri"/>
                <w:color w:val="283241"/>
                <w:sz w:val="20"/>
              </w:rPr>
              <w:t>"Sistem ini bukan sekadar aplikasi administrasi, melainkan Mesin Pertumbuhan Penjualan (Growth Engine) dan Perisai Risiko Kredit (Risk Shield) PT LiuGong Finance Indonesia. Menyatukan ekosistem Tripartit: Dealer Resmi LiuGong – Customer – LiuGong Finance melalui alur 4 tahap otomatis: FAP STAGE ⟶ PEFINDO OCR GATEWAY ⟶ PRE-ANALYSIS ⟶ ICLF ⟶ PROPOSAL. Memangkas siklus kredit dari 14 hari menjadi 48 jam, mengunci akurasi data 100%, serta memitigasi Non-Performing Loan (NPL) sejak detik pertama."</w:t>
            </w:r>
          </w:p>
        </w:tc>
      </w:tr>
    </w:tbl>
    <w:p>
      <w:pPr>
        <w:spacing w:after="80"/>
      </w:pP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168"/>
            <w:tcMar>
              <w:top w:w="50" w:type="dxa"/>
              <w:bottom w:w="50" w:type="dxa"/>
              <w:left w:w="80" w:type="dxa"/>
              <w:right w:w="80" w:type="dxa"/>
            </w:tcMar>
          </w:tcPr>
          <w:p>
            <w:r>
              <w:rPr>
                <w:rFonts w:ascii="Calibri" w:hAnsi="Calibri"/>
                <w:b/>
                <w:color w:val="002060"/>
                <w:sz w:val="19"/>
              </w:rPr>
              <w:t>Entitas &amp; Model Bisnis</w:t>
            </w:r>
          </w:p>
        </w:tc>
        <w:tc>
          <w:tcPr>
            <w:tcW w:type="dxa" w:w="6192"/>
            <w:tcMar>
              <w:top w:w="50" w:type="dxa"/>
              <w:bottom w:w="50" w:type="dxa"/>
              <w:left w:w="80" w:type="dxa"/>
              <w:right w:w="80" w:type="dxa"/>
            </w:tcMar>
          </w:tcPr>
          <w:p>
            <w:r>
              <w:rPr>
                <w:rFonts w:ascii="Calibri" w:hAnsi="Calibri"/>
                <w:color w:val="28323C"/>
                <w:sz w:val="19"/>
              </w:rPr>
              <w:t>PT LiuGong Finance Indonesia (Captive Finance Alat Berat)</w:t>
            </w:r>
          </w:p>
        </w:tc>
      </w:tr>
      <w:tr>
        <w:tc>
          <w:tcPr>
            <w:tcW w:type="dxa" w:w="3168"/>
            <w:tcMar>
              <w:top w:w="50" w:type="dxa"/>
              <w:bottom w:w="50" w:type="dxa"/>
              <w:left w:w="80" w:type="dxa"/>
              <w:right w:w="80" w:type="dxa"/>
            </w:tcMar>
            <w:shd w:fill="F8FAFC"/>
          </w:tcPr>
          <w:p>
            <w:r>
              <w:rPr>
                <w:rFonts w:ascii="Calibri" w:hAnsi="Calibri"/>
                <w:b/>
                <w:color w:val="002060"/>
                <w:sz w:val="19"/>
              </w:rPr>
              <w:t>Disusun &amp; Dipresentasikan</w:t>
            </w:r>
          </w:p>
        </w:tc>
        <w:tc>
          <w:tcPr>
            <w:tcW w:type="dxa" w:w="6192"/>
            <w:tcMar>
              <w:top w:w="50" w:type="dxa"/>
              <w:bottom w:w="50" w:type="dxa"/>
              <w:left w:w="80" w:type="dxa"/>
              <w:right w:w="80" w:type="dxa"/>
            </w:tcMar>
            <w:shd w:fill="F8FAFC"/>
          </w:tcPr>
          <w:p>
            <w:r>
              <w:rPr>
                <w:rFonts w:ascii="Calibri" w:hAnsi="Calibri"/>
                <w:color w:val="28323C"/>
                <w:sz w:val="19"/>
              </w:rPr>
              <w:t>Latom (Lead System Owner &amp; Technical In-Charge)</w:t>
            </w:r>
          </w:p>
        </w:tc>
      </w:tr>
      <w:tr>
        <w:tc>
          <w:tcPr>
            <w:tcW w:type="dxa" w:w="3168"/>
            <w:tcMar>
              <w:top w:w="50" w:type="dxa"/>
              <w:bottom w:w="50" w:type="dxa"/>
              <w:left w:w="80" w:type="dxa"/>
              <w:right w:w="80" w:type="dxa"/>
            </w:tcMar>
          </w:tcPr>
          <w:p>
            <w:r>
              <w:rPr>
                <w:rFonts w:ascii="Calibri" w:hAnsi="Calibri"/>
                <w:b/>
                <w:color w:val="002060"/>
                <w:sz w:val="19"/>
              </w:rPr>
              <w:t>Ditujukan Khusus Kepada</w:t>
            </w:r>
          </w:p>
        </w:tc>
        <w:tc>
          <w:tcPr>
            <w:tcW w:type="dxa" w:w="6192"/>
            <w:tcMar>
              <w:top w:w="50" w:type="dxa"/>
              <w:bottom w:w="50" w:type="dxa"/>
              <w:left w:w="80" w:type="dxa"/>
              <w:right w:w="80" w:type="dxa"/>
            </w:tcMar>
          </w:tcPr>
          <w:p>
            <w:r>
              <w:rPr>
                <w:rFonts w:ascii="Calibri" w:hAnsi="Calibri"/>
                <w:color w:val="28323C"/>
                <w:sz w:val="19"/>
              </w:rPr>
              <w:t>Bapak Presiden Direktur &amp; Jajaran Komite Kredit</w:t>
            </w:r>
          </w:p>
        </w:tc>
      </w:tr>
      <w:tr>
        <w:tc>
          <w:tcPr>
            <w:tcW w:type="dxa" w:w="3168"/>
            <w:tcMar>
              <w:top w:w="50" w:type="dxa"/>
              <w:bottom w:w="50" w:type="dxa"/>
              <w:left w:w="80" w:type="dxa"/>
              <w:right w:w="80" w:type="dxa"/>
            </w:tcMar>
            <w:shd w:fill="F8FAFC"/>
          </w:tcPr>
          <w:p>
            <w:r>
              <w:rPr>
                <w:rFonts w:ascii="Calibri" w:hAnsi="Calibri"/>
                <w:b/>
                <w:color w:val="002060"/>
                <w:sz w:val="19"/>
              </w:rPr>
              <w:t>Tujuan Strategis Utama</w:t>
            </w:r>
          </w:p>
        </w:tc>
        <w:tc>
          <w:tcPr>
            <w:tcW w:type="dxa" w:w="6192"/>
            <w:tcMar>
              <w:top w:w="50" w:type="dxa"/>
              <w:bottom w:w="50" w:type="dxa"/>
              <w:left w:w="80" w:type="dxa"/>
              <w:right w:w="80" w:type="dxa"/>
            </w:tcMar>
            <w:shd w:fill="F8FAFC"/>
          </w:tcPr>
          <w:p>
            <w:r>
              <w:rPr>
                <w:rFonts w:ascii="Calibri" w:hAnsi="Calibri"/>
                <w:color w:val="28323C"/>
                <w:sz w:val="19"/>
              </w:rPr>
              <w:t>Akselerasi Penjualan Unit LiuGong, Mitigasi NPL &amp; Kepatuhan OJK</w:t>
            </w:r>
          </w:p>
        </w:tc>
      </w:tr>
      <w:tr>
        <w:tc>
          <w:tcPr>
            <w:tcW w:type="dxa" w:w="3168"/>
            <w:tcMar>
              <w:top w:w="50" w:type="dxa"/>
              <w:bottom w:w="50" w:type="dxa"/>
              <w:left w:w="80" w:type="dxa"/>
              <w:right w:w="80" w:type="dxa"/>
            </w:tcMar>
          </w:tcPr>
          <w:p>
            <w:r>
              <w:rPr>
                <w:rFonts w:ascii="Calibri" w:hAnsi="Calibri"/>
                <w:b/>
                <w:color w:val="002060"/>
                <w:sz w:val="19"/>
              </w:rPr>
              <w:t>Status Kesiapan Sistem</w:t>
            </w:r>
          </w:p>
        </w:tc>
        <w:tc>
          <w:tcPr>
            <w:tcW w:type="dxa" w:w="6192"/>
            <w:tcMar>
              <w:top w:w="50" w:type="dxa"/>
              <w:bottom w:w="50" w:type="dxa"/>
              <w:left w:w="80" w:type="dxa"/>
              <w:right w:w="80" w:type="dxa"/>
            </w:tcMar>
          </w:tcPr>
          <w:p>
            <w:r>
              <w:rPr>
                <w:rFonts w:ascii="Calibri" w:hAnsi="Calibri"/>
                <w:color w:val="28323C"/>
                <w:sz w:val="19"/>
              </w:rPr>
              <w:t>Production Ready (27/27 Test Suites PASS, Siap Go-Live)</w:t>
            </w:r>
          </w:p>
        </w:tc>
      </w:tr>
      <w:tr>
        <w:tc>
          <w:tcPr>
            <w:tcW w:type="dxa" w:w="3168"/>
            <w:tcMar>
              <w:top w:w="50" w:type="dxa"/>
              <w:bottom w:w="50" w:type="dxa"/>
              <w:left w:w="80" w:type="dxa"/>
              <w:right w:w="80" w:type="dxa"/>
            </w:tcMar>
            <w:shd w:fill="F8FAFC"/>
          </w:tcPr>
          <w:p>
            <w:r>
              <w:rPr>
                <w:rFonts w:ascii="Calibri" w:hAnsi="Calibri"/>
                <w:b/>
                <w:color w:val="002060"/>
                <w:sz w:val="19"/>
              </w:rPr>
              <w:t>Tanggal Dokumen &amp; Versi</w:t>
            </w:r>
          </w:p>
        </w:tc>
        <w:tc>
          <w:tcPr>
            <w:tcW w:type="dxa" w:w="6192"/>
            <w:tcMar>
              <w:top w:w="50" w:type="dxa"/>
              <w:bottom w:w="50" w:type="dxa"/>
              <w:left w:w="80" w:type="dxa"/>
              <w:right w:w="80" w:type="dxa"/>
            </w:tcMar>
            <w:shd w:fill="F8FAFC"/>
          </w:tcPr>
          <w:p>
            <w:r>
              <w:rPr>
                <w:rFonts w:ascii="Calibri" w:hAnsi="Calibri"/>
                <w:color w:val="28323C"/>
                <w:sz w:val="19"/>
              </w:rPr>
              <w:t>19 Oktober 2026  |  Versi 4.0.0 (Executive Masterpiece)</w:t>
            </w:r>
          </w:p>
        </w:tc>
      </w:tr>
    </w:tbl>
    <w:p>
      <w:r>
        <w:br w:type="page"/>
      </w:r>
    </w:p>
    <w:p>
      <w:pPr>
        <w:spacing w:before="160" w:after="80"/>
      </w:pPr>
      <w:r>
        <w:rPr>
          <w:rFonts w:ascii="Calibri" w:hAnsi="Calibri"/>
          <w:b/>
          <w:color w:val="002060"/>
          <w:sz w:val="30"/>
        </w:rPr>
        <w:t>BAB 1: STRATEGI BISNIS &amp; INTEGRASI EKOSISTEM DEALER LIUGONG</w:t>
      </w:r>
    </w:p>
    <w:p>
      <w:pPr>
        <w:spacing w:line="276" w:lineRule="auto" w:after="120"/>
      </w:pPr>
      <w:r>
        <w:t>Sebagai perusahaan pembiayaan captive (Captive Finance) untuk Guangxi LiuGong Machinery Co., Ltd. di Indonesia, keberhasilan LiuGong Finance tidak dapat dipisahkan dari kecepatan penjualan dan kepuasan jaringan dealer resmi (seperti PT Megatama Traktor Utama, PT Traktor Perkasa Nusantara, dan dealer regional lainnya). Di sektor tambang batubara Kalimantan, tambang nikel Sulawesi, hingga proyek konstruksi jalan tol, pelanggan kontraktor sering kali membatalkan pesanan alat berat LiuGong dan beralih ke kompetitor (Komatsu/CAT) semata-mata karena proses persetujuan leasing kompetitor lebih cepat 2 hari.</w:t>
      </w:r>
    </w:p>
    <w:p>
      <w:pPr>
        <w:spacing w:line="276" w:lineRule="auto" w:after="120"/>
      </w:pPr>
      <w:r>
        <w:t>Sistem LOS-CRM ini dibangun secara khusus untuk mengunci integrasi Tripartit:</w:t>
        <w:br/>
        <w:t>1. Dealer Resmi LiuGong: Menerbitkan Surat Penawaran (Quotation), spesifikasi unit (Excavator, Wheel Loader, Motor Grader, Dump Truck), Surat Pemesanan Kendaraan (SPK), dan Berita Acara Serah Terima (BAST).</w:t>
        <w:br/>
        <w:t>2. Skema Subsidi Dealer &amp; Buyback Guarantee: Mendukung skema Joint Marketing di mana dealer memberikan subsidi bunga (Interest Subsidy) atau jaminan pembelian kembali (Buyback Guarantee / Recourse) untuk memitigasi risiko gagal bayar.</w:t>
        <w:br/>
        <w:t>3. Customer (Calon Debitur): Memperoleh kepastian pembiayaan secara transparan, fleksibilitas uang muka (DP 20%–30%), dan tenor hingga 48 bulan.</w:t>
        <w:br/>
        <w:t>4. LiuGong Finance: Mengamankan portofolio pembiayaan yang sehat, profitabilitas marjin bunga bersih, dan agunan fidusia yang sah secara hukum.</w:t>
      </w:r>
    </w:p>
    <w:p>
      <w:pPr>
        <w:spacing w:before="16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dashboard_overview.png"/>
                    <pic:cNvPicPr/>
                  </pic:nvPicPr>
                  <pic:blipFill>
                    <a:blip r:embed="rId1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Dashboard Eksekutif Portfolio &amp; Pipeline Distribusi Pembiayaan (Live System)</w:t>
      </w:r>
    </w:p>
    <w:p>
      <w:pPr>
        <w:spacing w:before="280" w:after="80"/>
      </w:pPr>
      <w:r>
        <w:rPr>
          <w:rFonts w:ascii="Calibri" w:hAnsi="Calibri"/>
          <w:b/>
          <w:color w:val="002060"/>
          <w:sz w:val="30"/>
        </w:rPr>
        <w:t>BAB 2: PIPA STRATEGIS 4-TAHAP (END-TO-END PIPELINE)</w:t>
      </w:r>
    </w:p>
    <w:p>
      <w:pPr>
        <w:spacing w:line="276" w:lineRule="auto" w:after="160"/>
      </w:pPr>
      <w:r>
        <w:t>Aplikasi menerapkan alur 4 tahap berjenjang yang menyatukan otomatisasi cerdas AI dan kehati-hatian perbankan (Prudential Banking), menghubungkan FAP Stage, Intelligent Pefindo Gateway, Pre-Analysis, ICLF, hingga Proposal final Komite Kredit:</w:t>
      </w:r>
    </w:p>
    <w:p>
      <w:pPr>
        <w:spacing w:before="160" w:after="60"/>
        <w:jc w:val="center"/>
      </w:pPr>
      <w:r>
        <w:drawing>
          <wp:inline xmlns:a="http://schemas.openxmlformats.org/drawingml/2006/main" xmlns:pic="http://schemas.openxmlformats.org/drawingml/2006/picture">
            <wp:extent cx="5669280" cy="1852809"/>
            <wp:docPr id="3" name="Picture 3"/>
            <wp:cNvGraphicFramePr>
              <a:graphicFrameLocks noChangeAspect="1"/>
            </wp:cNvGraphicFramePr>
            <a:graphic>
              <a:graphicData uri="http://schemas.openxmlformats.org/drawingml/2006/picture">
                <pic:pic>
                  <pic:nvPicPr>
                    <pic:cNvPr id="0" name="diagram_pipa_strategis_4_tahap.png"/>
                    <pic:cNvPicPr/>
                  </pic:nvPicPr>
                  <pic:blipFill>
                    <a:blip r:embed="rId13"/>
                    <a:stretch>
                      <a:fillRect/>
                    </a:stretch>
                  </pic:blipFill>
                  <pic:spPr>
                    <a:xfrm>
                      <a:off x="0" y="0"/>
                      <a:ext cx="5669280" cy="1852809"/>
                    </a:xfrm>
                    <a:prstGeom prst="rect"/>
                  </pic:spPr>
                </pic:pic>
              </a:graphicData>
            </a:graphic>
          </wp:inline>
        </w:drawing>
      </w:r>
    </w:p>
    <w:p>
      <w:pPr>
        <w:spacing w:after="200"/>
        <w:jc w:val="center"/>
      </w:pPr>
      <w:r>
        <w:rPr>
          <w:rFonts w:ascii="Calibri" w:hAnsi="Calibri"/>
          <w:i/>
          <w:color w:val="646E7D"/>
          <w:sz w:val="18"/>
        </w:rPr>
        <w:t>Gambar: Diagram Arsitektur Pipa Strategis 4-Tahap, Jembatan Pefindo Biro Kredit, dan Fondasi Ekosistem LiuGong Finance</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2592"/>
            <w:shd w:fill="002060"/>
            <w:tcMar>
              <w:top w:w="60" w:type="dxa"/>
              <w:bottom w:w="60" w:type="dxa"/>
              <w:left w:w="80" w:type="dxa"/>
              <w:right w:w="80" w:type="dxa"/>
            </w:tcMar>
          </w:tcPr>
          <w:p>
            <w:r>
              <w:rPr>
                <w:rFonts w:ascii="Calibri" w:hAnsi="Calibri"/>
                <w:b/>
                <w:color w:val="FFFFFF"/>
                <w:sz w:val="19"/>
              </w:rPr>
              <w:t>Tahapan Sistem</w:t>
            </w:r>
          </w:p>
        </w:tc>
        <w:tc>
          <w:tcPr>
            <w:tcW w:type="dxa" w:w="3312"/>
            <w:shd w:fill="002060"/>
            <w:tcMar>
              <w:top w:w="60" w:type="dxa"/>
              <w:bottom w:w="60" w:type="dxa"/>
              <w:left w:w="80" w:type="dxa"/>
              <w:right w:w="80" w:type="dxa"/>
            </w:tcMar>
          </w:tcPr>
          <w:p>
            <w:r>
              <w:rPr>
                <w:rFonts w:ascii="Calibri" w:hAnsi="Calibri"/>
                <w:b/>
                <w:color w:val="FFFFFF"/>
                <w:sz w:val="19"/>
              </w:rPr>
              <w:t>Fitur Unggulan &amp; Teknologi</w:t>
            </w:r>
          </w:p>
        </w:tc>
        <w:tc>
          <w:tcPr>
            <w:tcW w:type="dxa" w:w="3600"/>
            <w:shd w:fill="002060"/>
            <w:tcMar>
              <w:top w:w="60" w:type="dxa"/>
              <w:bottom w:w="60" w:type="dxa"/>
              <w:left w:w="80" w:type="dxa"/>
              <w:right w:w="80" w:type="dxa"/>
            </w:tcMar>
          </w:tcPr>
          <w:p>
            <w:r>
              <w:rPr>
                <w:rFonts w:ascii="Calibri" w:hAnsi="Calibri"/>
                <w:b/>
                <w:color w:val="FFFFFF"/>
                <w:sz w:val="19"/>
              </w:rPr>
              <w:t>Dampak Strategis bagi Direksi</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1. FAP STAGE</w:t>
              <w:br/>
              <w:t>(Intake &amp; Profiling)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Multi-Document AI/OCR (NIB, e-KTP, Paspor, NPWP, E-KITAS)</w:t>
              <w:br/>
              <w:t>• Form 5-Modul Accordion &amp; Digital Twin Excel 118-Baris</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Onboarding nasabah seketika. Memangkas 80% waktu input data dan meniadakan salah ketik nomor identitas resmi.</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INTERKONEKSI CERDAS</w:t>
              <w:br/>
              <w:t>(Pefindo Biro Kredit)</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Ingestion Data Otomatis ke Pefindo Biro Kredit</w:t>
              <w:br/>
              <w:t>• Penarikan Credit Score (250–900)</w:t>
              <w:br/>
              <w:t>• Total Eksposur Utang Terbuka</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Mengetahui integritas keuangan debitur secara seketika sebelum melangkah ke proses survei dan komite.</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2. PRE-ANALYSIS</w:t>
              <w:br/>
              <w:t>(Risk Gatekeeping)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Early Risk Triaging (Go / Review / No-Go)</w:t>
              <w:br/>
              <w:t>• Evaluasi KBLI Sektor Industri &amp; Kapasitas Alat</w:t>
              <w:br/>
              <w:t>• Deteksi Dini Restrukturisasi &amp; Gugatan</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Filter dini NPL. Menghemat waktu dan biaya operasional analis agar tidak memproses debitur yang berisiko macet.</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3. ICLF</w:t>
              <w:br/>
              <w:t>(Limit Setting)</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Penetapan Batas Plafon Debitur Tunggal &amp; Grup Usaha</w:t>
              <w:br/>
              <w:t>• Evaluasi BMPP Regulasi OJK</w:t>
              <w:br/>
              <w:t>• Struktur Rekomendasi Uang Muka (DP 20%–30%)</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Pencegahan konsentrasi risiko kredit berlebih pada grup usaha tertentu dan memastikan kecukupan modal kerja.</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4. PROPOSAL</w:t>
              <w:br/>
              <w:t>(Dossier &amp; Putusan)</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Inventaris Unit Alat Berat LiuGong</w:t>
              <w:br/>
              <w:t>• Anuitas Bunga Efektif Menurun Resmi</w:t>
              <w:br/>
              <w:t>• Neraca 3 Tahun Wajib Seimbang 100%</w:t>
              <w:br/>
              <w:t>• Putusan Komite Kredit Digital</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Dossier lengkap siap sidang. Putusan kredit terkunci aman dengan jejak audit tak terubahkan (Audit Trail).</w:t>
            </w:r>
          </w:p>
        </w:tc>
      </w:tr>
    </w:tbl>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pipeline_applications.png"/>
                    <pic:cNvPicPr/>
                  </pic:nvPicPr>
                  <pic:blipFill>
                    <a:blip r:embed="rId14"/>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Daftar Pipeline Permohonan Pembiayaan Berdasarkan Kantor Cabang &amp; Status Workflow (Live System)</w:t>
      </w:r>
    </w:p>
    <w:p>
      <w:r>
        <w:br w:type="page"/>
      </w:r>
    </w:p>
    <w:p>
      <w:pPr>
        <w:spacing w:before="160" w:after="80"/>
      </w:pPr>
      <w:r>
        <w:rPr>
          <w:rFonts w:ascii="Calibri" w:hAnsi="Calibri"/>
          <w:b/>
          <w:color w:val="002060"/>
          <w:sz w:val="30"/>
        </w:rPr>
        <w:t>BAB 3: SUITE MULTI-DOKUMEN AI/OCR &amp; INTEGRASI PEFINDO BIRO KREDIT</w:t>
      </w:r>
    </w:p>
    <w:p>
      <w:pPr>
        <w:spacing w:line="276" w:lineRule="auto" w:after="120"/>
      </w:pPr>
      <w:r>
        <w:t>Kelemahan terbesar sistem LOS tradisional di Indonesia adalah ketergantungan pada penginputan manual oleh staf administrasi cabang yang memicu tingkat kesalahan ketik (human error) hingga 20% pada NIK, NIB, dan NPWP. Aplikasi LOS-CRM LiuGong mengatasi hal ini secara tuntas melalui dua pilar teknologi mutakhir:</w:t>
      </w:r>
    </w:p>
    <w:p>
      <w:pPr>
        <w:spacing w:before="120" w:after="40"/>
      </w:pPr>
      <w:r>
        <w:rPr>
          <w:rFonts w:ascii="Calibri" w:hAnsi="Calibri"/>
          <w:b/>
          <w:color w:val="ED7D31"/>
          <w:sz w:val="24"/>
        </w:rPr>
        <w:t>3.1. Multi-Document AI/OCR Suite pada FAP Stage</w:t>
      </w:r>
    </w:p>
    <w:p>
      <w:pPr>
        <w:spacing w:line="276" w:lineRule="auto" w:after="80"/>
      </w:pPr>
      <w:r>
        <w:t>Aplikasi memproses pemindaian dokumen secara instan di peramban (Client-Side Tesseract OCR WASM) dengan dukungan 5 jenis dokumen resmi:</w:t>
        <w:br/>
        <w:t>• NIB (Nomor Induk Berusaha): Memindai dokumen OSS RBA Kementerian Investasi/BKPM untuk mengekstrak 13-digit NIB, Nama Perusahaan, Alamat Lengkap, Kode Pos, dan Tanggal Terbit.</w:t>
        <w:br/>
        <w:t>• e-KTP (WNI): Memindai identitas Direksi, Komisaris, dan Pemegang Saham WNI untuk mengekstrak 16-digit NIK, Nama Lengkap, dan Tanggal Lahir.</w:t>
        <w:br/>
        <w:t>• PASSPORT &amp; E-KITAS (Expatriate / Asing): Ekstraksi paspor dan izin tinggal WNA untuk mengakomodasi struktur PMA (Penanaman Modal Asing) dan Direksi berkewarganegaraan asing dari Tiongkok atau negara mitra.</w:t>
        <w:br/>
        <w:t>• NPWP Badan &amp; Pribadi: Ekstraksi dan validasi format NPWP 15-digit lama maupun format 16-digit terbaru.</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nib_ocr_modal.png"/>
                    <pic:cNvPicPr/>
                  </pic:nvPicPr>
                  <pic:blipFill>
                    <a:blip r:embed="rId15"/>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Fitur Modal Scan OCR NIB OSS RBA dengan Ekstraksi 5 Field Otomatis (Live System)</w:t>
      </w:r>
    </w:p>
    <w:p>
      <w:pPr>
        <w:spacing w:before="160" w:after="40"/>
      </w:pPr>
      <w:r>
        <w:rPr>
          <w:rFonts w:ascii="Calibri" w:hAnsi="Calibri"/>
          <w:b/>
          <w:color w:val="ED7D31"/>
          <w:sz w:val="24"/>
        </w:rPr>
        <w:t>3.2. Jembatan Cerdas Antara FAP Stage dan Pre-Analysis: Pefindo Biro Kredit</w:t>
      </w:r>
    </w:p>
    <w:p>
      <w:pPr>
        <w:spacing w:line="276" w:lineRule="auto" w:after="80"/>
      </w:pPr>
      <w:r>
        <w:t>Begitu identitas legal debitur dan para pengurus kunci tervalidasi pada FAP Stage, sistem secara otomatis dapat menembakkan data tersebut ke Pefindo Biro Kredit (IdScore API Bridge) maupun membaca laporan PDF Pefindo via OCR parser. Langkah ini menghadirkan profil intelijen finansial yang komprehensif dalam hitungan detik:</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NILAI STRATEGIS INTEGRASI PEFINDO BAGI MANAJEMEN RISIKO</w:t>
              <w:br/>
            </w:r>
            <w:r>
              <w:rPr>
                <w:rFonts w:ascii="Calibri" w:hAnsi="Calibri"/>
                <w:color w:val="283241"/>
                <w:sz w:val="20"/>
              </w:rPr>
              <w:t>INTELIJEN RISIKO PEFINDO BIRO KREDIT:</w:t>
              <w:br/>
              <w:t>1. Pefindo Credit Score (Skala 250–900): Skor obyektif yang memetakan probabilitas gagal bayar (Probability of Default/PD).</w:t>
              <w:br/>
              <w:t>2. Riwayat Kredit Pefindo: Mengetahui histori pembayaran cicilan debitur di lembaga pembiayaan lain—apakah selalu lancar atau memiliki catatan tunggakan.</w:t>
              <w:br/>
              <w:t>3. Total Eksposur Utang Terbuka: Mengetahui akumulasi total kewajiban dan beban kredit berjalan di biro kredit.</w:t>
              <w:br/>
              <w:t>4. Deteksi Dini Restrukturisasi &amp; Gugatan Hukum: Menghindarkan LiuGong Finance dari debitur yang sedang dalam sengketa perdata, PKPU, atau kepailitan.</w:t>
            </w:r>
          </w:p>
        </w:tc>
      </w:tr>
    </w:tbl>
    <w:p>
      <w:pPr>
        <w:spacing w:after="80"/>
      </w:pPr>
    </w:p>
    <w:p>
      <w:r>
        <w:br w:type="page"/>
      </w:r>
    </w:p>
    <w:p>
      <w:pPr>
        <w:spacing w:before="160" w:after="80"/>
      </w:pPr>
      <w:r>
        <w:rPr>
          <w:rFonts w:ascii="Calibri" w:hAnsi="Calibri"/>
          <w:b/>
          <w:color w:val="002060"/>
          <w:sz w:val="30"/>
        </w:rPr>
        <w:t>BAB 4: WORKSPACE SPLIT 50-50 &amp; DIGITAL TWIN EXCEL FAP 118-BARIS</w:t>
      </w:r>
    </w:p>
    <w:p>
      <w:pPr>
        <w:spacing w:line="276" w:lineRule="auto" w:after="120"/>
      </w:pPr>
      <w:r>
        <w:t>Salah satu keunggulan terbesar yang membedakan LOS-CRM LiuGong dari sistem kompetitor adalah arsitektur antarmuka Workspace Split 50-50. Di sisi kiri terdapat formulir 5 modul accordion modern, sementara di sisi kanan terpampang pratinjau lembar resmi Excel FAP 118-baris yang telah disetujui (Approved Mandatory Field) lengkap dengan logo resmi LiuGong Finance Indonesia, seksi identitas, profil usaha, proposal, hingga blok tanda tangan bermeterai.</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3_workspace_split_50_50.png"/>
                    <pic:cNvPicPr/>
                  </pic:nvPicPr>
                  <pic:blipFill>
                    <a:blip r:embed="rId16"/>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Workspace Split 50-50: Form Input Accordion (Kiri) &amp; Live Preview Lembar FAP Excel (Kanan)</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ap_excel_digital_twin.png"/>
                    <pic:cNvPicPr/>
                  </pic:nvPicPr>
                  <pic:blipFill>
                    <a:blip r:embed="rId17"/>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Digital Twin Dokumen FAP Excel 118-Baris dengan Logo Resmi LiuGong Finance Indonesia</w:t>
      </w:r>
    </w:p>
    <w:p>
      <w:pPr>
        <w:spacing w:before="280" w:after="80"/>
      </w:pPr>
      <w:r>
        <w:rPr>
          <w:rFonts w:ascii="Calibri" w:hAnsi="Calibri"/>
          <w:b/>
          <w:color w:val="002060"/>
          <w:sz w:val="30"/>
        </w:rPr>
        <w:t>BAB 5: TATA KELOLA KREDIT, PEMEGANG SAHAM 100% &amp; SPREADING KEUANGAN</w:t>
      </w:r>
    </w:p>
    <w:p>
      <w:pPr>
        <w:spacing w:line="276" w:lineRule="auto" w:after="120"/>
      </w:pPr>
      <w:r>
        <w:t>Aplikasi menerapkan mekanisme validasi deterministik tanpa kompromi untuk memastikan integritas permohonan kredit:</w:t>
      </w:r>
    </w:p>
    <w:p>
      <w:pPr>
        <w:spacing w:line="276" w:lineRule="auto" w:after="60"/>
      </w:pPr>
      <w:r>
        <w:rPr>
          <w:rFonts w:ascii="Calibri" w:hAnsi="Calibri"/>
          <w:b/>
          <w:color w:val="002060"/>
          <w:sz w:val="19"/>
        </w:rPr>
        <w:t xml:space="preserve">• Validasi Kepemilikan Saham 100% Persis (Tab Stakeholders): </w:t>
      </w:r>
      <w:r>
        <w:rPr>
          <w:rFonts w:ascii="Calibri" w:hAnsi="Calibri"/>
          <w:color w:val="28323C"/>
          <w:sz w:val="19"/>
        </w:rPr>
        <w:t>Sistem secara deterministik mengunci pengajuan kredit jika total porsi kepemilikan saham seluruh pemegang saham tidak berjumlah persis 100.00%. Menutup celah saham fiktif dan mematuhi regulasi Anti-Pencucian Uang (APU-PPT OJK).</w:t>
      </w:r>
    </w:p>
    <w:p>
      <w:pPr>
        <w:spacing w:line="276" w:lineRule="auto" w:after="60"/>
      </w:pPr>
      <w:r>
        <w:rPr>
          <w:rFonts w:ascii="Calibri" w:hAnsi="Calibri"/>
          <w:b/>
          <w:color w:val="002060"/>
          <w:sz w:val="19"/>
        </w:rPr>
        <w:t xml:space="preserve">• Integritas Keseimbangan Neraca Keuangan 3 Tahun (Tab Financial Statements): </w:t>
      </w:r>
      <w:r>
        <w:rPr>
          <w:rFonts w:ascii="Calibri" w:hAnsi="Calibri"/>
          <w:color w:val="28323C"/>
          <w:sz w:val="19"/>
        </w:rPr>
        <w:t>Menggunakan kalkulasi sen integer (BigInt) presisi tinggi untuk memeriksa 3 tahun laporan keuangan historis: Total Aset wajib sama persis dengan Total Liabilitas + Ekuitas. Laporan yang tidak seimbang langsung ditolak oleh sistem.</w:t>
      </w:r>
    </w:p>
    <w:p>
      <w:pPr>
        <w:spacing w:line="276" w:lineRule="auto" w:after="60"/>
      </w:pPr>
      <w:r>
        <w:rPr>
          <w:rFonts w:ascii="Calibri" w:hAnsi="Calibri"/>
          <w:b/>
          <w:color w:val="002060"/>
          <w:sz w:val="19"/>
        </w:rPr>
        <w:t xml:space="preserve">• Tata Kelola Akta Legalitas &amp; Notaris (Tab Legal): </w:t>
      </w:r>
      <w:r>
        <w:rPr>
          <w:rFonts w:ascii="Calibri" w:hAnsi="Calibri"/>
          <w:color w:val="28323C"/>
          <w:sz w:val="19"/>
        </w:rPr>
        <w:t>Pemisahan akta aktif dan arsip historis, penomoran klausul kontinu pada editor teks TinyMCE, dan matriks perbandingan perubahan modal/pengurus secara berdampingan.</w:t>
      </w:r>
    </w:p>
    <w:p>
      <w:pPr>
        <w:spacing w:line="276" w:lineRule="auto" w:after="60"/>
      </w:pPr>
      <w:r>
        <w:rPr>
          <w:rFonts w:ascii="Calibri" w:hAnsi="Calibri"/>
          <w:b/>
          <w:color w:val="002060"/>
          <w:sz w:val="19"/>
        </w:rPr>
        <w:t xml:space="preserve">• Checklist Bukti Fisik Dokumen (Tab Documents Desk): </w:t>
      </w:r>
      <w:r>
        <w:rPr>
          <w:rFonts w:ascii="Calibri" w:hAnsi="Calibri"/>
          <w:color w:val="28323C"/>
          <w:sz w:val="19"/>
        </w:rPr>
        <w:t>Monitoring masa berlaku izin usaha (NIB, SIUP, SKT, SPPKP) dan penyimpanan terenkripsi di AWS S3 privat dengan link kedaluwarsa 15 menit sesuai UU PDP No. 27/2022.</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tab_3_stakeholders.png"/>
                    <pic:cNvPicPr/>
                  </pic:nvPicPr>
                  <pic:blipFill>
                    <a:blip r:embed="rId18"/>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Verifikasi Struktur Kepemilikan Saham Wajib 100% &amp; Direksi WNI/WNA (Live System)</w:t>
      </w:r>
    </w:p>
    <w:p>
      <w:pPr>
        <w:spacing w:before="16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tab_5_financial_statements.png"/>
                    <pic:cNvPicPr/>
                  </pic:nvPicPr>
                  <pic:blipFill>
                    <a:blip r:embed="rId19"/>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Spreading Laporan Keuangan 3 Tahun dengan Keseimbangan Neraca Terverifikasi (Live System)</w:t>
      </w:r>
    </w:p>
    <w:p>
      <w:pPr>
        <w:spacing w:before="16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tab_2_legal.png"/>
                    <pic:cNvPicPr/>
                  </pic:nvPicPr>
                  <pic:blipFill>
                    <a:blip r:embed="rId20"/>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Manajemen Akta Legalitas: Pemisahan Akta Aktif &amp; Riwayat Historis (Live System)</w:t>
      </w:r>
    </w:p>
    <w:p>
      <w:pPr>
        <w:spacing w:before="16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tab_legal_modal_tinymce.png"/>
                    <pic:cNvPicPr/>
                  </pic:nvPicPr>
                  <pic:blipFill>
                    <a:blip r:embed="rId21"/>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Editor Akta Legalitas TinyMCE dengan Penomoran Klausul Kontinu &amp; Kategori Remarks (Live System)</w:t>
      </w:r>
    </w:p>
    <w:p>
      <w:r>
        <w:br w:type="page"/>
      </w:r>
    </w:p>
    <w:p>
      <w:pPr>
        <w:spacing w:before="160" w:after="80"/>
      </w:pPr>
      <w:r>
        <w:rPr>
          <w:rFonts w:ascii="Calibri" w:hAnsi="Calibri"/>
          <w:b/>
          <w:color w:val="002060"/>
          <w:sz w:val="30"/>
        </w:rPr>
        <w:t>BAB 6: STUDI KASUS RIIL &amp; KALKULASI DETAIL PEMBIAYAAN ALAT BERAT</w:t>
      </w:r>
    </w:p>
    <w:p>
      <w:pPr>
        <w:spacing w:line="276" w:lineRule="auto" w:after="120"/>
      </w:pPr>
      <w:r>
        <w:t>Berikut adalah simulasi end-to-end kasus nyata permohonan pembiayaan alat berat LiuGong yang diproses melalui sistem LOS-CRM untuk menggambarkan akurasi aktuaria dan kalkulasi angsuran: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600"/>
            <w:tcMar>
              <w:top w:w="45" w:type="dxa"/>
              <w:bottom w:w="45" w:type="dxa"/>
              <w:left w:w="70" w:type="dxa"/>
              <w:right w:w="70" w:type="dxa"/>
            </w:tcMar>
          </w:tcPr>
          <w:p>
            <w:r>
              <w:rPr>
                <w:rFonts w:ascii="Calibri" w:hAnsi="Calibri"/>
                <w:b/>
                <w:color w:val="002060"/>
                <w:sz w:val="18"/>
              </w:rPr>
              <w:t>Nama Calon Debitur</w:t>
            </w:r>
          </w:p>
        </w:tc>
        <w:tc>
          <w:tcPr>
            <w:tcW w:type="dxa" w:w="5760"/>
            <w:tcMar>
              <w:top w:w="45" w:type="dxa"/>
              <w:bottom w:w="45" w:type="dxa"/>
              <w:left w:w="70" w:type="dxa"/>
              <w:right w:w="70" w:type="dxa"/>
            </w:tcMar>
          </w:tcPr>
          <w:p>
            <w:r>
              <w:rPr>
                <w:rFonts w:ascii="Calibri" w:hAnsi="Calibri"/>
                <w:color w:val="28323C"/>
                <w:sz w:val="18"/>
              </w:rPr>
              <w:t>PT MANDIRI JAYA ABADI (Kontraktor Tambang Nikel Morowali)</w:t>
            </w:r>
          </w:p>
        </w:tc>
      </w:tr>
      <w:tr>
        <w:tc>
          <w:tcPr>
            <w:tcW w:type="dxa" w:w="3600"/>
            <w:tcMar>
              <w:top w:w="45" w:type="dxa"/>
              <w:bottom w:w="45" w:type="dxa"/>
              <w:left w:w="70" w:type="dxa"/>
              <w:right w:w="70" w:type="dxa"/>
            </w:tcMar>
            <w:shd w:fill="F8FAFC"/>
          </w:tcPr>
          <w:p>
            <w:r>
              <w:rPr>
                <w:rFonts w:ascii="Calibri" w:hAnsi="Calibri"/>
                <w:b/>
                <w:color w:val="002060"/>
                <w:sz w:val="18"/>
              </w:rPr>
              <w:t>Dealer Resmi LiuGong</w:t>
            </w:r>
          </w:p>
        </w:tc>
        <w:tc>
          <w:tcPr>
            <w:tcW w:type="dxa" w:w="5760"/>
            <w:tcMar>
              <w:top w:w="45" w:type="dxa"/>
              <w:bottom w:w="45" w:type="dxa"/>
              <w:left w:w="70" w:type="dxa"/>
              <w:right w:w="70" w:type="dxa"/>
            </w:tcMar>
            <w:shd w:fill="F8FAFC"/>
          </w:tcPr>
          <w:p>
            <w:r>
              <w:rPr>
                <w:rFonts w:ascii="Calibri" w:hAnsi="Calibri"/>
                <w:color w:val="28323C"/>
                <w:sz w:val="18"/>
              </w:rPr>
              <w:t>PT Megatama Traktor Utama (Makassar Branch)</w:t>
            </w:r>
          </w:p>
        </w:tc>
      </w:tr>
      <w:tr>
        <w:tc>
          <w:tcPr>
            <w:tcW w:type="dxa" w:w="3600"/>
            <w:tcMar>
              <w:top w:w="45" w:type="dxa"/>
              <w:bottom w:w="45" w:type="dxa"/>
              <w:left w:w="70" w:type="dxa"/>
              <w:right w:w="70" w:type="dxa"/>
            </w:tcMar>
          </w:tcPr>
          <w:p>
            <w:r>
              <w:rPr>
                <w:rFonts w:ascii="Calibri" w:hAnsi="Calibri"/>
                <w:b/>
                <w:color w:val="002060"/>
                <w:sz w:val="18"/>
              </w:rPr>
              <w:t>Aset yang Dibiayai</w:t>
            </w:r>
          </w:p>
        </w:tc>
        <w:tc>
          <w:tcPr>
            <w:tcW w:type="dxa" w:w="5760"/>
            <w:tcMar>
              <w:top w:w="45" w:type="dxa"/>
              <w:bottom w:w="45" w:type="dxa"/>
              <w:left w:w="70" w:type="dxa"/>
              <w:right w:w="70" w:type="dxa"/>
            </w:tcMar>
          </w:tcPr>
          <w:p>
            <w:r>
              <w:rPr>
                <w:rFonts w:ascii="Calibri" w:hAnsi="Calibri"/>
                <w:color w:val="28323C"/>
                <w:sz w:val="18"/>
              </w:rPr>
              <w:t>5 Unit Hydraulic Excavator LiuGong 922E (Heavy Equipment)</w:t>
            </w:r>
          </w:p>
        </w:tc>
      </w:tr>
      <w:tr>
        <w:tc>
          <w:tcPr>
            <w:tcW w:type="dxa" w:w="3600"/>
            <w:tcMar>
              <w:top w:w="45" w:type="dxa"/>
              <w:bottom w:w="45" w:type="dxa"/>
              <w:left w:w="70" w:type="dxa"/>
              <w:right w:w="70" w:type="dxa"/>
            </w:tcMar>
            <w:shd w:fill="F8FAFC"/>
          </w:tcPr>
          <w:p>
            <w:r>
              <w:rPr>
                <w:rFonts w:ascii="Calibri" w:hAnsi="Calibri"/>
                <w:b/>
                <w:color w:val="002060"/>
                <w:sz w:val="18"/>
              </w:rPr>
              <w:t>Harga Unit OTR (Total Asset Cost)</w:t>
            </w:r>
          </w:p>
        </w:tc>
        <w:tc>
          <w:tcPr>
            <w:tcW w:type="dxa" w:w="5760"/>
            <w:tcMar>
              <w:top w:w="45" w:type="dxa"/>
              <w:bottom w:w="45" w:type="dxa"/>
              <w:left w:w="70" w:type="dxa"/>
              <w:right w:w="70" w:type="dxa"/>
            </w:tcMar>
            <w:shd w:fill="F8FAFC"/>
          </w:tcPr>
          <w:p>
            <w:r>
              <w:rPr>
                <w:rFonts w:ascii="Calibri" w:hAnsi="Calibri"/>
                <w:color w:val="28323C"/>
                <w:sz w:val="18"/>
              </w:rPr>
              <w:t>Rp 7.500.000.000 (5 Unit @ Rp 1.500.000.000)</w:t>
            </w:r>
          </w:p>
        </w:tc>
      </w:tr>
      <w:tr>
        <w:tc>
          <w:tcPr>
            <w:tcW w:type="dxa" w:w="3600"/>
            <w:tcMar>
              <w:top w:w="45" w:type="dxa"/>
              <w:bottom w:w="45" w:type="dxa"/>
              <w:left w:w="70" w:type="dxa"/>
              <w:right w:w="70" w:type="dxa"/>
            </w:tcMar>
          </w:tcPr>
          <w:p>
            <w:r>
              <w:rPr>
                <w:rFonts w:ascii="Calibri" w:hAnsi="Calibri"/>
                <w:b/>
                <w:color w:val="002060"/>
                <w:sz w:val="18"/>
              </w:rPr>
              <w:t>Uang Muka / Down Payment (DP 25%)</w:t>
            </w:r>
          </w:p>
        </w:tc>
        <w:tc>
          <w:tcPr>
            <w:tcW w:type="dxa" w:w="5760"/>
            <w:tcMar>
              <w:top w:w="45" w:type="dxa"/>
              <w:bottom w:w="45" w:type="dxa"/>
              <w:left w:w="70" w:type="dxa"/>
              <w:right w:w="70" w:type="dxa"/>
            </w:tcMar>
          </w:tcPr>
          <w:p>
            <w:r>
              <w:rPr>
                <w:rFonts w:ascii="Calibri" w:hAnsi="Calibri"/>
                <w:color w:val="28323C"/>
                <w:sz w:val="18"/>
              </w:rPr>
              <w:t>Rp 1.875.000.000 (Dibayar tunai oleh debitur ke dealer)</w:t>
            </w:r>
          </w:p>
        </w:tc>
      </w:tr>
      <w:tr>
        <w:tc>
          <w:tcPr>
            <w:tcW w:type="dxa" w:w="3600"/>
            <w:tcMar>
              <w:top w:w="45" w:type="dxa"/>
              <w:bottom w:w="45" w:type="dxa"/>
              <w:left w:w="70" w:type="dxa"/>
              <w:right w:w="70" w:type="dxa"/>
            </w:tcMar>
            <w:shd w:fill="F8FAFC"/>
          </w:tcPr>
          <w:p>
            <w:r>
              <w:rPr>
                <w:rFonts w:ascii="Calibri" w:hAnsi="Calibri"/>
                <w:b/>
                <w:color w:val="002060"/>
                <w:sz w:val="18"/>
              </w:rPr>
              <w:t>Subsidi Bunga dari Dealer (1.5% p.a.)</w:t>
            </w:r>
          </w:p>
        </w:tc>
        <w:tc>
          <w:tcPr>
            <w:tcW w:type="dxa" w:w="5760"/>
            <w:tcMar>
              <w:top w:w="45" w:type="dxa"/>
              <w:bottom w:w="45" w:type="dxa"/>
              <w:left w:w="70" w:type="dxa"/>
              <w:right w:w="70" w:type="dxa"/>
            </w:tcMar>
            <w:shd w:fill="F8FAFC"/>
          </w:tcPr>
          <w:p>
            <w:r>
              <w:rPr>
                <w:rFonts w:ascii="Calibri" w:hAnsi="Calibri"/>
                <w:color w:val="28323C"/>
                <w:sz w:val="18"/>
              </w:rPr>
              <w:t>Rp 112.500.000 (Dipotongkan langsung ke pokok pembiayaan)</w:t>
            </w:r>
          </w:p>
        </w:tc>
      </w:tr>
      <w:tr>
        <w:tc>
          <w:tcPr>
            <w:tcW w:type="dxa" w:w="3600"/>
            <w:tcMar>
              <w:top w:w="45" w:type="dxa"/>
              <w:bottom w:w="45" w:type="dxa"/>
              <w:left w:w="70" w:type="dxa"/>
              <w:right w:w="70" w:type="dxa"/>
            </w:tcMar>
          </w:tcPr>
          <w:p>
            <w:r>
              <w:rPr>
                <w:rFonts w:ascii="Calibri" w:hAnsi="Calibri"/>
                <w:b/>
                <w:color w:val="002060"/>
                <w:sz w:val="18"/>
              </w:rPr>
              <w:t>Pokok Pembiayaan Bersih (Net Principal)</w:t>
            </w:r>
          </w:p>
        </w:tc>
        <w:tc>
          <w:tcPr>
            <w:tcW w:type="dxa" w:w="5760"/>
            <w:tcMar>
              <w:top w:w="45" w:type="dxa"/>
              <w:bottom w:w="45" w:type="dxa"/>
              <w:left w:w="70" w:type="dxa"/>
              <w:right w:w="70" w:type="dxa"/>
            </w:tcMar>
          </w:tcPr>
          <w:p>
            <w:r>
              <w:rPr>
                <w:rFonts w:ascii="Calibri" w:hAnsi="Calibri"/>
                <w:b/>
                <w:color w:val="ED7D31"/>
                <w:sz w:val="18"/>
              </w:rPr>
              <w:t>Rp 5.512.500.000</w:t>
            </w:r>
          </w:p>
        </w:tc>
      </w:tr>
      <w:tr>
        <w:tc>
          <w:tcPr>
            <w:tcW w:type="dxa" w:w="3600"/>
            <w:tcMar>
              <w:top w:w="45" w:type="dxa"/>
              <w:bottom w:w="45" w:type="dxa"/>
              <w:left w:w="70" w:type="dxa"/>
              <w:right w:w="70" w:type="dxa"/>
            </w:tcMar>
            <w:shd w:fill="F8FAFC"/>
          </w:tcPr>
          <w:p>
            <w:r>
              <w:rPr>
                <w:rFonts w:ascii="Calibri" w:hAnsi="Calibri"/>
                <w:b/>
                <w:color w:val="002060"/>
                <w:sz w:val="18"/>
              </w:rPr>
              <w:t>Suku Bunga &amp; Metode Perhitungan</w:t>
            </w:r>
          </w:p>
        </w:tc>
        <w:tc>
          <w:tcPr>
            <w:tcW w:type="dxa" w:w="5760"/>
            <w:tcMar>
              <w:top w:w="45" w:type="dxa"/>
              <w:bottom w:w="45" w:type="dxa"/>
              <w:left w:w="70" w:type="dxa"/>
              <w:right w:w="70" w:type="dxa"/>
            </w:tcMar>
            <w:shd w:fill="F8FAFC"/>
          </w:tcPr>
          <w:p>
            <w:r>
              <w:rPr>
                <w:rFonts w:ascii="Calibri" w:hAnsi="Calibri"/>
                <w:color w:val="28323C"/>
                <w:sz w:val="18"/>
              </w:rPr>
              <w:t>10.50% p.a. Efektif Menurun (Reducing Balance Annuity)</w:t>
            </w:r>
          </w:p>
        </w:tc>
      </w:tr>
      <w:tr>
        <w:tc>
          <w:tcPr>
            <w:tcW w:type="dxa" w:w="3600"/>
            <w:tcMar>
              <w:top w:w="45" w:type="dxa"/>
              <w:bottom w:w="45" w:type="dxa"/>
              <w:left w:w="70" w:type="dxa"/>
              <w:right w:w="70" w:type="dxa"/>
            </w:tcMar>
          </w:tcPr>
          <w:p>
            <w:r>
              <w:rPr>
                <w:rFonts w:ascii="Calibri" w:hAnsi="Calibri"/>
                <w:b/>
                <w:color w:val="002060"/>
                <w:sz w:val="18"/>
              </w:rPr>
              <w:t>Tenor Pembiayaan</w:t>
            </w:r>
          </w:p>
        </w:tc>
        <w:tc>
          <w:tcPr>
            <w:tcW w:type="dxa" w:w="5760"/>
            <w:tcMar>
              <w:top w:w="45" w:type="dxa"/>
              <w:bottom w:w="45" w:type="dxa"/>
              <w:left w:w="70" w:type="dxa"/>
              <w:right w:w="70" w:type="dxa"/>
            </w:tcMar>
          </w:tcPr>
          <w:p>
            <w:r>
              <w:rPr>
                <w:rFonts w:ascii="Calibri" w:hAnsi="Calibri"/>
                <w:color w:val="28323C"/>
                <w:sz w:val="18"/>
              </w:rPr>
              <w:t>36 Bulan (3 Tahun) · Skema In Arrear</w:t>
            </w:r>
          </w:p>
        </w:tc>
      </w:tr>
      <w:tr>
        <w:tc>
          <w:tcPr>
            <w:tcW w:type="dxa" w:w="3600"/>
            <w:tcMar>
              <w:top w:w="45" w:type="dxa"/>
              <w:bottom w:w="45" w:type="dxa"/>
              <w:left w:w="70" w:type="dxa"/>
              <w:right w:w="70" w:type="dxa"/>
            </w:tcMar>
            <w:shd w:fill="F8FAFC"/>
          </w:tcPr>
          <w:p>
            <w:r>
              <w:rPr>
                <w:rFonts w:ascii="Calibri" w:hAnsi="Calibri"/>
                <w:b/>
                <w:color w:val="002060"/>
                <w:sz w:val="18"/>
              </w:rPr>
              <w:t>Angsuran Bulanan Resmi (Monthly Installment)</w:t>
            </w:r>
          </w:p>
        </w:tc>
        <w:tc>
          <w:tcPr>
            <w:tcW w:type="dxa" w:w="5760"/>
            <w:tcMar>
              <w:top w:w="45" w:type="dxa"/>
              <w:bottom w:w="45" w:type="dxa"/>
              <w:left w:w="70" w:type="dxa"/>
              <w:right w:w="70" w:type="dxa"/>
            </w:tcMar>
            <w:shd w:fill="F8FAFC"/>
          </w:tcPr>
          <w:p>
            <w:r>
              <w:rPr>
                <w:rFonts w:ascii="Calibri" w:hAnsi="Calibri"/>
                <w:b/>
                <w:color w:val="ED7D31"/>
                <w:sz w:val="18"/>
              </w:rPr>
              <w:t>Rp 179.231.425 / bulan</w:t>
            </w:r>
          </w:p>
        </w:tc>
      </w:tr>
      <w:tr>
        <w:tc>
          <w:tcPr>
            <w:tcW w:type="dxa" w:w="3600"/>
            <w:tcMar>
              <w:top w:w="45" w:type="dxa"/>
              <w:bottom w:w="45" w:type="dxa"/>
              <w:left w:w="70" w:type="dxa"/>
              <w:right w:w="70" w:type="dxa"/>
            </w:tcMar>
          </w:tcPr>
          <w:p>
            <w:r>
              <w:rPr>
                <w:rFonts w:ascii="Calibri" w:hAnsi="Calibri"/>
                <w:b/>
                <w:color w:val="002060"/>
                <w:sz w:val="18"/>
              </w:rPr>
              <w:t>Hasil Evaluasi Rasio &amp; Putusan Kredit</w:t>
            </w:r>
          </w:p>
        </w:tc>
        <w:tc>
          <w:tcPr>
            <w:tcW w:type="dxa" w:w="5760"/>
            <w:tcMar>
              <w:top w:w="45" w:type="dxa"/>
              <w:bottom w:w="45" w:type="dxa"/>
              <w:left w:w="70" w:type="dxa"/>
              <w:right w:w="70" w:type="dxa"/>
            </w:tcMar>
          </w:tcPr>
          <w:p>
            <w:r>
              <w:rPr>
                <w:rFonts w:ascii="Calibri" w:hAnsi="Calibri"/>
                <w:b/>
                <w:color w:val="ED7D31"/>
                <w:sz w:val="18"/>
              </w:rPr>
              <w:t>DSCR: 2.70x | Pefindo Score: 785 (Risk Grade 2) | STATUS: APPROVED</w:t>
            </w:r>
          </w:p>
        </w:tc>
      </w:tr>
    </w:tbl>
    <w:p>
      <w:pPr>
        <w:spacing w:before="16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tab_4_business_and_banks.png"/>
                    <pic:cNvPicPr/>
                  </pic:nvPicPr>
                  <pic:blipFill>
                    <a:blip r:embed="rId2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Proposal Pembiayaan, Kalkulator Simulasi Angsuran Anuitas &amp; Fasilitas Perbankan (Live System)</w:t>
      </w:r>
    </w:p>
    <w:p>
      <w:pPr>
        <w:spacing w:before="280" w:after="80"/>
      </w:pPr>
      <w:r>
        <w:rPr>
          <w:rFonts w:ascii="Calibri" w:hAnsi="Calibri"/>
          <w:b/>
          <w:color w:val="002060"/>
          <w:sz w:val="30"/>
        </w:rPr>
        <w:t>BAB 7: TATA KELOLA &amp; MATRIKS WEWENANG PUTUSAN KOMITE KREDIT</w:t>
      </w:r>
    </w:p>
    <w:p>
      <w:pPr>
        <w:spacing w:line="276" w:lineRule="auto" w:after="120"/>
      </w:pPr>
      <w:r>
        <w:t>Untuk menjaga independensi dan kepatuhan terhadap prinsip Four-Eyes Principle OJK, sistem membagi kewenangan persetujuan kredit secara berjenjang berdasarkan plafon pembiayaan (Ticket Size):</w:t>
        <w:br/>
        <w:t>• Tier 1 (Plafon s/d Rp 2.5 Miliar): Diputuskan oleh Branch Manager bersama Head of Credit Analyst Cabang.</w:t>
        <w:br/>
        <w:t>• Tier 2 (Plafon Rp 2.5 Miliar – Rp 10 Miliar): Diputuskan oleh Komite Kredit Head Office (Head of CA, Head of Legal, Marketing Director).</w:t>
        <w:br/>
        <w:t>• Tier 3 (Plafon &gt; Rp 10 Miliar atau Debitur Khusus): Wajib diputuskan oleh Sidang Komite Kredit Lengkap yang dipimpin langsung oleh Bapak Presiden Direktur.</w:t>
      </w:r>
    </w:p>
    <w:p>
      <w:pPr>
        <w:spacing w:before="16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committee_review_actions.png"/>
                    <pic:cNvPicPr/>
                  </pic:nvPicPr>
                  <pic:blipFill>
                    <a:blip r:embed="rId23"/>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Layar Persetujuan Komite Kredit dengan Tombol Aksi Mutlak: Approve / Reject / Return (Live System)</w:t>
      </w:r>
    </w:p>
    <w:p>
      <w:pPr>
        <w:spacing w:before="280" w:after="80"/>
      </w:pPr>
      <w:r>
        <w:rPr>
          <w:rFonts w:ascii="Calibri" w:hAnsi="Calibri"/>
          <w:b/>
          <w:color w:val="002060"/>
          <w:sz w:val="30"/>
        </w:rPr>
        <w:t>BAB 8: TARGET KPI OPERASIONAL, ROI &amp; LEMBAR PENGESAHAN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3600"/>
            <w:shd w:fill="002060"/>
            <w:tcMar>
              <w:top w:w="60" w:type="dxa"/>
              <w:bottom w:w="60" w:type="dxa"/>
              <w:left w:w="80" w:type="dxa"/>
              <w:right w:w="80" w:type="dxa"/>
            </w:tcMar>
          </w:tcPr>
          <w:p>
            <w:r>
              <w:rPr>
                <w:rFonts w:ascii="Calibri" w:hAnsi="Calibri"/>
                <w:b/>
                <w:color w:val="FFFFFF"/>
                <w:sz w:val="19"/>
              </w:rPr>
              <w:t>Indikator Kinerja Utama (KPI)</w:t>
            </w:r>
          </w:p>
        </w:tc>
        <w:tc>
          <w:tcPr>
            <w:tcW w:type="dxa" w:w="2592"/>
            <w:shd w:fill="002060"/>
            <w:tcMar>
              <w:top w:w="60" w:type="dxa"/>
              <w:bottom w:w="60" w:type="dxa"/>
              <w:left w:w="80" w:type="dxa"/>
              <w:right w:w="80" w:type="dxa"/>
            </w:tcMar>
          </w:tcPr>
          <w:p>
            <w:r>
              <w:rPr>
                <w:rFonts w:ascii="Calibri" w:hAnsi="Calibri"/>
                <w:b/>
                <w:color w:val="FFFFFF"/>
                <w:sz w:val="19"/>
              </w:rPr>
              <w:t>Sebelum Sistem Baru</w:t>
            </w:r>
          </w:p>
        </w:tc>
        <w:tc>
          <w:tcPr>
            <w:tcW w:type="dxa" w:w="3168"/>
            <w:shd w:fill="002060"/>
            <w:tcMar>
              <w:top w:w="60" w:type="dxa"/>
              <w:bottom w:w="60" w:type="dxa"/>
              <w:left w:w="80" w:type="dxa"/>
              <w:right w:w="80" w:type="dxa"/>
            </w:tcMar>
          </w:tcPr>
          <w:p>
            <w:r>
              <w:rPr>
                <w:rFonts w:ascii="Calibri" w:hAnsi="Calibri"/>
                <w:b/>
                <w:color w:val="FFFFFF"/>
                <w:sz w:val="19"/>
              </w:rPr>
              <w:t>Target Sistem LOS-CRM</w:t>
            </w:r>
          </w:p>
        </w:tc>
      </w:tr>
      <w:tr>
        <w:tc>
          <w:tcPr>
            <w:tcW w:type="dxa" w:w="3600"/>
            <w:tcMar>
              <w:top w:w="50" w:type="dxa"/>
              <w:bottom w:w="50" w:type="dxa"/>
              <w:left w:w="70" w:type="dxa"/>
              <w:right w:w="70" w:type="dxa"/>
            </w:tcMar>
          </w:tcPr>
          <w:p>
            <w:r>
              <w:rPr>
                <w:rFonts w:ascii="Calibri" w:hAnsi="Calibri"/>
                <w:b/>
                <w:color w:val="002060"/>
                <w:sz w:val="17"/>
              </w:rPr>
              <w:t>Turnaround Time (TAT) Siklus Kredit</w:t>
            </w:r>
          </w:p>
        </w:tc>
        <w:tc>
          <w:tcPr>
            <w:tcW w:type="dxa" w:w="2592"/>
            <w:tcMar>
              <w:top w:w="50" w:type="dxa"/>
              <w:bottom w:w="50" w:type="dxa"/>
              <w:left w:w="70" w:type="dxa"/>
              <w:right w:w="70" w:type="dxa"/>
            </w:tcMar>
          </w:tcPr>
          <w:p>
            <w:r>
              <w:rPr>
                <w:rFonts w:ascii="Calibri" w:hAnsi="Calibri"/>
                <w:sz w:val="17"/>
              </w:rPr>
              <w:t>10 – 14 Hari Kerja</w:t>
            </w:r>
          </w:p>
        </w:tc>
        <w:tc>
          <w:tcPr>
            <w:tcW w:type="dxa" w:w="3168"/>
            <w:tcMar>
              <w:top w:w="50" w:type="dxa"/>
              <w:bottom w:w="50" w:type="dxa"/>
              <w:left w:w="70" w:type="dxa"/>
              <w:right w:w="70" w:type="dxa"/>
            </w:tcMar>
          </w:tcPr>
          <w:p>
            <w:r>
              <w:rPr>
                <w:rFonts w:ascii="Calibri" w:hAnsi="Calibri"/>
                <w:b/>
                <w:color w:val="ED7D31"/>
                <w:sz w:val="17"/>
              </w:rPr>
              <w:t>Maksimal 48 Jam (2 Hari)</w:t>
            </w:r>
          </w:p>
        </w:tc>
      </w:tr>
      <w:tr>
        <w:tc>
          <w:tcPr>
            <w:tcW w:type="dxa" w:w="3600"/>
            <w:tcMar>
              <w:top w:w="50" w:type="dxa"/>
              <w:bottom w:w="50" w:type="dxa"/>
              <w:left w:w="70" w:type="dxa"/>
              <w:right w:w="70" w:type="dxa"/>
            </w:tcMar>
            <w:shd w:fill="F8FAFC"/>
          </w:tcPr>
          <w:p>
            <w:r>
              <w:rPr>
                <w:rFonts w:ascii="Calibri" w:hAnsi="Calibri"/>
                <w:b/>
                <w:color w:val="002060"/>
                <w:sz w:val="17"/>
              </w:rPr>
              <w:t>Waktu Onboarding &amp; Input Data Nasabah</w:t>
            </w:r>
          </w:p>
        </w:tc>
        <w:tc>
          <w:tcPr>
            <w:tcW w:type="dxa" w:w="2592"/>
            <w:tcMar>
              <w:top w:w="50" w:type="dxa"/>
              <w:bottom w:w="50" w:type="dxa"/>
              <w:left w:w="70" w:type="dxa"/>
              <w:right w:w="70" w:type="dxa"/>
            </w:tcMar>
            <w:shd w:fill="F8FAFC"/>
          </w:tcPr>
          <w:p>
            <w:r>
              <w:rPr>
                <w:rFonts w:ascii="Calibri" w:hAnsi="Calibri"/>
                <w:sz w:val="17"/>
              </w:rPr>
              <w:t>4 – 6 Jam</w:t>
            </w:r>
          </w:p>
        </w:tc>
        <w:tc>
          <w:tcPr>
            <w:tcW w:type="dxa" w:w="3168"/>
            <w:tcMar>
              <w:top w:w="50" w:type="dxa"/>
              <w:bottom w:w="50" w:type="dxa"/>
              <w:left w:w="70" w:type="dxa"/>
              <w:right w:w="70" w:type="dxa"/>
            </w:tcMar>
            <w:shd w:fill="F8FAFC"/>
          </w:tcPr>
          <w:p>
            <w:r>
              <w:rPr>
                <w:rFonts w:ascii="Calibri" w:hAnsi="Calibri"/>
                <w:b/>
                <w:color w:val="ED7D31"/>
                <w:sz w:val="17"/>
              </w:rPr>
              <w:t>≤ 30 Menit (Multi-Doc OCR)</w:t>
            </w:r>
          </w:p>
        </w:tc>
      </w:tr>
      <w:tr>
        <w:tc>
          <w:tcPr>
            <w:tcW w:type="dxa" w:w="3600"/>
            <w:tcMar>
              <w:top w:w="50" w:type="dxa"/>
              <w:bottom w:w="50" w:type="dxa"/>
              <w:left w:w="70" w:type="dxa"/>
              <w:right w:w="70" w:type="dxa"/>
            </w:tcMar>
          </w:tcPr>
          <w:p>
            <w:r>
              <w:rPr>
                <w:rFonts w:ascii="Calibri" w:hAnsi="Calibri"/>
                <w:b/>
                <w:color w:val="002060"/>
                <w:sz w:val="17"/>
              </w:rPr>
              <w:t>Penarikan Laporan Kredit Pefindo</w:t>
            </w:r>
          </w:p>
        </w:tc>
        <w:tc>
          <w:tcPr>
            <w:tcW w:type="dxa" w:w="2592"/>
            <w:tcMar>
              <w:top w:w="50" w:type="dxa"/>
              <w:bottom w:w="50" w:type="dxa"/>
              <w:left w:w="70" w:type="dxa"/>
              <w:right w:w="70" w:type="dxa"/>
            </w:tcMar>
          </w:tcPr>
          <w:p>
            <w:r>
              <w:rPr>
                <w:rFonts w:ascii="Calibri" w:hAnsi="Calibri"/>
                <w:sz w:val="17"/>
              </w:rPr>
              <w:t>1 – 2 Hari Kerja</w:t>
            </w:r>
          </w:p>
        </w:tc>
        <w:tc>
          <w:tcPr>
            <w:tcW w:type="dxa" w:w="3168"/>
            <w:tcMar>
              <w:top w:w="50" w:type="dxa"/>
              <w:bottom w:w="50" w:type="dxa"/>
              <w:left w:w="70" w:type="dxa"/>
              <w:right w:w="70" w:type="dxa"/>
            </w:tcMar>
          </w:tcPr>
          <w:p>
            <w:r>
              <w:rPr>
                <w:rFonts w:ascii="Calibri" w:hAnsi="Calibri"/>
                <w:b/>
                <w:color w:val="ED7D31"/>
                <w:sz w:val="17"/>
              </w:rPr>
              <w:t>Real-Time / Hitungan Detik</w:t>
            </w:r>
          </w:p>
        </w:tc>
      </w:tr>
      <w:tr>
        <w:tc>
          <w:tcPr>
            <w:tcW w:type="dxa" w:w="3600"/>
            <w:tcMar>
              <w:top w:w="50" w:type="dxa"/>
              <w:bottom w:w="50" w:type="dxa"/>
              <w:left w:w="70" w:type="dxa"/>
              <w:right w:w="70" w:type="dxa"/>
            </w:tcMar>
            <w:shd w:fill="F8FAFC"/>
          </w:tcPr>
          <w:p>
            <w:r>
              <w:rPr>
                <w:rFonts w:ascii="Calibri" w:hAnsi="Calibri"/>
                <w:b/>
                <w:color w:val="002060"/>
                <w:sz w:val="17"/>
              </w:rPr>
              <w:t>Tingkat Retur Berkas (Defect Rate)</w:t>
            </w:r>
          </w:p>
        </w:tc>
        <w:tc>
          <w:tcPr>
            <w:tcW w:type="dxa" w:w="2592"/>
            <w:tcMar>
              <w:top w:w="50" w:type="dxa"/>
              <w:bottom w:w="50" w:type="dxa"/>
              <w:left w:w="70" w:type="dxa"/>
              <w:right w:w="70" w:type="dxa"/>
            </w:tcMar>
            <w:shd w:fill="F8FAFC"/>
          </w:tcPr>
          <w:p>
            <w:r>
              <w:rPr>
                <w:rFonts w:ascii="Calibri" w:hAnsi="Calibri"/>
                <w:sz w:val="17"/>
              </w:rPr>
              <w:t>35% – 40% aplikasi</w:t>
            </w:r>
          </w:p>
        </w:tc>
        <w:tc>
          <w:tcPr>
            <w:tcW w:type="dxa" w:w="3168"/>
            <w:tcMar>
              <w:top w:w="50" w:type="dxa"/>
              <w:bottom w:w="50" w:type="dxa"/>
              <w:left w:w="70" w:type="dxa"/>
              <w:right w:w="70" w:type="dxa"/>
            </w:tcMar>
            <w:shd w:fill="F8FAFC"/>
          </w:tcPr>
          <w:p>
            <w:r>
              <w:rPr>
                <w:rFonts w:ascii="Calibri" w:hAnsi="Calibri"/>
                <w:b/>
                <w:color w:val="ED7D31"/>
                <w:sz w:val="17"/>
              </w:rPr>
              <w:t>≤ 3% permohonan</w:t>
            </w:r>
          </w:p>
        </w:tc>
      </w:tr>
      <w:tr>
        <w:tc>
          <w:tcPr>
            <w:tcW w:type="dxa" w:w="3600"/>
            <w:tcMar>
              <w:top w:w="50" w:type="dxa"/>
              <w:bottom w:w="50" w:type="dxa"/>
              <w:left w:w="70" w:type="dxa"/>
              <w:right w:w="70" w:type="dxa"/>
            </w:tcMar>
          </w:tcPr>
          <w:p>
            <w:r>
              <w:rPr>
                <w:rFonts w:ascii="Calibri" w:hAnsi="Calibri"/>
                <w:b/>
                <w:color w:val="002060"/>
                <w:sz w:val="17"/>
              </w:rPr>
              <w:t>Akurasi Laporan Keuangan &amp; Saham</w:t>
            </w:r>
          </w:p>
        </w:tc>
        <w:tc>
          <w:tcPr>
            <w:tcW w:type="dxa" w:w="2592"/>
            <w:tcMar>
              <w:top w:w="50" w:type="dxa"/>
              <w:bottom w:w="50" w:type="dxa"/>
              <w:left w:w="70" w:type="dxa"/>
              <w:right w:w="70" w:type="dxa"/>
            </w:tcMar>
          </w:tcPr>
          <w:p>
            <w:r>
              <w:rPr>
                <w:rFonts w:ascii="Calibri" w:hAnsi="Calibri"/>
                <w:sz w:val="17"/>
              </w:rPr>
              <w:t>Rentan salah hitung</w:t>
            </w:r>
          </w:p>
        </w:tc>
        <w:tc>
          <w:tcPr>
            <w:tcW w:type="dxa" w:w="3168"/>
            <w:tcMar>
              <w:top w:w="50" w:type="dxa"/>
              <w:bottom w:w="50" w:type="dxa"/>
              <w:left w:w="70" w:type="dxa"/>
              <w:right w:w="70" w:type="dxa"/>
            </w:tcMar>
          </w:tcPr>
          <w:p>
            <w:r>
              <w:rPr>
                <w:rFonts w:ascii="Calibri" w:hAnsi="Calibri"/>
                <w:b/>
                <w:color w:val="ED7D31"/>
                <w:sz w:val="17"/>
              </w:rPr>
              <w:t>100% Zero-Error Terverifikasi</w:t>
            </w:r>
          </w:p>
        </w:tc>
      </w:tr>
    </w:tbl>
    <w:p>
      <w:pPr>
        <w:spacing w:after="400"/>
      </w:pPr>
    </w:p>
    <w:tbl>
      <w:tblPr>
        <w:tblW w:type="auto" w:w="0"/>
        <w:jc w:val="center"/>
        <w:tblLayout w:type="fixed"/>
        <w:tblLook w:firstColumn="1" w:firstRow="1" w:lastColumn="0" w:lastRow="0" w:noHBand="0" w:noVBand="1" w:val="04A0"/>
        <w:tblBorders>
          <w:top w:val="single" w:sz="4" w:space="0" w:color="FFFFFF"/>
          <w:bottom w:val="single" w:sz="4" w:space="0" w:color="FFFFFF"/>
          <w:insideH w:val="single" w:sz="4" w:space="0" w:color="FFFFFF"/>
          <w:insideV w:val="none"/>
          <w:left w:val="none"/>
          <w:right w:val="none"/>
        </w:tblBorders>
      </w:tblPr>
      <w:tblGrid>
        <w:gridCol w:w="4802"/>
        <w:gridCol w:w="4802"/>
      </w:tblGrid>
      <w:tr>
        <w:tc>
          <w:tcPr>
            <w:tcW w:type="dxa" w:w="4802"/>
          </w:tcPr>
          <w:p>
            <w:pPr>
              <w:jc w:val="center"/>
            </w:pPr>
            <w:r>
              <w:rPr>
                <w:rFonts w:ascii="Calibri" w:hAnsi="Calibri"/>
                <w:sz w:val="19"/>
              </w:rPr>
              <w:t>Disiapkan &amp; Diajukan Oleh:</w:t>
              <w:br/>
              <w:t>Lead System Owner &amp; Technical In-Charge</w:t>
              <w:br/>
              <w:br/>
              <w:br/>
              <w:br/>
              <w:br/>
              <w:br/>
            </w:r>
            <w:r>
              <w:rPr>
                <w:rFonts w:ascii="Calibri" w:hAnsi="Calibri"/>
                <w:b/>
                <w:color w:val="002060"/>
                <w:sz w:val="21"/>
              </w:rPr>
              <w:t>LATOM</w:t>
              <w:br/>
            </w:r>
            <w:r>
              <w:t>PT LiuGong Finance Indonesia</w:t>
            </w:r>
          </w:p>
        </w:tc>
        <w:tc>
          <w:tcPr>
            <w:tcW w:type="dxa" w:w="4802"/>
          </w:tcPr>
          <w:p>
            <w:pPr>
              <w:jc w:val="center"/>
            </w:pPr>
            <w:r>
              <w:rPr>
                <w:rFonts w:ascii="Calibri" w:hAnsi="Calibri"/>
                <w:sz w:val="19"/>
              </w:rPr>
              <w:t>Ditelaah &amp; Disetujui Oleh:</w:t>
              <w:br/>
              <w:t>Presiden Direktur</w:t>
              <w:br/>
              <w:br/>
              <w:br/>
              <w:br/>
              <w:br/>
              <w:br/>
            </w:r>
            <w:r>
              <w:rPr>
                <w:rFonts w:ascii="Calibri" w:hAnsi="Calibri"/>
                <w:b/>
                <w:color w:val="002060"/>
                <w:sz w:val="21"/>
              </w:rPr>
              <w:t>PRESIDEN DIREKTUR</w:t>
              <w:br/>
            </w:r>
            <w:r>
              <w:t>PT LiuGong Finance Indonesia</w:t>
            </w:r>
          </w:p>
        </w:tc>
      </w:tr>
    </w:tbl>
    <w:sectPr w:rsidR="00FC693F" w:rsidRPr="0006063C" w:rsidSect="00034616">
      <w:headerReference w:type="default" r:id="rId9"/>
      <w:footerReference w:type="default" r:id="rId10"/>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828C"/>
        <w:sz w:val="17"/>
      </w:rPr>
      <w:t>Dokumen Spesifikasi Bisnis &amp; Panduan Eksekutif Direksi  •  Confidential / Hak Milik Perusahaan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PT LIUGONG FINANCE INDONESIA  |  LOAN ORIGINATION SYSTEM &amp; CRM (LOS-CRM)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