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2286000" cy="695901"/>
            <wp:docPr id="1" name="Picture 1"/>
            <wp:cNvGraphicFramePr>
              <a:graphicFrameLocks noChangeAspect="1"/>
            </wp:cNvGraphicFramePr>
            <a:graphic>
              <a:graphicData uri="http://schemas.openxmlformats.org/drawingml/2006/picture">
                <pic:pic>
                  <pic:nvPicPr>
                    <pic:cNvPr id="0" name="image2.jpg"/>
                    <pic:cNvPicPr/>
                  </pic:nvPicPr>
                  <pic:blipFill>
                    <a:blip r:embed="rId9"/>
                    <a:stretch>
                      <a:fillRect/>
                    </a:stretch>
                  </pic:blipFill>
                  <pic:spPr>
                    <a:xfrm>
                      <a:off x="0" y="0"/>
                      <a:ext cx="2286000" cy="695901"/>
                    </a:xfrm>
                    <a:prstGeom prst="rect"/>
                  </pic:spPr>
                </pic:pic>
              </a:graphicData>
            </a:graphic>
          </wp:inline>
        </w:drawing>
      </w:r>
    </w:p>
    <w:p>
      <w:pPr>
        <w:spacing w:before="80" w:after="40"/>
      </w:pPr>
      <w:r>
        <w:rPr>
          <w:rFonts w:ascii="Calibri" w:hAnsi="Calibri"/>
          <w:b/>
          <w:color w:val="002060"/>
          <w:sz w:val="44"/>
        </w:rPr>
        <w:t>PROPOSAL SPESIFIKASI BISNIS &amp; ROADMAP SISTEM</w:t>
      </w:r>
    </w:p>
    <w:p>
      <w:pPr>
        <w:spacing w:after="240"/>
      </w:pPr>
      <w:r>
        <w:rPr>
          <w:rFonts w:ascii="Calibri" w:hAnsi="Calibri"/>
          <w:b/>
          <w:color w:val="ED7D31"/>
          <w:sz w:val="22"/>
        </w:rPr>
        <w:t>ORIGINATION WORKSPACE &amp; CRM PLATFORM (LOS-CRM) · PT LIUGONG FINANCE INDONESIA</w:t>
      </w:r>
    </w:p>
    <w:tbl>
      <w:tblPr>
        <w:tblW w:type="auto" w:w="0"/>
        <w:jc w:val="center"/>
        <w:tblLayout w:type="fixed"/>
        <w:tblLook w:firstColumn="1" w:firstRow="1" w:lastColumn="0" w:lastRow="0" w:noHBand="0" w:noVBand="1" w:val="04A0"/>
      </w:tblPr>
      <w:tblGrid>
        <w:gridCol w:w="9792"/>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RINGKASAN STRATEGIS DIREKSI</w:t>
              <w:br/>
            </w:r>
            <w:r>
              <w:rPr>
                <w:rFonts w:ascii="Calibri" w:hAnsi="Calibri"/>
                <w:color w:val="283241"/>
                <w:sz w:val="20"/>
              </w:rPr>
              <w:t>DOKUMEN PRESENTASI EKSEKUTIF UNTUK PRESIDEN DIREKTUR:</w:t>
              <w:br/>
              <w:t>Dokumen ini membedah Roadmap Strategis Pengembangan Sistem 2026–2027 dengan fokus utama pada rilis Q4 2026 (FAP STAGE: Customer &amp; PIC hingga Stakeholders + Tab Dokumen). Dilengkapi rincian operasional input data oleh tim Marketing, integrasi OCR NIB OSS RBA, Digital Twin Excel 118-baris, validasi saham 100%, serta gambaran umum fase lanjutan 2027.</w:t>
            </w:r>
          </w:p>
        </w:tc>
      </w:tr>
    </w:tbl>
    <w:p>
      <w:pPr>
        <w:spacing w:after="80"/>
      </w:pPr>
    </w:p>
    <w:tbl>
      <w:tblPr>
        <w:tblW w:type="auto" w:w="0"/>
        <w:jc w:val="center"/>
        <w:tblLayout w:type="fixed"/>
        <w:tblLook w:firstColumn="1" w:firstRow="1" w:lastColumn="0" w:lastRow="0" w:noHBand="0" w:noVBand="1" w:val="04A0"/>
        <w:tblBorders>
          <w:top w:val="single" w:sz="4" w:space="0" w:color="B0C4DE"/>
          <w:bottom w:val="single" w:sz="4" w:space="0" w:color="B0C4DE"/>
          <w:insideH w:val="single" w:sz="4" w:space="0" w:color="B0C4DE"/>
          <w:insideV w:val="none"/>
          <w:left w:val="none"/>
          <w:right w:val="none"/>
        </w:tblBorders>
      </w:tblPr>
      <w:tblGrid>
        <w:gridCol w:w="4896"/>
        <w:gridCol w:w="4896"/>
      </w:tblGrid>
      <w:tr>
        <w:tc>
          <w:tcPr>
            <w:tcW w:type="dxa" w:w="3168"/>
            <w:tcMar>
              <w:top w:w="60" w:type="dxa"/>
              <w:bottom w:w="60" w:type="dxa"/>
              <w:left w:w="100" w:type="dxa"/>
              <w:right w:w="100" w:type="dxa"/>
            </w:tcMar>
            <w:shd w:fill="F0F4F8"/>
          </w:tcPr>
          <w:p>
            <w:pPr>
              <w:spacing w:after="40"/>
            </w:pPr>
            <w:r>
              <w:rPr>
                <w:rFonts w:ascii="Calibri" w:hAnsi="Calibri"/>
                <w:b/>
                <w:color w:val="002060"/>
                <w:sz w:val="19"/>
              </w:rPr>
              <w:t>Nama Inisiatif</w:t>
            </w:r>
          </w:p>
        </w:tc>
        <w:tc>
          <w:tcPr>
            <w:tcW w:type="dxa" w:w="6192"/>
            <w:tcMar>
              <w:top w:w="60" w:type="dxa"/>
              <w:bottom w:w="60" w:type="dxa"/>
              <w:left w:w="100" w:type="dxa"/>
              <w:right w:w="100" w:type="dxa"/>
            </w:tcMar>
          </w:tcPr>
          <w:p>
            <w:pPr>
              <w:spacing w:after="40"/>
            </w:pPr>
            <w:r>
              <w:rPr>
                <w:rFonts w:ascii="Calibri" w:hAnsi="Calibri"/>
                <w:color w:val="28323C"/>
                <w:sz w:val="19"/>
              </w:rPr>
              <w:t>LiuGong Finance Origination &amp; Customer Relationship Management (LOS-CRM)</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Sponsor Proyek</w:t>
            </w:r>
          </w:p>
        </w:tc>
        <w:tc>
          <w:tcPr>
            <w:tcW w:type="dxa" w:w="6192"/>
            <w:tcMar>
              <w:top w:w="60" w:type="dxa"/>
              <w:bottom w:w="60" w:type="dxa"/>
              <w:left w:w="100" w:type="dxa"/>
              <w:right w:w="100" w:type="dxa"/>
            </w:tcMar>
          </w:tcPr>
          <w:p>
            <w:pPr>
              <w:spacing w:after="40"/>
            </w:pPr>
            <w:r>
              <w:rPr>
                <w:rFonts w:ascii="Calibri" w:hAnsi="Calibri"/>
                <w:color w:val="28323C"/>
                <w:sz w:val="19"/>
              </w:rPr>
              <w:t>Presiden Direktur · PT LiuGong Finance Indonesia</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Lead System Owner</w:t>
            </w:r>
          </w:p>
        </w:tc>
        <w:tc>
          <w:tcPr>
            <w:tcW w:type="dxa" w:w="6192"/>
            <w:tcMar>
              <w:top w:w="60" w:type="dxa"/>
              <w:bottom w:w="60" w:type="dxa"/>
              <w:left w:w="100" w:type="dxa"/>
              <w:right w:w="100" w:type="dxa"/>
            </w:tcMar>
          </w:tcPr>
          <w:p>
            <w:pPr>
              <w:spacing w:after="40"/>
            </w:pPr>
            <w:r>
              <w:rPr>
                <w:rFonts w:ascii="Calibri" w:hAnsi="Calibri"/>
                <w:color w:val="28323C"/>
                <w:sz w:val="19"/>
              </w:rPr>
              <w:t>Latom (CTO &amp; Head of Digital Transformation)</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Target Rilis Q4 2026</w:t>
            </w:r>
          </w:p>
        </w:tc>
        <w:tc>
          <w:tcPr>
            <w:tcW w:type="dxa" w:w="6192"/>
            <w:tcMar>
              <w:top w:w="60" w:type="dxa"/>
              <w:bottom w:w="60" w:type="dxa"/>
              <w:left w:w="100" w:type="dxa"/>
              <w:right w:w="100" w:type="dxa"/>
            </w:tcMar>
          </w:tcPr>
          <w:p>
            <w:pPr>
              <w:spacing w:after="40"/>
            </w:pPr>
            <w:r>
              <w:rPr>
                <w:rFonts w:ascii="Calibri" w:hAnsi="Calibri"/>
                <w:color w:val="28323C"/>
                <w:sz w:val="19"/>
              </w:rPr>
              <w:t>FAP Stage (Customer &amp; PIC, Legal, Stakeholders, Tab Documents 13 Checklist)</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Horizon Roadmap 2027</w:t>
            </w:r>
          </w:p>
        </w:tc>
        <w:tc>
          <w:tcPr>
            <w:tcW w:type="dxa" w:w="6192"/>
            <w:tcMar>
              <w:top w:w="60" w:type="dxa"/>
              <w:bottom w:w="60" w:type="dxa"/>
              <w:left w:w="100" w:type="dxa"/>
              <w:right w:w="100" w:type="dxa"/>
            </w:tcMar>
          </w:tcPr>
          <w:p>
            <w:pPr>
              <w:spacing w:after="40"/>
            </w:pPr>
            <w:r>
              <w:rPr>
                <w:rFonts w:ascii="Calibri" w:hAnsi="Calibri"/>
                <w:color w:val="28323C"/>
                <w:sz w:val="19"/>
              </w:rPr>
              <w:t>Q1: Pre-Analysis &amp; Pefindo OCR | Q2: ICLF &amp; CDE Financial | Q3: CDE Bank Statement | Q4: Proposal Final</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Status Kompilasi &amp; QA</w:t>
            </w:r>
          </w:p>
        </w:tc>
        <w:tc>
          <w:tcPr>
            <w:tcW w:type="dxa" w:w="6192"/>
            <w:tcMar>
              <w:top w:w="60" w:type="dxa"/>
              <w:bottom w:w="60" w:type="dxa"/>
              <w:left w:w="100" w:type="dxa"/>
              <w:right w:w="100" w:type="dxa"/>
            </w:tcMar>
          </w:tcPr>
          <w:p>
            <w:pPr>
              <w:spacing w:after="40"/>
            </w:pPr>
            <w:r>
              <w:rPr>
                <w:rFonts w:ascii="Calibri" w:hAnsi="Calibri"/>
                <w:color w:val="28323C"/>
                <w:sz w:val="19"/>
              </w:rPr>
              <w:t>Production Ready · 27/27 Test Suites PASS · 0 Console Error</w:t>
            </w:r>
          </w:p>
        </w:tc>
      </w:tr>
    </w:tbl>
    <w:p>
      <w:r>
        <w:br w:type="page"/>
      </w:r>
    </w:p>
    <w:p>
      <w:pPr>
        <w:spacing w:before="160" w:after="80"/>
      </w:pPr>
      <w:r>
        <w:rPr>
          <w:rFonts w:ascii="Calibri" w:hAnsi="Calibri"/>
          <w:b/>
          <w:color w:val="002060"/>
          <w:sz w:val="30"/>
        </w:rPr>
        <w:t>BAB 1: ROADMAP STRATEGIS PENGEMBANGAN SISTEM (2026 – 2027)</w:t>
      </w:r>
    </w:p>
    <w:p>
      <w:pPr>
        <w:spacing w:line="276" w:lineRule="auto" w:after="160"/>
      </w:pPr>
      <w:r>
        <w:t>Untuk memastikan kehati-hatian perbankan (prudential financing) dan kesiapan adopsi di lapangan, transformasi sistem LOS-CRM LiuGong dibagi ke dalam 5 kuartal strategis yang terukur: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64"/>
        <w:gridCol w:w="3264"/>
        <w:gridCol w:w="3264"/>
      </w:tblGrid>
      <w:tr>
        <w:tc>
          <w:tcPr>
            <w:tcW w:type="dxa" w:w="2016"/>
            <w:shd w:fill="002060"/>
            <w:tcMar>
              <w:top w:w="60" w:type="dxa"/>
              <w:bottom w:w="60" w:type="dxa"/>
              <w:left w:w="80" w:type="dxa"/>
              <w:right w:w="80" w:type="dxa"/>
            </w:tcMar>
          </w:tcPr>
          <w:p>
            <w:r>
              <w:rPr>
                <w:rFonts w:ascii="Calibri" w:hAnsi="Calibri"/>
                <w:b/>
                <w:color w:val="FFFFFF"/>
                <w:sz w:val="19"/>
              </w:rPr>
              <w:t>Periode Rilis</w:t>
            </w:r>
          </w:p>
        </w:tc>
        <w:tc>
          <w:tcPr>
            <w:tcW w:type="dxa" w:w="3600"/>
            <w:shd w:fill="002060"/>
            <w:tcMar>
              <w:top w:w="60" w:type="dxa"/>
              <w:bottom w:w="60" w:type="dxa"/>
              <w:left w:w="80" w:type="dxa"/>
              <w:right w:w="80" w:type="dxa"/>
            </w:tcMar>
          </w:tcPr>
          <w:p>
            <w:r>
              <w:rPr>
                <w:rFonts w:ascii="Calibri" w:hAnsi="Calibri"/>
                <w:b/>
                <w:color w:val="FFFFFF"/>
                <w:sz w:val="19"/>
              </w:rPr>
              <w:t>Modul &amp; Fitur Kunci</w:t>
            </w:r>
          </w:p>
        </w:tc>
        <w:tc>
          <w:tcPr>
            <w:tcW w:type="dxa" w:w="3744"/>
            <w:shd w:fill="002060"/>
            <w:tcMar>
              <w:top w:w="60" w:type="dxa"/>
              <w:bottom w:w="60" w:type="dxa"/>
              <w:left w:w="80" w:type="dxa"/>
              <w:right w:w="80" w:type="dxa"/>
            </w:tcMar>
          </w:tcPr>
          <w:p>
            <w:r>
              <w:rPr>
                <w:rFonts w:ascii="Calibri" w:hAnsi="Calibri"/>
                <w:b/>
                <w:color w:val="FFFFFF"/>
                <w:sz w:val="19"/>
              </w:rPr>
              <w:t>Sasaran Strategis &amp; Nilai Bisnis</w:t>
            </w:r>
          </w:p>
        </w:tc>
      </w:tr>
      <w:tr>
        <w:tc>
          <w:tcPr>
            <w:tcW w:type="dxa" w:w="2016"/>
            <w:tcMar>
              <w:top w:w="50" w:type="dxa"/>
              <w:bottom w:w="50" w:type="dxa"/>
              <w:left w:w="80" w:type="dxa"/>
              <w:right w:w="80" w:type="dxa"/>
            </w:tcMar>
            <w:shd w:fill="EFF6FF"/>
          </w:tcPr>
          <w:p>
            <w:pPr>
              <w:spacing w:line="276" w:lineRule="auto" w:after="40"/>
            </w:pPr>
            <w:r>
              <w:rPr>
                <w:rFonts w:ascii="Calibri" w:hAnsi="Calibri"/>
                <w:b/>
                <w:color w:val="002060"/>
                <w:sz w:val="17"/>
              </w:rPr>
              <w:t>Q4 2026</w:t>
              <w:br/>
              <w:t>(FOKUS UTAMA)</w:t>
            </w:r>
          </w:p>
        </w:tc>
        <w:tc>
          <w:tcPr>
            <w:tcW w:type="dxa" w:w="3600"/>
            <w:tcMar>
              <w:top w:w="50" w:type="dxa"/>
              <w:bottom w:w="50" w:type="dxa"/>
              <w:left w:w="80" w:type="dxa"/>
              <w:right w:w="80" w:type="dxa"/>
            </w:tcMar>
            <w:shd w:fill="EFF6FF"/>
          </w:tcPr>
          <w:p>
            <w:pPr>
              <w:spacing w:line="276" w:lineRule="auto" w:after="40"/>
            </w:pPr>
            <w:r>
              <w:rPr>
                <w:rFonts w:ascii="Calibri" w:hAnsi="Calibri"/>
                <w:color w:val="28323C"/>
                <w:sz w:val="17"/>
              </w:rPr>
              <w:t>• FAP STAGE RELEASE:</w:t>
              <w:br/>
              <w:t xml:space="preserve">  - Customer &amp; PIC (5 Modul Accordion)</w:t>
              <w:br/>
              <w:t xml:space="preserve">  - Legal Deeds (Akta &amp; SK Menkumham)</w:t>
              <w:br/>
              <w:t xml:space="preserve">  - Stakeholders (Susunan Pengurus &amp; Saham)</w:t>
              <w:br/>
              <w:t xml:space="preserve">  - Documents Tab (13 Checklist Berkas)</w:t>
              <w:br/>
              <w:t xml:space="preserve">  - Live Excel Mirror 118-Baris &amp; OCR NIB</w:t>
            </w:r>
          </w:p>
        </w:tc>
        <w:tc>
          <w:tcPr>
            <w:tcW w:type="dxa" w:w="3744"/>
            <w:tcMar>
              <w:top w:w="50" w:type="dxa"/>
              <w:bottom w:w="50" w:type="dxa"/>
              <w:left w:w="80" w:type="dxa"/>
              <w:right w:w="80" w:type="dxa"/>
            </w:tcMar>
            <w:shd w:fill="EFF6FF"/>
          </w:tcPr>
          <w:p>
            <w:pPr>
              <w:spacing w:line="276" w:lineRule="auto" w:after="40"/>
            </w:pPr>
            <w:r>
              <w:rPr>
                <w:rFonts w:ascii="Calibri" w:hAnsi="Calibri"/>
                <w:color w:val="28323C"/>
                <w:sz w:val="17"/>
              </w:rPr>
              <w:t>Standarisasi onboarding nasabah, peniadaan typo data legalitas via OCR NIB, validasi kepemilikan modal mutlak 100%, serta sentralisasi berkas digital.</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Q1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PRE-ANALYSIS + INTEGRASI PEFINDO OCR:</w:t>
              <w:br/>
              <w:t xml:space="preserve">  - Early Risk Screening (Go / Review / No-Go)</w:t>
              <w:br/>
              <w:t xml:space="preserve">  - Pefindo Credit Score &amp; Ingestion Bridge</w:t>
              <w:br/>
              <w:t xml:space="preserve">  - OCR NPWP &amp; SPT Tahunan Langsung Mengisi Financial Statements</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Penyaringan dini debitur berisiko tinggi. Ekstraksi otomatis laporan keuangan dari dokumen pajak tanpa pengetikan manual oleh analis.</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Q2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ICLF + CDE (FINANCIAL):</w:t>
              <w:br/>
              <w:t xml:space="preserve">  - Initial Credit Limit Facility (BMPP OJK)</w:t>
              <w:br/>
              <w:t xml:space="preserve">  - Credit Decision Engine (CDE) Phase 1</w:t>
              <w:br/>
              <w:t xml:space="preserve">  - Analisis Rasio Likuiditas &amp; Solvabilitas Otomatis</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Penetapan pagu batas atas kredit debitur tunggal/grup usaha dan kalkulasi kesehatan neraca secara komputasi otomatis.</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Q3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CDE (BANK STATEMENT) PHASE 2:</w:t>
              <w:br/>
              <w:t xml:space="preserve">  - Parser Mutasi Rekening Koran Bank Otomatis</w:t>
              <w:br/>
              <w:t xml:space="preserve">  - Analisis Saldo Mengendap &amp; Cashflow Riil</w:t>
              <w:br/>
              <w:t xml:space="preserve">  - Deteksi Cek Kosong &amp; Transaksi Anomali</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Mengetahui kapasitas angsuran riil debitur dari rekam jejak mutasi bank operasional 3–6 bulan secara objektif.</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Q4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PROPOSAL PEMBIAYAAN FINAL:</w:t>
              <w:br/>
              <w:t xml:space="preserve">  - Inventaris Unit Alat Berat LiuGong</w:t>
              <w:br/>
              <w:t xml:space="preserve">  - Anuitas Bunga Efektif Menurun Resmi</w:t>
              <w:br/>
              <w:t xml:space="preserve">  - Dossier Komprehensif Siap Sidang</w:t>
              <w:br/>
              <w:t xml:space="preserve">  - Persetujuan Komite Kredit Digital</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Siklus kredit penuh selesai (end-to-end). Penerbitan SPPK otomatis dan pencairan unit alat berat LiuGong ke pelanggan.</w:t>
            </w:r>
          </w:p>
        </w:tc>
      </w:tr>
    </w:tbl>
    <w:p>
      <w:pPr>
        <w:spacing w:after="120"/>
      </w:pPr>
    </w:p>
    <w:p>
      <w:pPr>
        <w:spacing w:before="160" w:after="60"/>
        <w:jc w:val="center"/>
      </w:pPr>
      <w:r>
        <w:drawing>
          <wp:inline xmlns:a="http://schemas.openxmlformats.org/drawingml/2006/main" xmlns:pic="http://schemas.openxmlformats.org/drawingml/2006/picture">
            <wp:extent cx="5669280" cy="1852809"/>
            <wp:docPr id="2" name="Picture 2"/>
            <wp:cNvGraphicFramePr>
              <a:graphicFrameLocks noChangeAspect="1"/>
            </wp:cNvGraphicFramePr>
            <a:graphic>
              <a:graphicData uri="http://schemas.openxmlformats.org/drawingml/2006/picture">
                <pic:pic>
                  <pic:nvPicPr>
                    <pic:cNvPr id="0" name="diagram_pipa_strategis_4_tahap.png"/>
                    <pic:cNvPicPr/>
                  </pic:nvPicPr>
                  <pic:blipFill>
                    <a:blip r:embed="rId10"/>
                    <a:stretch>
                      <a:fillRect/>
                    </a:stretch>
                  </pic:blipFill>
                  <pic:spPr>
                    <a:xfrm>
                      <a:off x="0" y="0"/>
                      <a:ext cx="5669280" cy="1852809"/>
                    </a:xfrm>
                    <a:prstGeom prst="rect"/>
                  </pic:spPr>
                </pic:pic>
              </a:graphicData>
            </a:graphic>
          </wp:inline>
        </w:drawing>
      </w:r>
    </w:p>
    <w:p>
      <w:pPr>
        <w:spacing w:after="160"/>
        <w:jc w:val="center"/>
      </w:pPr>
      <w:r>
        <w:rPr>
          <w:rFonts w:ascii="Calibri" w:hAnsi="Calibri"/>
          <w:i/>
          <w:color w:val="64748B"/>
          <w:sz w:val="19"/>
        </w:rPr>
        <w:t>Gambar: Diagram Arsitektur Pipa Pembiayaan 4-Tahap &amp; Interkoneksi Pefindo OCR</w:t>
      </w:r>
    </w:p>
    <w:p>
      <w:r>
        <w:br w:type="page"/>
      </w:r>
    </w:p>
    <w:p>
      <w:pPr>
        <w:spacing w:before="160" w:after="80"/>
      </w:pPr>
      <w:r>
        <w:rPr>
          <w:rFonts w:ascii="Calibri" w:hAnsi="Calibri"/>
          <w:b/>
          <w:color w:val="002060"/>
          <w:sz w:val="30"/>
        </w:rPr>
        <w:t>BAB 2: PROSES DETAIL FAP STAGE DARI SISI MARKETING (RILIS Q4 2026)</w:t>
      </w:r>
    </w:p>
    <w:p>
      <w:pPr>
        <w:spacing w:line="276" w:lineRule="auto" w:after="120"/>
      </w:pPr>
      <w:r>
        <w:t>Pada rilis Q4 2026, fokus implementasi difokuskan penuh pada FAP STAGE. Di tahap ini, staf Marketing (MKT) di cabang bertindak sebagai garda terdepan penginputan data. Seluruh alur dirancang secara ergonomis ke dalam 4 Tab Berurutan (Customer &amp; PIC, Legal, Stakeholders, dan Documents) yang dilengkapi otomatisasi AI dan live visual mirror:</w:t>
      </w:r>
    </w:p>
    <w:p>
      <w:pPr>
        <w:spacing w:before="160" w:after="6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fap_stage_tabs_with_document.png"/>
                    <pic:cNvPicPr/>
                  </pic:nvPicPr>
                  <pic:blipFill>
                    <a:blip r:embed="rId11"/>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Tampilan Workspace FAP Stage Aktif Menampilkan 4 Tab Terstruktur Lengkap dengan Tab Dokumen (Live System)</w:t>
      </w:r>
    </w:p>
    <w:p>
      <w:pPr>
        <w:spacing w:before="160" w:after="40"/>
      </w:pPr>
      <w:r>
        <w:rPr>
          <w:rFonts w:ascii="Calibri" w:hAnsi="Calibri"/>
          <w:b/>
          <w:color w:val="ED7D31"/>
          <w:sz w:val="24"/>
        </w:rPr>
        <w:t>2.1. Tab 1: Customer &amp; PIC (5 Modul Accordion &amp; Digital Twin Excel 118-Baris)</w:t>
      </w:r>
    </w:p>
    <w:p>
      <w:pPr>
        <w:spacing w:line="276" w:lineRule="auto" w:after="80"/>
      </w:pPr>
      <w:r>
        <w:t>Untuk mencegah kelelahan pengguna (form fatigue) akibat lebih dari 35 field isian, formulir kiri dibagi ke dalam 5 modul kartu accordion bernomor:</w:t>
        <w:br/>
        <w:t>1. Modul 01 - Identitas &amp; Klasifikasi Debitur: Marketing memilih Kategori Nasabah (Customer Baru / Existing), Tipe Debitur (Corporate / Commercial / Micro), Kantor Cabang LiuGong (JKT01, SBY01, BPN01, PLB01, MDN01), serta Tanggal Permohonan.</w:t>
        <w:br/>
        <w:t>2. Modul 02 - Kantor Registrasi &amp; Domisili Perusahaan: Marketing memasukkan Nama Resmi Perusahaan, Alamat Kantor Pusat, Kota, Provinsi, Kode Pos, serta Nomor Telepon/Fax. Pada field NIB (Nomor Induk Berusaha), tersedia tombol 'Scan OCR NIB' yang otomatis mengekstrak dokumen OSS RBA BKPM.</w:t>
        <w:br/>
        <w:t>3. Modul 03 - Profil Usaha &amp; Legalitas Awal: Pengisian Bisnis Utama (KBLI Sektor Tambang/Konstruksi/Sawit), Pengalaman Usaha (Tahun &amp; Bulan), NPWP Badan Usaha (15/16 digit), serta No &amp; Tanggal Akta Pendirian.</w:t>
        <w:br/>
        <w:t>4. Modul 04 - Kontak Utama / Penanggung Jawab (PIC): Nama Lengkap PIC Pengadaan, Jabatan Formal (Direktur/Procurement), Alamat Domisili PIC, Nomor WhatsApp aktif, dan Email kantor resmi.</w:t>
        <w:br/>
        <w:t>5. Modul 05 - Segmentasi Industri &amp; Proyek Berjalan: Pemilihan sektor industri alat berat serta deskripsi kontrak kerja yang sedang dikerjakan debitur (pemberi kerja/bouwheer, lokasi tambang/konstruksi, durasi kontrak).</w:t>
        <w:br/>
        <w:br/>
        <w:t>Fitur Digital Twin Live Excel: Pada kolom kanan, terpampang replika presisi formulir Excel resmi (FAP-Document_APPROVED_v01.2025.xlsx). Setiap karakter yang diketik oleh Marketing langsung terproyeksi ke lembar kanan secara real-time, lengkap dengan tombol navigasi Auto-Sync Focus (1. Identitas s/d 5. Proyek).</w:t>
      </w:r>
    </w:p>
    <w:p>
      <w:pPr>
        <w:spacing w:before="16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3_workspace_split_50_50.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Dual-Pane Split Workspace 50-50: Form Input Accordion Kiri dan Live Digital Twin Excel FAP Kanan (Live System)</w:t>
      </w:r>
    </w:p>
    <w:p>
      <w:pPr>
        <w:spacing w:before="16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4_nib_ocr_modal.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Fitur Modal Scan OCR Dokumen NIB OSS RBA dengan Ekstraksi 5 Parameter Kunci Otomatis (Live System)</w:t>
      </w:r>
    </w:p>
    <w:p>
      <w:pPr>
        <w:spacing w:before="160" w:after="40"/>
      </w:pPr>
      <w:r>
        <w:rPr>
          <w:rFonts w:ascii="Calibri" w:hAnsi="Calibri"/>
          <w:b/>
          <w:color w:val="ED7D31"/>
          <w:sz w:val="24"/>
        </w:rPr>
        <w:t>2.2. Tab 2: Legal Deeds (Akta Pendirian, Akta Perubahan &amp; SK Kemenkumham)</w:t>
      </w:r>
    </w:p>
    <w:p>
      <w:pPr>
        <w:spacing w:line="276" w:lineRule="auto" w:after="80"/>
      </w:pPr>
      <w:r>
        <w:t>Di tab Legal, Marketing mendokumentasikan riwayat legalitas yuridis perusahaan debitur:</w:t>
        <w:br/>
        <w:t>• Akta Pendirian Utama: Nomor Akta Notaris, Tanggal Akta, Nama Notaris, serta Nomor &amp; Tanggal SK Menkumham Pendirian.</w:t>
        <w:br/>
        <w:t>• Akta Perubahan Terakhir: Nomor Akta, Tanggal Akta, serta Nomor &amp; Tanggal SK Menkumham Perubahan.</w:t>
        <w:br/>
        <w:t>• Kategori Remarks Perubahan: Memilih chip kategori klausul yang diubah (Susunan Pemegang Saham, Pengurus Direksi/Komisaris, Modal Dasar/Disetor, atau Maksud &amp; Tujuan Anggaran Dasar).</w:t>
        <w:br/>
        <w:t>• Editor TinyMCE Catatan Akta: Dilengkapi teks editor kaya dengan penomoran otomatis berurutan (continuous numbered list) untuk mencatat ringkasan isi akta tanpa terputus.</w:t>
        <w:br/>
        <w:t>• Segmentasi Tabel Cerdas: Sistem memisahkan antara 'Akta Aktif &amp; Rujukan Terkini' di tabel atas dan 'Riwayat Akta Lama (Historical)' di tabel bawah.</w:t>
      </w:r>
    </w:p>
    <w:p>
      <w:pPr>
        <w:spacing w:before="160" w:after="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tab_2_legal.png"/>
                    <pic:cNvPicPr/>
                  </pic:nvPicPr>
                  <pic:blipFill>
                    <a:blip r:embed="rId14"/>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Manajemen Akta Legalitas: Tabel Akta Aktif Rujukan Terkini dan Riwayat Akta Historis (Live System)</w:t>
      </w:r>
    </w:p>
    <w:p>
      <w:pPr>
        <w:spacing w:before="160" w:after="40"/>
      </w:pPr>
      <w:r>
        <w:rPr>
          <w:rFonts w:ascii="Calibri" w:hAnsi="Calibri"/>
          <w:b/>
          <w:color w:val="ED7D31"/>
          <w:sz w:val="24"/>
        </w:rPr>
        <w:t>2.3. Tab 3: Stakeholders (Susunan Pengurus, Pemegang Saham &amp; Validasi Modal 100%)</w:t>
      </w:r>
    </w:p>
    <w:p>
      <w:pPr>
        <w:spacing w:line="276" w:lineRule="auto" w:after="80"/>
      </w:pPr>
      <w:r>
        <w:t>Di tab Stakeholders, Marketing memasukkan susunan jajaran manajemen dan struktur kepemilikan modal perseroan:</w:t>
        <w:br/>
        <w:t>• Klasifikasi Pemilik: Perorangan WNI (NIK e-KTP 16 digit), Perorangan Asing / Expatriat (Paspor &amp; E-KITAS), atau Badan Usaha (NPWP Badan).</w:t>
        <w:br/>
        <w:t>• Jabatan Formal: Direktur Utama, Direktur, Komisaris Utama, Komisaris, atau Pemegang Saham Murni.</w:t>
        <w:br/>
        <w:t>• Komposisi Saham: Jumlah lembar saham dan nilai nominal per lembar saham.</w:t>
        <w:br/>
        <w:t>• Validasi Keras Mutlak 100% (Hard Gate Invariant): Total persentase seluruh pemegang saham WAJIB tepat 100.00%. Apabila total persentase saham kurang (misal 99.8%) atau lebih (misal 101%), tombol pengajuan terkunci secara otomatis dan sistem memunculkan indikator peringatan merah. Hal ini menjamin integritas hukum kepemilikan modal sejak detik pertama.</w:t>
      </w:r>
    </w:p>
    <w:p>
      <w:pPr>
        <w:spacing w:before="160" w:after="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tab_3_stakeholders.png"/>
                    <pic:cNvPicPr/>
                  </pic:nvPicPr>
                  <pic:blipFill>
                    <a:blip r:embed="rId15"/>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Struktur Pemegang Saham &amp; Jajaran Pengurus dengan Validasi Keras Kepemilikan Modal 100% (Live System)</w:t>
      </w:r>
    </w:p>
    <w:p>
      <w:pPr>
        <w:spacing w:before="160" w:after="40"/>
      </w:pPr>
      <w:r>
        <w:rPr>
          <w:rFonts w:ascii="Calibri" w:hAnsi="Calibri"/>
          <w:b/>
          <w:color w:val="ED7D31"/>
          <w:sz w:val="24"/>
        </w:rPr>
        <w:t>2.4. Tab 4: Documents (Checklist 13 Berkas Wajib &amp; Repositori Digital)</w:t>
      </w:r>
    </w:p>
    <w:p>
      <w:pPr>
        <w:spacing w:line="276" w:lineRule="auto" w:after="80"/>
      </w:pPr>
      <w:r>
        <w:t>Sesuai arahan Direksi, Tab Dokumen kini dihadirkan secara penuh pada FAP Stage untuk memastikan seluruh berkas persyaratan terhimpun rapi:</w:t>
        <w:br/>
        <w:t>• Checklist 13 Dokumen Wajib:</w:t>
        <w:br/>
        <w:t xml:space="preserve">  1. KTP Pengurus (Direksi &amp; Komisaris)</w:t>
        <w:br/>
        <w:t xml:space="preserve">  2. NPWP Perusahaan &amp; Pengurus</w:t>
        <w:br/>
        <w:t xml:space="preserve">  3. NIB (Nomor Induk Berusaha) OSS BKPM</w:t>
        <w:br/>
        <w:t xml:space="preserve">  4. Akta Pendirian Perusahaan + SK Kemenkumham</w:t>
        <w:br/>
        <w:t xml:space="preserve">  5. Akta Perubahan Terakhir + SK Kemenkumham</w:t>
        <w:br/>
        <w:t xml:space="preserve">  6. Rekening Koran Operasional (3–6 Bulan Terakhir)</w:t>
        <w:br/>
        <w:t xml:space="preserve">  7. Laporan Keuangan Neraca &amp; Laba Rugi</w:t>
        <w:br/>
        <w:t xml:space="preserve">  8. SPT Tahunan Pajak Badan</w:t>
        <w:br/>
        <w:t xml:space="preserve">  9. Profil Perusahaan (Company Profile)</w:t>
        <w:br/>
        <w:t xml:space="preserve">  10. Kontrak Kerja / SPK Proyek Berjalan</w:t>
        <w:br/>
        <w:t xml:space="preserve">  11. Izin Usaha Sektoral (IUJP/IUP Khusus Tambang)</w:t>
        <w:br/>
        <w:t xml:space="preserve">  12. Formulir Aplikasi Pembiayaan (FAP) Bertandatangan Basah &amp; Cap</w:t>
        <w:br/>
        <w:t xml:space="preserve">  13. Surat Persetujuan Pengecekan Pefindo Biro Kredit</w:t>
        <w:br/>
        <w:t>• Pengunggahan &amp; Verifikasi Berkas: Setiap item dilengkapi tombol upload berkas (PDF / JPG), indikator status (Verified / Pending), serta counter badge 'Documents (13)' di header tab.</w:t>
      </w:r>
    </w:p>
    <w:p>
      <w:pPr>
        <w:spacing w:before="160" w:after="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fap_stage_tab_document_view.png"/>
                    <pic:cNvPicPr/>
                  </pic:nvPicPr>
                  <pic:blipFill>
                    <a:blip r:embed="rId16"/>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Pusat Verifikasi Berkas: Checklist 13 Dokumen Wajib dengan Fitur Unggah &amp; Status Kelengkapan (Live System)</w:t>
      </w:r>
    </w:p>
    <w:p>
      <w:r>
        <w:br w:type="page"/>
      </w:r>
    </w:p>
    <w:p>
      <w:pPr>
        <w:spacing w:before="160" w:after="80"/>
      </w:pPr>
      <w:r>
        <w:rPr>
          <w:rFonts w:ascii="Calibri" w:hAnsi="Calibri"/>
          <w:b/>
          <w:color w:val="002060"/>
          <w:sz w:val="30"/>
        </w:rPr>
        <w:t>BAB 3: GAMBARAN UMUM FASE MENDATANG (ROADMAP 2027)</w:t>
      </w:r>
    </w:p>
    <w:p>
      <w:pPr>
        <w:spacing w:line="276" w:lineRule="auto" w:after="120"/>
      </w:pPr>
      <w:r>
        <w:t>Fase lanjutan pada tahun 2027 akan mengembangkan kapabilitas analitis mendalam, decision engine otomatis, serta penuntasan proposal komite kredit:</w:t>
      </w:r>
    </w:p>
    <w:p>
      <w:pPr>
        <w:spacing w:before="120" w:after="40"/>
      </w:pPr>
      <w:r>
        <w:rPr>
          <w:rFonts w:ascii="Calibri" w:hAnsi="Calibri"/>
          <w:b/>
          <w:color w:val="002060"/>
          <w:sz w:val="24"/>
        </w:rPr>
        <w:t>3.1. Q1 2027 — Pre-Analysis &amp; Integrasi Pefindo OCR (OCR NPWP / SPT Tahunan)</w:t>
      </w:r>
    </w:p>
    <w:p>
      <w:pPr>
        <w:spacing w:line="276" w:lineRule="auto" w:after="80"/>
      </w:pPr>
      <w:r>
        <w:t>• Early Risk Triaging: Skrining kelayakan awal debitur secara instan (kategori Go / Review / No-Go) sebelum analis menghabiskan waktu ke lapangan.</w:t>
        <w:br/>
        <w:t>• Integrasi Pefindo Biro Kredit: Menembakkan identitas nasabah ke Pefindo untuk menarik Credit Score (skala 250–900), riwayat pembayaran kredit, serta total fasilitas utang terbuka secara real-time.</w:t>
        <w:br/>
        <w:t>• Fitur Cerdas OCR NPWP &amp; SPT Tahunan: Pemindai OCR mutakhir yang membaca lampiran SPT Pajak Penghasilan Badan (Formulir 1771) dan secara langsung memetakan angka Penjualan, HPP, Beban Operasional, Aset Lancar, dan Modal ke tabel Financial Statement di sistem tanpa pengetikan manual.</w:t>
      </w:r>
    </w:p>
    <w:p>
      <w:pPr>
        <w:spacing w:before="120" w:after="40"/>
      </w:pPr>
      <w:r>
        <w:rPr>
          <w:rFonts w:ascii="Calibri" w:hAnsi="Calibri"/>
          <w:b/>
          <w:color w:val="002060"/>
          <w:sz w:val="24"/>
        </w:rPr>
        <w:t>3.2. Q2 2027 — ICLF &amp; Credit Decision Engine (CDE Financial)</w:t>
      </w:r>
    </w:p>
    <w:p>
      <w:pPr>
        <w:spacing w:line="276" w:lineRule="auto" w:after="80"/>
      </w:pPr>
      <w:r>
        <w:t>• Initial Credit Limit Facility (ICLF): Penetapan batas pagu pembiayaan maksimum per debitur tunggal maupun grup usaha berdasarkan kepatuhan Batas Maksimum Pemberian Pembiayaan (BMPP OJK) dan rasio permodalan.</w:t>
        <w:br/>
        <w:t>• Credit Decision Engine (CDE) Phase 1: Engine penilaian kredit otomatis yang mengevaluasi rasio keuangan (Current Ratio, Debt-to-Equity, Net Profit Margin, Interest Coverage Ratio) dan menghasilkan skor kelayakan finansial secara terstandardisasi.</w:t>
      </w:r>
    </w:p>
    <w:p>
      <w:pPr>
        <w:spacing w:before="120" w:after="40"/>
      </w:pPr>
      <w:r>
        <w:rPr>
          <w:rFonts w:ascii="Calibri" w:hAnsi="Calibri"/>
          <w:b/>
          <w:color w:val="002060"/>
          <w:sz w:val="24"/>
        </w:rPr>
        <w:t>3.3. Q3 2027 — Credit Decision Engine (CDE Bank Statement) Phase 2</w:t>
      </w:r>
    </w:p>
    <w:p>
      <w:pPr>
        <w:spacing w:line="276" w:lineRule="auto" w:after="80"/>
      </w:pPr>
      <w:r>
        <w:t>• Parser Rekening Koran Cerdas: Mengekstrak mutasi buku bank debitur (Bank Mandiri, BCA, BRI, BNI) dari berkas PDF mutasi 3–6 bulan terakhir.</w:t>
        <w:br/>
        <w:t>• Analisis Likuiditas Riil: Menghitung saldo rata-rata bulanan, perputaran kredit harian, frekuensi saldo minus, serta mendeteksi transaksi anomali atau cek kosong untuk memastikan debitur memiliki kemampuan membayar angsuran riil.</w:t>
      </w:r>
    </w:p>
    <w:p>
      <w:pPr>
        <w:spacing w:before="120" w:after="40"/>
      </w:pPr>
      <w:r>
        <w:rPr>
          <w:rFonts w:ascii="Calibri" w:hAnsi="Calibri"/>
          <w:b/>
          <w:color w:val="002060"/>
          <w:sz w:val="24"/>
        </w:rPr>
        <w:t>3.4. Q4 2027 — Proposal Pembiayaan Final &amp; Putusan Komite Kredit</w:t>
      </w:r>
    </w:p>
    <w:p>
      <w:pPr>
        <w:spacing w:line="276" w:lineRule="auto" w:after="80"/>
      </w:pPr>
      <w:r>
        <w:t>• Rincian Unit Alat Berat LiuGong: Inventaris unit (Excavator 922E, Wheel Loader 856H, Dump Truck), harga OTR, subsidi dealer, dan uang muka (DP 20%–30%).</w:t>
        <w:br/>
        <w:t>• Mesin Aktuaria Bunga Efektif: Simulasi angsuran anuitas menurun resmi (reducing balance annuity) presisi tinggi.</w:t>
        <w:br/>
        <w:t>• Persetujuan Komite Kredit Digital: Pelaksanaan sidang komite kredit digital berjenjang (Tier 1 Cabang s/d Tier 3 Direksi/Presdir) dengan hak Approve, Reject, atau Return, disertai pencatatan audit trail permanen.</w:t>
      </w:r>
    </w:p>
    <w:p>
      <w:r>
        <w:br w:type="page"/>
      </w:r>
    </w:p>
    <w:p>
      <w:pPr>
        <w:spacing w:before="160" w:after="80"/>
      </w:pPr>
      <w:r>
        <w:rPr>
          <w:rFonts w:ascii="Calibri" w:hAnsi="Calibri"/>
          <w:b/>
          <w:color w:val="002060"/>
          <w:sz w:val="30"/>
        </w:rPr>
        <w:t>BAB 4: LEMBAR PENGESAHAN EKSEKUTIF</w:t>
      </w:r>
    </w:p>
    <w:p>
      <w:pPr>
        <w:spacing w:line="276" w:lineRule="auto" w:after="160"/>
      </w:pPr>
      <w:r>
        <w:t>Proposal Spesifikasi Bisnis dan Roadmap Sistem LOS-CRM ini disusun sebagai pedoman resmi pengembangan sistem dan diajukan untuk memperoleh persetujuan prinsip dari Bapak Presiden Direktur: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96"/>
        <w:gridCol w:w="4896"/>
      </w:tblGrid>
      <w:tr>
        <w:tc>
          <w:tcPr>
            <w:tcW w:type="dxa" w:w="4608"/>
            <w:shd w:fill="002060"/>
            <w:tcMar>
              <w:top w:w="50" w:type="dxa"/>
              <w:bottom w:w="50" w:type="dxa"/>
              <w:left w:w="80" w:type="dxa"/>
              <w:right w:w="80" w:type="dxa"/>
            </w:tcMar>
          </w:tcPr>
          <w:p>
            <w:r>
              <w:rPr>
                <w:rFonts w:ascii="Calibri" w:hAnsi="Calibri"/>
                <w:b/>
                <w:color w:val="FFFFFF"/>
                <w:sz w:val="19"/>
              </w:rPr>
              <w:t>Diajukan Oleh:</w:t>
            </w:r>
          </w:p>
        </w:tc>
        <w:tc>
          <w:tcPr>
            <w:tcW w:type="dxa" w:w="4608"/>
            <w:shd w:fill="002060"/>
            <w:tcMar>
              <w:top w:w="50" w:type="dxa"/>
              <w:bottom w:w="50" w:type="dxa"/>
              <w:left w:w="80" w:type="dxa"/>
              <w:right w:w="80" w:type="dxa"/>
            </w:tcMar>
          </w:tcPr>
          <w:p>
            <w:r>
              <w:rPr>
                <w:rFonts w:ascii="Calibri" w:hAnsi="Calibri"/>
                <w:b/>
                <w:color w:val="FFFFFF"/>
                <w:sz w:val="19"/>
              </w:rPr>
              <w:t>Disetujui Oleh:</w:t>
            </w:r>
          </w:p>
        </w:tc>
      </w:tr>
      <w:tr>
        <w:tc>
          <w:tcPr>
            <w:tcW w:type="dxa" w:w="4608"/>
            <w:tcMar>
              <w:top w:w="100" w:type="dxa"/>
              <w:bottom w:w="100" w:type="dxa"/>
              <w:left w:w="80" w:type="dxa"/>
              <w:right w:w="80" w:type="dxa"/>
            </w:tcMar>
            <w:shd w:fill="FFFFFF"/>
          </w:tcPr>
          <w:p>
            <w:pPr>
              <w:spacing w:line="288" w:lineRule="auto"/>
            </w:pPr>
            <w:r>
              <w:rPr>
                <w:rFonts w:ascii="Calibri" w:hAnsi="Calibri"/>
                <w:color w:val="002060"/>
                <w:sz w:val="19"/>
              </w:rPr>
              <w:t>Latom</w:t>
              <w:br/>
              <w:t>Lead System Owner &amp; AI CTO</w:t>
              <w:br/>
              <w:t>PT LiuGong Finance Indonesia</w:t>
              <w:br/>
              <w:br/>
              <w:t>Tanggal: 19 Oktober 2026</w:t>
            </w:r>
          </w:p>
        </w:tc>
        <w:tc>
          <w:tcPr>
            <w:tcW w:type="dxa" w:w="4608"/>
            <w:tcMar>
              <w:top w:w="100" w:type="dxa"/>
              <w:bottom w:w="100" w:type="dxa"/>
              <w:left w:w="80" w:type="dxa"/>
              <w:right w:w="80" w:type="dxa"/>
            </w:tcMar>
            <w:shd w:fill="FFFFFF"/>
          </w:tcPr>
          <w:p>
            <w:pPr>
              <w:spacing w:line="288" w:lineRule="auto"/>
            </w:pPr>
            <w:r>
              <w:rPr>
                <w:rFonts w:ascii="Calibri" w:hAnsi="Calibri"/>
                <w:color w:val="002060"/>
                <w:sz w:val="19"/>
              </w:rPr>
              <w:t>Presiden Direktur</w:t>
              <w:br/>
              <w:t>Chief Executive Officer</w:t>
              <w:br/>
              <w:t>PT LiuGong Finance Indonesia</w:t>
              <w:br/>
              <w:br/>
              <w:t>Tanggal: .............................</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