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7FAF7">
      <w:pPr>
        <w:pStyle w:val="FMBT"/>
        <w:jc w:val="center"/>
        <w:rPr>
          <w:rFonts w:hint="eastAsia"/>
          <w:sz w:val="44"/>
          <w:szCs w:val="44"/>
        </w:rPr>
      </w:pPr>
      <w:r>
        <w:rPr>
          <w:rFonts w:hint="eastAsia"/>
          <w:sz w:val="44"/>
          <w:szCs w:val="44"/>
        </w:rPr>
        <w:t>“启真问创·重器领航”智能过程装备创新创业</w:t>
      </w:r>
      <w:r>
        <w:rPr>
          <w:rFonts w:hint="eastAsia"/>
          <w:sz w:val="44"/>
          <w:szCs w:val="44"/>
          <w:lang w:val="en-US" w:eastAsia="zh-CN"/>
        </w:rPr>
        <w:t>大赛</w:t>
      </w:r>
      <w:r>
        <w:rPr>
          <w:rFonts w:hint="eastAsia"/>
          <w:sz w:val="44"/>
          <w:szCs w:val="44"/>
        </w:rPr>
        <w:t>作品报告书</w:t>
      </w:r>
    </w:p>
    <w:p w14:paraId="0EE3C228">
      <w:pPr>
        <w:spacing w:before="81" w:beforeLines="25" w:after="81" w:afterLines="25" w:line="300" w:lineRule="auto"/>
        <w:ind w:right="-2"/>
        <w:rPr>
          <w:rFonts w:ascii="Calibri" w:hAnsi="Calibri" w:eastAsia="仿宋_GB2312" w:cs="Times New Roman"/>
          <w:b/>
          <w:sz w:val="48"/>
        </w:rPr>
      </w:pPr>
    </w:p>
    <w:p w14:paraId="529C25A3">
      <w:pPr>
        <w:spacing w:before="81" w:beforeLines="25" w:after="81" w:afterLines="25" w:line="680" w:lineRule="exact"/>
        <w:ind w:right="-2" w:firstLine="1077" w:firstLineChars="299"/>
        <w:rPr>
          <w:rFonts w:hint="eastAsia" w:ascii="微软雅黑" w:hAnsi="微软雅黑" w:eastAsia="微软雅黑" w:cs="微软雅黑"/>
          <w:bCs/>
          <w:sz w:val="36"/>
          <w:szCs w:val="36"/>
          <w:u w:val="single"/>
        </w:rPr>
      </w:pPr>
      <w:r>
        <w:rPr>
          <w:rFonts w:ascii="微软雅黑" w:hAnsi="微软雅黑" w:eastAsia="微软雅黑"/>
          <w:b/>
          <w:sz w:val="36"/>
        </w:rPr>
        <w:t>作品类型</w:t>
      </w:r>
      <w:r>
        <w:rPr>
          <w:rFonts w:ascii="微软雅黑" w:hAnsi="微软雅黑" w:eastAsia="微软雅黑"/>
          <w:sz w:val="36"/>
        </w:rPr>
        <w:t xml:space="preserve">  </w:t>
      </w:r>
      <w:r>
        <w:rPr>
          <w:rFonts w:ascii="微软雅黑" w:hAnsi="微软雅黑" w:eastAsia="微软雅黑"/>
          <w:sz w:val="36"/>
          <w:u w:val="single"/>
        </w:rPr>
        <w:t xml:space="preserve">总体设计方案      </w:t>
      </w:r>
    </w:p>
    <w:p w14:paraId="4B5CC564">
      <w:pPr>
        <w:spacing w:before="81" w:beforeLines="25" w:after="81" w:afterLines="25" w:line="680" w:lineRule="exact"/>
        <w:ind w:right="-2" w:firstLine="1077" w:firstLineChars="299"/>
        <w:rPr>
          <w:rFonts w:hint="eastAsia" w:ascii="微软雅黑" w:hAnsi="微软雅黑" w:eastAsia="微软雅黑" w:cs="微软雅黑"/>
          <w:bCs/>
          <w:sz w:val="36"/>
          <w:szCs w:val="36"/>
          <w:u w:val="single"/>
        </w:rPr>
      </w:pPr>
      <w:r>
        <w:rPr>
          <w:rFonts w:ascii="微软雅黑" w:hAnsi="微软雅黑" w:eastAsia="微软雅黑"/>
          <w:b/>
          <w:sz w:val="36"/>
        </w:rPr>
        <w:t>参赛院系</w:t>
      </w:r>
      <w:r>
        <w:rPr>
          <w:rFonts w:ascii="微软雅黑" w:hAnsi="微软雅黑" w:eastAsia="微软雅黑"/>
          <w:sz w:val="36"/>
        </w:rPr>
        <w:t xml:space="preserve">  </w:t>
      </w:r>
      <w:r>
        <w:rPr>
          <w:rFonts w:ascii="微软雅黑" w:hAnsi="微软雅黑" w:eastAsia="微软雅黑"/>
          <w:sz w:val="36"/>
          <w:u w:val="single"/>
        </w:rPr>
        <w:t xml:space="preserve">【待填：参赛院系】  </w:t>
      </w:r>
    </w:p>
    <w:p w14:paraId="24CA8DDD">
      <w:pPr>
        <w:spacing w:before="81" w:beforeLines="25" w:after="81" w:afterLines="25" w:line="680" w:lineRule="exact"/>
        <w:ind w:right="-2" w:firstLine="1076" w:firstLineChars="299"/>
        <w:rPr>
          <w:rFonts w:hint="eastAsia" w:ascii="微软雅黑" w:hAnsi="微软雅黑" w:eastAsia="微软雅黑" w:cs="微软雅黑"/>
          <w:bCs/>
          <w:sz w:val="36"/>
          <w:szCs w:val="36"/>
          <w:u w:val="single"/>
        </w:rPr>
      </w:pPr>
    </w:p>
    <w:p w14:paraId="49DFDA5B">
      <w:pPr>
        <w:spacing w:before="81" w:beforeLines="25" w:after="81" w:afterLines="25" w:line="680" w:lineRule="exact"/>
        <w:ind w:right="-2" w:firstLine="1077" w:firstLineChars="299"/>
        <w:rPr>
          <w:rFonts w:hint="eastAsia" w:ascii="微软雅黑" w:hAnsi="微软雅黑" w:eastAsia="微软雅黑" w:cs="微软雅黑"/>
          <w:bCs/>
          <w:sz w:val="36"/>
          <w:szCs w:val="36"/>
          <w:u w:val="single"/>
          <w:lang w:val="en-US" w:eastAsia="zh-CN"/>
        </w:rPr>
      </w:pPr>
      <w:r>
        <w:rPr>
          <w:rFonts w:ascii="微软雅黑" w:hAnsi="微软雅黑" w:eastAsia="微软雅黑"/>
          <w:b/>
          <w:sz w:val="36"/>
        </w:rPr>
        <w:t>参赛赛题</w:t>
      </w:r>
      <w:r>
        <w:rPr>
          <w:rFonts w:ascii="微软雅黑" w:hAnsi="微软雅黑" w:eastAsia="微软雅黑"/>
          <w:sz w:val="36"/>
        </w:rPr>
        <w:t xml:space="preserve">  </w:t>
      </w:r>
      <w:r>
        <w:rPr>
          <w:rFonts w:ascii="微软雅黑" w:hAnsi="微软雅黑" w:eastAsia="微软雅黑"/>
          <w:sz w:val="36"/>
          <w:u w:val="single"/>
        </w:rPr>
        <w:t>基于 AI Agent 的析氢催化剂</w:t>
      </w:r>
      <w:r>
        <w:rPr>
          <w:rFonts w:ascii="微软雅黑" w:hAnsi="微软雅黑" w:eastAsia="微软雅黑"/>
          <w:sz w:val="36"/>
          <w:u w:val="single"/>
        </w:rPr>
        <w:t xml:space="preserve">        </w:t>
      </w:r>
    </w:p>
    <w:p w14:paraId="29F77DA6">
      <w:pPr>
        <w:spacing w:before="81" w:beforeLines="25" w:after="81" w:afterLines="25" w:line="680" w:lineRule="exact"/>
        <w:ind w:right="-2" w:firstLine="1076" w:firstLineChars="299"/>
        <w:rPr>
          <w:rFonts w:hint="eastAsia" w:ascii="微软雅黑" w:hAnsi="微软雅黑" w:eastAsia="微软雅黑" w:cs="微软雅黑"/>
          <w:bCs/>
          <w:sz w:val="36"/>
          <w:szCs w:val="36"/>
          <w:u w:val="single"/>
        </w:rPr>
      </w:pPr>
      <w:r>
        <w:rPr>
          <w:rFonts w:ascii="微软雅黑" w:hAnsi="微软雅黑" w:eastAsia="微软雅黑"/>
          <w:sz w:val="36"/>
        </w:rPr>
        <w:t xml:space="preserve">            </w:t>
      </w:r>
      <w:r>
        <w:rPr>
          <w:rFonts w:ascii="微软雅黑" w:hAnsi="微软雅黑" w:eastAsia="微软雅黑"/>
          <w:sz w:val="36"/>
          <w:u w:val="single"/>
        </w:rPr>
        <w:t>智能优化系统开发</w:t>
      </w:r>
      <w:r>
        <w:rPr>
          <w:rFonts w:ascii="微软雅黑" w:hAnsi="微软雅黑" w:eastAsia="微软雅黑"/>
          <w:sz w:val="36"/>
          <w:u w:val="single"/>
        </w:rPr>
        <w:t xml:space="preserve">                      </w:t>
      </w:r>
    </w:p>
    <w:p w14:paraId="1FB05A2E">
      <w:pPr>
        <w:spacing w:before="81" w:beforeLines="25" w:after="81" w:afterLines="25" w:line="680" w:lineRule="exact"/>
        <w:ind w:right="-2" w:firstLine="1076" w:firstLineChars="299"/>
        <w:rPr>
          <w:rFonts w:hint="eastAsia" w:ascii="微软雅黑" w:hAnsi="微软雅黑" w:eastAsia="微软雅黑" w:cs="微软雅黑"/>
          <w:bCs/>
          <w:sz w:val="36"/>
          <w:szCs w:val="36"/>
          <w:u w:val="single"/>
        </w:rPr>
      </w:pPr>
    </w:p>
    <w:p w14:paraId="3AEB0668">
      <w:pPr>
        <w:spacing w:before="81" w:beforeLines="25" w:after="81" w:afterLines="25" w:line="680" w:lineRule="exact"/>
        <w:ind w:right="-2" w:firstLine="1077" w:firstLineChars="299"/>
        <w:rPr>
          <w:rFonts w:hint="eastAsia" w:ascii="微软雅黑" w:hAnsi="微软雅黑" w:eastAsia="微软雅黑" w:cs="微软雅黑"/>
          <w:bCs/>
          <w:sz w:val="36"/>
          <w:szCs w:val="36"/>
          <w:u w:val="single"/>
          <w:lang w:val="en-US"/>
        </w:rPr>
      </w:pPr>
      <w:r>
        <w:rPr>
          <w:rFonts w:ascii="微软雅黑" w:hAnsi="微软雅黑" w:eastAsia="微软雅黑"/>
          <w:b/>
          <w:sz w:val="36"/>
        </w:rPr>
        <w:t>参赛选手</w:t>
      </w:r>
      <w:r>
        <w:rPr>
          <w:rFonts w:ascii="微软雅黑" w:hAnsi="微软雅黑" w:eastAsia="微软雅黑"/>
          <w:sz w:val="36"/>
        </w:rPr>
        <w:t xml:space="preserve">  </w:t>
      </w:r>
      <w:r>
        <w:rPr>
          <w:rFonts w:ascii="微软雅黑" w:hAnsi="微软雅黑" w:eastAsia="微软雅黑"/>
          <w:sz w:val="36"/>
          <w:u w:val="single"/>
        </w:rPr>
        <w:t xml:space="preserve">【待填：姓名（学号）、…】  </w:t>
      </w:r>
    </w:p>
    <w:p w14:paraId="51022364">
      <w:pPr>
        <w:spacing w:before="81" w:beforeLines="25" w:after="81" w:afterLines="25" w:line="680" w:lineRule="exact"/>
        <w:ind w:right="-2" w:firstLine="1076" w:firstLineChars="299"/>
        <w:rPr>
          <w:rFonts w:hint="eastAsia" w:ascii="微软雅黑" w:hAnsi="微软雅黑" w:eastAsia="微软雅黑" w:cs="微软雅黑"/>
          <w:bCs/>
          <w:sz w:val="36"/>
          <w:szCs w:val="36"/>
          <w:u w:val="single"/>
        </w:rPr>
      </w:pPr>
      <w:r>
        <w:rPr>
          <w:rFonts w:ascii="微软雅黑" w:hAnsi="微软雅黑" w:eastAsia="微软雅黑"/>
          <w:sz w:val="36"/>
        </w:rPr>
        <w:t xml:space="preserve">          </w:t>
      </w:r>
      <w:r>
        <w:rPr>
          <w:rFonts w:ascii="微软雅黑" w:hAnsi="微软雅黑" w:eastAsia="微软雅黑"/>
          <w:sz w:val="36"/>
          <w:u w:val="single"/>
        </w:rPr>
        <w:t xml:space="preserve">                            </w:t>
      </w:r>
    </w:p>
    <w:p w14:paraId="71DB7B29">
      <w:pPr>
        <w:spacing w:before="81" w:beforeLines="25" w:after="81" w:afterLines="25" w:line="680" w:lineRule="exact"/>
        <w:ind w:right="-2" w:firstLine="1076" w:firstLineChars="299"/>
        <w:rPr>
          <w:rFonts w:hint="eastAsia" w:ascii="微软雅黑" w:hAnsi="微软雅黑" w:eastAsia="微软雅黑" w:cs="微软雅黑"/>
          <w:bCs/>
          <w:sz w:val="36"/>
          <w:szCs w:val="36"/>
          <w:u w:val="single"/>
        </w:rPr>
      </w:pPr>
    </w:p>
    <w:p w14:paraId="1B3DD4DF">
      <w:pPr>
        <w:spacing w:before="81" w:beforeLines="25" w:after="81" w:afterLines="25" w:line="680" w:lineRule="exact"/>
        <w:ind w:right="-2" w:firstLine="1077" w:firstLineChars="299"/>
        <w:rPr>
          <w:rFonts w:hint="eastAsia" w:ascii="微软雅黑" w:hAnsi="微软雅黑" w:eastAsia="微软雅黑" w:cs="微软雅黑"/>
          <w:bCs/>
          <w:sz w:val="36"/>
          <w:szCs w:val="36"/>
          <w:u w:val="single"/>
        </w:rPr>
      </w:pPr>
      <w:r>
        <w:rPr>
          <w:rFonts w:ascii="微软雅黑" w:hAnsi="微软雅黑" w:eastAsia="微软雅黑"/>
          <w:b/>
          <w:sz w:val="36"/>
        </w:rPr>
        <w:t>指导教师</w:t>
      </w:r>
      <w:r>
        <w:rPr>
          <w:rFonts w:ascii="微软雅黑" w:hAnsi="微软雅黑" w:eastAsia="微软雅黑"/>
          <w:sz w:val="36"/>
        </w:rPr>
        <w:t xml:space="preserve">  </w:t>
      </w:r>
      <w:r>
        <w:rPr>
          <w:rFonts w:ascii="微软雅黑" w:hAnsi="微软雅黑" w:eastAsia="微软雅黑"/>
          <w:sz w:val="36"/>
          <w:u w:val="single"/>
        </w:rPr>
        <w:t xml:space="preserve">施建峰    李洋        </w:t>
      </w:r>
    </w:p>
    <w:p w14:paraId="0618A49F">
      <w:pPr>
        <w:spacing w:before="81" w:beforeLines="25" w:after="81" w:afterLines="25" w:line="300" w:lineRule="auto"/>
        <w:ind w:right="-2"/>
        <w:rPr>
          <w:rFonts w:hint="eastAsia" w:ascii="微软雅黑" w:hAnsi="微软雅黑" w:eastAsia="微软雅黑" w:cs="微软雅黑"/>
          <w:b/>
          <w:sz w:val="36"/>
          <w:szCs w:val="36"/>
        </w:rPr>
      </w:pPr>
    </w:p>
    <w:p w14:paraId="4023CD1E">
      <w:pPr>
        <w:spacing w:before="81" w:beforeLines="25" w:after="81" w:afterLines="25" w:line="300" w:lineRule="auto"/>
        <w:ind w:right="-2"/>
        <w:rPr>
          <w:rFonts w:hint="eastAsia" w:ascii="微软雅黑" w:hAnsi="微软雅黑" w:eastAsia="微软雅黑" w:cs="微软雅黑"/>
          <w:b/>
          <w:sz w:val="36"/>
          <w:szCs w:val="36"/>
        </w:rPr>
      </w:pPr>
    </w:p>
    <w:p w14:paraId="2E1C1D3E">
      <w:pPr>
        <w:spacing w:before="81" w:beforeLines="25" w:after="81" w:afterLines="25" w:line="300" w:lineRule="auto"/>
        <w:ind w:right="-2"/>
        <w:jc w:val="center"/>
        <w:rPr>
          <w:rFonts w:hint="eastAsia" w:ascii="微软雅黑" w:hAnsi="微软雅黑" w:eastAsia="微软雅黑" w:cs="微软雅黑"/>
          <w:b/>
          <w:sz w:val="36"/>
          <w:szCs w:val="36"/>
        </w:r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850" w:gutter="0"/>
          <w:pgNumType w:fmt="decimal" w:start="0"/>
          <w:cols w:space="720" w:num="1"/>
          <w:titlePg/>
        </w:sectPr>
      </w:pPr>
      <w:r>
        <w:rPr>
          <w:rFonts w:hint="eastAsia" w:ascii="微软雅黑" w:hAnsi="微软雅黑" w:eastAsia="微软雅黑" w:cs="微软雅黑"/>
          <w:sz w:val="32"/>
          <w:szCs w:val="32"/>
        </w:rPr>
        <w:t>202</w:t>
      </w:r>
      <w:r>
        <w:rPr>
          <w:rFonts w:hint="eastAsia" w:ascii="微软雅黑" w:hAnsi="微软雅黑" w:eastAsia="微软雅黑" w:cs="微软雅黑"/>
          <w:sz w:val="32"/>
          <w:szCs w:val="32"/>
          <w:lang w:val="en-US" w:eastAsia="zh-CN"/>
        </w:rPr>
        <w:t>6</w:t>
      </w:r>
      <w:r>
        <w:rPr>
          <w:rFonts w:hint="eastAsia" w:ascii="微软雅黑" w:hAnsi="微软雅黑" w:eastAsia="微软雅黑" w:cs="微软雅黑"/>
          <w:sz w:val="32"/>
          <w:szCs w:val="32"/>
        </w:rPr>
        <w:t>年    月    日</w:t>
      </w:r>
    </w:p>
    <w:p w14:paraId="7FCFE2BD">
      <w:pPr>
        <w:spacing w:before="326" w:beforeLines="100" w:after="326" w:afterLines="100"/>
        <w:ind w:right="279" w:rightChars="133"/>
        <w:jc w:val="center"/>
        <w:rPr>
          <w:rFonts w:ascii="黑体" w:hAnsi="Calibri" w:eastAsia="黑体" w:cs="Times New Roman"/>
          <w:kern w:val="0"/>
          <w:sz w:val="32"/>
          <w:szCs w:val="32"/>
        </w:rPr>
      </w:pPr>
      <w:r>
        <w:rPr>
          <w:rFonts w:hint="eastAsia" w:ascii="黑体" w:hAnsi="Calibri" w:eastAsia="黑体" w:cs="Times New Roman"/>
          <w:kern w:val="0"/>
          <w:sz w:val="32"/>
          <w:szCs w:val="32"/>
        </w:rPr>
        <w:t>承诺书</w:t>
      </w:r>
    </w:p>
    <w:p w14:paraId="653A6358">
      <w:pPr>
        <w:ind w:firstLine="562" w:firstLineChars="200"/>
        <w:jc w:val="left"/>
        <w:rPr>
          <w:rFonts w:ascii="宋体" w:hAnsi="宋体" w:eastAsia="宋体" w:cs="Times New Roman"/>
          <w:b/>
          <w:kern w:val="0"/>
          <w:sz w:val="28"/>
          <w:szCs w:val="28"/>
        </w:rPr>
      </w:pPr>
      <w:r>
        <w:rPr>
          <w:rFonts w:hint="eastAsia" w:ascii="宋体" w:hAnsi="宋体" w:eastAsia="宋体" w:cs="Times New Roman"/>
          <w:b/>
          <w:kern w:val="0"/>
          <w:sz w:val="28"/>
          <w:szCs w:val="28"/>
        </w:rPr>
        <w:t>我们承诺：</w:t>
      </w:r>
    </w:p>
    <w:p w14:paraId="0C021C63">
      <w:pPr>
        <w:ind w:firstLine="562" w:firstLineChars="200"/>
        <w:rPr>
          <w:rFonts w:ascii="仿宋" w:hAnsi="仿宋" w:eastAsia="仿宋" w:cs="Times New Roman"/>
          <w:b/>
          <w:kern w:val="0"/>
          <w:sz w:val="28"/>
          <w:szCs w:val="28"/>
        </w:rPr>
      </w:pPr>
      <w:r>
        <w:rPr>
          <w:rFonts w:hint="eastAsia" w:ascii="仿宋" w:hAnsi="仿宋" w:eastAsia="仿宋" w:cs="Times New Roman"/>
          <w:b/>
          <w:kern w:val="0"/>
          <w:sz w:val="28"/>
          <w:szCs w:val="28"/>
        </w:rPr>
        <w:t>参赛作品的知识产权归本团队成员所有，没有侵犯他人知识产权，不存在知识产权纠纷。参赛作品在比赛过程中或比赛后，若出现有关知识产权方面的法律责任或纠纷，由本团队成员自行承担，与大赛组织方无关。</w:t>
      </w:r>
    </w:p>
    <w:p w14:paraId="6EED2BBD">
      <w:pPr>
        <w:ind w:firstLine="562" w:firstLineChars="200"/>
        <w:rPr>
          <w:rFonts w:ascii="仿宋" w:hAnsi="仿宋" w:eastAsia="仿宋" w:cs="Times New Roman"/>
          <w:b/>
          <w:kern w:val="0"/>
          <w:sz w:val="28"/>
          <w:szCs w:val="28"/>
        </w:rPr>
      </w:pPr>
      <w:r>
        <w:rPr>
          <w:rFonts w:hint="eastAsia" w:ascii="仿宋" w:hAnsi="仿宋" w:eastAsia="仿宋" w:cs="Times New Roman"/>
          <w:b/>
          <w:kern w:val="0"/>
          <w:sz w:val="28"/>
          <w:szCs w:val="28"/>
        </w:rPr>
        <w:t>本项目未在</w:t>
      </w:r>
      <w:r>
        <w:rPr>
          <w:rFonts w:ascii="仿宋" w:hAnsi="仿宋" w:eastAsia="仿宋" w:cs="Times New Roman"/>
          <w:b/>
          <w:kern w:val="0"/>
          <w:sz w:val="28"/>
          <w:szCs w:val="28"/>
        </w:rPr>
        <w:t>“中国研究生创新实践系列大赛”</w:t>
      </w:r>
      <w:r>
        <w:rPr>
          <w:rFonts w:hint="eastAsia" w:ascii="仿宋" w:hAnsi="仿宋" w:eastAsia="仿宋" w:cs="Times New Roman"/>
          <w:b/>
          <w:kern w:val="0"/>
          <w:sz w:val="28"/>
          <w:szCs w:val="28"/>
        </w:rPr>
        <w:t>所有</w:t>
      </w:r>
      <w:r>
        <w:rPr>
          <w:rFonts w:ascii="仿宋" w:hAnsi="仿宋" w:eastAsia="仿宋" w:cs="Times New Roman"/>
          <w:b/>
          <w:kern w:val="0"/>
          <w:sz w:val="28"/>
          <w:szCs w:val="28"/>
        </w:rPr>
        <w:t>主题赛事</w:t>
      </w:r>
      <w:r>
        <w:rPr>
          <w:rFonts w:hint="eastAsia" w:ascii="仿宋" w:hAnsi="仿宋" w:eastAsia="仿宋" w:cs="Times New Roman"/>
          <w:b/>
          <w:kern w:val="0"/>
          <w:sz w:val="28"/>
          <w:szCs w:val="28"/>
        </w:rPr>
        <w:t>已经</w:t>
      </w:r>
      <w:r>
        <w:rPr>
          <w:rFonts w:ascii="仿宋" w:hAnsi="仿宋" w:eastAsia="仿宋" w:cs="Times New Roman"/>
          <w:b/>
          <w:kern w:val="0"/>
          <w:sz w:val="28"/>
          <w:szCs w:val="28"/>
        </w:rPr>
        <w:t>获奖</w:t>
      </w:r>
      <w:r>
        <w:rPr>
          <w:rFonts w:hint="eastAsia" w:ascii="仿宋" w:hAnsi="仿宋" w:eastAsia="仿宋" w:cs="Times New Roman"/>
          <w:b/>
          <w:kern w:val="0"/>
          <w:sz w:val="28"/>
          <w:szCs w:val="28"/>
        </w:rPr>
        <w:t>；若在参加本主题赛事过程中确认获得</w:t>
      </w:r>
      <w:r>
        <w:rPr>
          <w:rFonts w:ascii="仿宋" w:hAnsi="仿宋" w:eastAsia="仿宋" w:cs="Times New Roman"/>
          <w:b/>
          <w:kern w:val="0"/>
          <w:sz w:val="28"/>
          <w:szCs w:val="28"/>
        </w:rPr>
        <w:t>“中国研究生创新实践系列大赛”</w:t>
      </w:r>
      <w:r>
        <w:rPr>
          <w:rFonts w:hint="eastAsia" w:ascii="仿宋" w:hAnsi="仿宋" w:eastAsia="仿宋" w:cs="Times New Roman"/>
          <w:b/>
          <w:kern w:val="0"/>
          <w:sz w:val="28"/>
          <w:szCs w:val="28"/>
        </w:rPr>
        <w:t>其他主题赛事奖项，须及时告知本主题赛事组委会秘书处终止参与当前赛事；本作品只在本大赛一个赛题提交。</w:t>
      </w:r>
    </w:p>
    <w:p w14:paraId="2CABEF6A">
      <w:pPr>
        <w:ind w:firstLine="562" w:firstLineChars="200"/>
        <w:jc w:val="left"/>
        <w:rPr>
          <w:rFonts w:ascii="仿宋" w:hAnsi="仿宋" w:eastAsia="仿宋" w:cs="Times New Roman"/>
          <w:b/>
          <w:kern w:val="0"/>
          <w:sz w:val="28"/>
          <w:szCs w:val="28"/>
        </w:rPr>
      </w:pPr>
    </w:p>
    <w:p w14:paraId="6121E9B1">
      <w:pPr>
        <w:ind w:firstLine="562" w:firstLineChars="200"/>
        <w:jc w:val="left"/>
        <w:rPr>
          <w:rFonts w:ascii="黑体" w:hAnsi="黑体" w:eastAsia="黑体" w:cs="Times New Roman"/>
          <w:b/>
          <w:kern w:val="0"/>
          <w:sz w:val="28"/>
          <w:szCs w:val="28"/>
        </w:rPr>
      </w:pPr>
      <w:r>
        <w:rPr>
          <w:rFonts w:hint="eastAsia" w:ascii="黑体" w:hAnsi="黑体" w:eastAsia="黑体" w:cs="Times New Roman"/>
          <w:b/>
          <w:kern w:val="0"/>
          <w:sz w:val="28"/>
          <w:szCs w:val="28"/>
        </w:rPr>
        <w:t>参赛作品一经查实违反以上情况要求，及存在学术不端行为，将禁止相关参赛学生参加本大赛，取消相关指导老师参与指导学生参赛2年，并通报到所在培养单位。</w:t>
      </w:r>
    </w:p>
    <w:p w14:paraId="33FB41AB">
      <w:pPr>
        <w:ind w:firstLine="560" w:firstLineChars="200"/>
        <w:jc w:val="left"/>
        <w:rPr>
          <w:rFonts w:ascii="宋体" w:hAnsi="宋体" w:eastAsia="宋体" w:cs="Times New Roman"/>
          <w:kern w:val="0"/>
          <w:sz w:val="28"/>
          <w:szCs w:val="28"/>
        </w:rPr>
      </w:pPr>
    </w:p>
    <w:p w14:paraId="68A93A2A">
      <w:pPr>
        <w:ind w:firstLine="562" w:firstLineChars="200"/>
        <w:jc w:val="left"/>
        <w:rPr>
          <w:rFonts w:hint="eastAsia" w:ascii="仿宋" w:hAnsi="仿宋" w:eastAsia="仿宋" w:cs="Times New Roman"/>
          <w:b/>
          <w:kern w:val="0"/>
          <w:sz w:val="28"/>
          <w:szCs w:val="28"/>
          <w:lang w:eastAsia="zh-CN"/>
        </w:rPr>
      </w:pPr>
      <w:r>
        <w:rPr>
          <w:rFonts w:hint="eastAsia" w:ascii="仿宋" w:hAnsi="仿宋" w:eastAsia="仿宋" w:cs="Times New Roman"/>
          <w:b/>
          <w:kern w:val="0"/>
          <w:sz w:val="28"/>
          <w:szCs w:val="28"/>
        </w:rPr>
        <w:t>参赛选手签名：</w:t>
      </w:r>
      <w:r>
        <w:rPr>
          <w:rFonts w:ascii="仿宋" w:hAnsi="仿宋" w:eastAsia="仿宋" w:cs="Times New Roman"/>
          <w:b/>
          <w:kern w:val="0"/>
          <w:sz w:val="28"/>
          <w:szCs w:val="28"/>
          <w:u w:val="single"/>
        </w:rPr>
        <w:t xml:space="preserve">        </w:t>
      </w:r>
      <w:r>
        <w:rPr>
          <w:rFonts w:ascii="仿宋" w:hAnsi="仿宋" w:eastAsia="仿宋" w:cs="Times New Roman"/>
          <w:b/>
          <w:kern w:val="0"/>
          <w:sz w:val="28"/>
          <w:szCs w:val="28"/>
        </w:rPr>
        <w:t xml:space="preserve"> </w:t>
      </w:r>
      <w:r>
        <w:rPr>
          <w:rFonts w:ascii="仿宋" w:hAnsi="仿宋" w:eastAsia="仿宋" w:cs="Times New Roman"/>
          <w:b/>
          <w:kern w:val="0"/>
          <w:sz w:val="28"/>
          <w:szCs w:val="28"/>
          <w:u w:val="single"/>
        </w:rPr>
        <w:t xml:space="preserve">        </w:t>
      </w:r>
      <w:r>
        <w:rPr>
          <w:rFonts w:ascii="仿宋" w:hAnsi="仿宋" w:eastAsia="仿宋" w:cs="Times New Roman"/>
          <w:b/>
          <w:kern w:val="0"/>
          <w:sz w:val="28"/>
          <w:szCs w:val="28"/>
        </w:rPr>
        <w:t xml:space="preserve"> </w:t>
      </w:r>
      <w:r>
        <w:rPr>
          <w:rFonts w:ascii="仿宋" w:hAnsi="仿宋" w:eastAsia="仿宋" w:cs="Times New Roman"/>
          <w:b/>
          <w:kern w:val="0"/>
          <w:sz w:val="28"/>
          <w:szCs w:val="28"/>
          <w:u w:val="single"/>
        </w:rPr>
        <w:t xml:space="preserve">        </w:t>
      </w:r>
    </w:p>
    <w:p w14:paraId="6189E40C">
      <w:pPr>
        <w:ind w:firstLine="562" w:firstLineChars="200"/>
        <w:jc w:val="left"/>
        <w:rPr>
          <w:rFonts w:ascii="仿宋" w:hAnsi="仿宋" w:eastAsia="仿宋" w:cs="Times New Roman"/>
          <w:b/>
          <w:kern w:val="0"/>
          <w:sz w:val="28"/>
          <w:szCs w:val="28"/>
        </w:rPr>
      </w:pPr>
      <w:r>
        <w:rPr>
          <w:rFonts w:hint="eastAsia" w:ascii="仿宋" w:hAnsi="仿宋" w:eastAsia="仿宋" w:cs="Times New Roman"/>
          <w:b/>
          <w:kern w:val="0"/>
          <w:sz w:val="28"/>
          <w:szCs w:val="28"/>
        </w:rPr>
        <w:t>指导老师签名：</w:t>
      </w:r>
      <w:r>
        <w:rPr>
          <w:rFonts w:ascii="仿宋" w:hAnsi="仿宋" w:eastAsia="仿宋" w:cs="Times New Roman"/>
          <w:b/>
          <w:kern w:val="0"/>
          <w:sz w:val="28"/>
          <w:szCs w:val="28"/>
          <w:u w:val="single"/>
        </w:rPr>
        <w:t xml:space="preserve">        </w:t>
      </w:r>
      <w:r>
        <w:rPr>
          <w:rFonts w:ascii="仿宋" w:hAnsi="仿宋" w:eastAsia="仿宋" w:cs="Times New Roman"/>
          <w:b/>
          <w:kern w:val="0"/>
          <w:sz w:val="28"/>
          <w:szCs w:val="28"/>
        </w:rPr>
        <w:t xml:space="preserve"> </w:t>
      </w:r>
      <w:r>
        <w:rPr>
          <w:rFonts w:ascii="仿宋" w:hAnsi="仿宋" w:eastAsia="仿宋" w:cs="Times New Roman"/>
          <w:b/>
          <w:kern w:val="0"/>
          <w:sz w:val="28"/>
          <w:szCs w:val="28"/>
          <w:u w:val="single"/>
        </w:rPr>
        <w:t xml:space="preserve">        </w:t>
      </w:r>
    </w:p>
    <w:p w14:paraId="38795C69">
      <w:pPr>
        <w:jc w:val="left"/>
        <w:rPr>
          <w:rFonts w:ascii="宋体" w:hAnsi="宋体" w:eastAsia="宋体" w:cs="Times New Roman"/>
          <w:b/>
          <w:kern w:val="0"/>
          <w:sz w:val="28"/>
          <w:szCs w:val="28"/>
        </w:rPr>
      </w:pPr>
      <w:r>
        <w:rPr>
          <w:rFonts w:hint="eastAsia" w:ascii="宋体" w:hAnsi="宋体" w:eastAsia="宋体" w:cs="Times New Roman"/>
          <w:kern w:val="0"/>
          <w:sz w:val="28"/>
          <w:szCs w:val="28"/>
        </w:rPr>
        <w:t xml:space="preserve"> </w:t>
      </w:r>
      <w:r>
        <w:rPr>
          <w:rFonts w:ascii="宋体" w:hAnsi="宋体" w:eastAsia="宋体" w:cs="Times New Roman"/>
          <w:kern w:val="0"/>
          <w:sz w:val="28"/>
          <w:szCs w:val="28"/>
        </w:rPr>
        <w:t xml:space="preserve">           </w:t>
      </w:r>
      <w:r>
        <w:rPr>
          <w:rFonts w:ascii="宋体" w:hAnsi="宋体" w:eastAsia="宋体" w:cs="Times New Roman"/>
          <w:b/>
          <w:kern w:val="0"/>
          <w:sz w:val="28"/>
          <w:szCs w:val="28"/>
        </w:rPr>
        <w:t xml:space="preserve">   </w:t>
      </w:r>
      <w:r>
        <w:rPr>
          <w:rFonts w:hint="eastAsia" w:ascii="宋体" w:hAnsi="宋体" w:eastAsia="宋体" w:cs="Times New Roman"/>
          <w:b/>
          <w:kern w:val="0"/>
          <w:sz w:val="28"/>
          <w:szCs w:val="28"/>
        </w:rPr>
        <w:t>（注：没有签名作品视为无效参赛作品）</w:t>
      </w:r>
    </w:p>
    <w:p w14:paraId="1D2A84FF">
      <w:pPr>
        <w:jc w:val="left"/>
        <w:rPr>
          <w:rFonts w:ascii="宋体" w:hAnsi="宋体" w:eastAsia="宋体" w:cs="Times New Roman"/>
          <w:b/>
          <w:kern w:val="0"/>
          <w:sz w:val="28"/>
          <w:szCs w:val="28"/>
        </w:rPr>
      </w:pPr>
    </w:p>
    <w:p w14:paraId="5E59EFBB">
      <w:pPr>
        <w:ind w:firstLine="560" w:firstLineChars="200"/>
        <w:jc w:val="left"/>
        <w:rPr>
          <w:rFonts w:ascii="宋体" w:hAnsi="宋体" w:eastAsia="宋体" w:cs="Times New Roman"/>
          <w:kern w:val="0"/>
          <w:sz w:val="28"/>
          <w:szCs w:val="28"/>
        </w:rPr>
      </w:pPr>
    </w:p>
    <w:p w14:paraId="65A254EB">
      <w:pPr>
        <w:ind w:firstLine="560" w:firstLineChars="200"/>
        <w:jc w:val="left"/>
        <w:rPr>
          <w:rFonts w:ascii="宋体" w:hAnsi="宋体" w:eastAsia="宋体" w:cs="Times New Roman"/>
          <w:kern w:val="0"/>
          <w:sz w:val="28"/>
          <w:szCs w:val="28"/>
        </w:rPr>
      </w:pPr>
      <w:r>
        <w:rPr>
          <w:rFonts w:ascii="宋体" w:hAnsi="宋体" w:eastAsia="宋体" w:cs="Times New Roman"/>
          <w:kern w:val="0"/>
          <w:sz w:val="28"/>
          <w:szCs w:val="28"/>
        </w:rPr>
        <w:t xml:space="preserve">                                 </w:t>
      </w:r>
      <w:r>
        <w:rPr>
          <w:rFonts w:hint="eastAsia" w:ascii="宋体" w:hAnsi="宋体" w:eastAsia="宋体" w:cs="Times New Roman"/>
          <w:kern w:val="0"/>
          <w:sz w:val="28"/>
          <w:szCs w:val="28"/>
        </w:rPr>
        <w:t xml:space="preserve">年 </w:t>
      </w:r>
      <w:r>
        <w:rPr>
          <w:rFonts w:ascii="宋体" w:hAnsi="宋体" w:eastAsia="宋体" w:cs="Times New Roman"/>
          <w:kern w:val="0"/>
          <w:sz w:val="28"/>
          <w:szCs w:val="28"/>
        </w:rPr>
        <w:t xml:space="preserve"> </w:t>
      </w:r>
      <w:r>
        <w:rPr>
          <w:rFonts w:hint="eastAsia" w:ascii="宋体" w:hAnsi="宋体" w:eastAsia="宋体" w:cs="Times New Roman"/>
          <w:kern w:val="0"/>
          <w:sz w:val="28"/>
          <w:szCs w:val="28"/>
          <w:lang w:val="en-US" w:eastAsia="zh-CN"/>
        </w:rPr>
        <w:t xml:space="preserve"> </w:t>
      </w:r>
      <w:r>
        <w:rPr>
          <w:rFonts w:ascii="宋体" w:hAnsi="宋体" w:eastAsia="宋体" w:cs="Times New Roman"/>
          <w:kern w:val="0"/>
          <w:sz w:val="28"/>
          <w:szCs w:val="28"/>
        </w:rPr>
        <w:t xml:space="preserve"> </w:t>
      </w:r>
      <w:r>
        <w:rPr>
          <w:rFonts w:hint="eastAsia" w:ascii="宋体" w:hAnsi="宋体" w:eastAsia="宋体" w:cs="Times New Roman"/>
          <w:kern w:val="0"/>
          <w:sz w:val="28"/>
          <w:szCs w:val="28"/>
        </w:rPr>
        <w:t xml:space="preserve">月 </w:t>
      </w:r>
      <w:r>
        <w:rPr>
          <w:rFonts w:ascii="宋体" w:hAnsi="宋体" w:eastAsia="宋体" w:cs="Times New Roman"/>
          <w:kern w:val="0"/>
          <w:sz w:val="28"/>
          <w:szCs w:val="28"/>
        </w:rPr>
        <w:t xml:space="preserve">   </w:t>
      </w:r>
      <w:r>
        <w:rPr>
          <w:rFonts w:hint="eastAsia" w:ascii="宋体" w:hAnsi="宋体" w:eastAsia="宋体" w:cs="Times New Roman"/>
          <w:kern w:val="0"/>
          <w:sz w:val="28"/>
          <w:szCs w:val="28"/>
        </w:rPr>
        <w:t>日</w:t>
      </w:r>
    </w:p>
    <w:p w14:paraId="2280E637">
      <w:pPr>
        <w:pageBreakBefore/>
        <w:spacing w:before="326" w:beforeLines="100" w:after="326" w:afterLines="100"/>
        <w:jc w:val="center"/>
        <w:rPr>
          <w:rFonts w:ascii="黑体" w:hAnsi="Calibri" w:eastAsia="黑体" w:cs="Times New Roman"/>
          <w:kern w:val="0"/>
          <w:sz w:val="32"/>
          <w:szCs w:val="32"/>
        </w:rPr>
      </w:pPr>
      <w:r>
        <w:rPr>
          <w:rFonts w:ascii="黑体" w:hAnsi="黑体" w:eastAsia="黑体"/>
          <w:sz w:val="32"/>
        </w:rPr>
        <w:t>基于 AI Agent 的析氢催化剂智能优化系统总体设计方案</w:t>
      </w:r>
    </w:p>
    <w:p w14:paraId="460C854D">
      <w:pPr>
        <w:spacing w:before="163" w:beforeLines="50" w:after="163" w:afterLines="50"/>
        <w:jc w:val="center"/>
        <w:rPr>
          <w:rFonts w:ascii="Calibri" w:hAnsi="Calibri" w:eastAsia="宋体" w:cs="Times New Roman"/>
          <w:b/>
          <w:kern w:val="0"/>
          <w:sz w:val="24"/>
          <w:szCs w:val="24"/>
        </w:rPr>
      </w:pPr>
      <w:r>
        <w:rPr>
          <w:rFonts w:hint="eastAsia" w:ascii="Calibri" w:hAnsi="Calibri" w:eastAsia="宋体" w:cs="Times New Roman"/>
          <w:b/>
          <w:kern w:val="0"/>
          <w:sz w:val="24"/>
          <w:szCs w:val="24"/>
        </w:rPr>
        <w:t>摘  要</w:t>
      </w:r>
    </w:p>
    <w:p w14:paraId="0A7D4436">
      <w:pPr>
        <w:pStyle w:val="ZY"/>
        <w:spacing w:line="300" w:lineRule="auto"/>
        <w:ind w:right="-2" w:firstLine="420" w:firstLineChars="200"/>
        <w:rPr>
          <w:rFonts w:ascii="Calibri" w:hAnsi="Calibri" w:eastAsia="宋体" w:cs="Times New Roman"/>
          <w:szCs w:val="21"/>
        </w:rPr>
      </w:pPr>
      <w:r>
        <w:rPr>
          <w:rFonts w:ascii="Times New Roman" w:hAnsi="Times New Roman" w:eastAsia="宋体"/>
          <w:sz w:val="24"/>
        </w:rPr>
        <w:t>针对析氢催化剂研发中重复性操作多、实验周期长、长时连续运行依赖人工值守，以及实验结果难以及时反馈至下一轮实验设计等问题，提出一套以 AI Agent 为核心的析氢催化剂实验智能优化系统总体设计方案。方案将典型湿实验流程解构为溶液配制、材料制备、电化学测试与清洗转移四类可程序化工序，构建由实验执行层、设备控制层、数据与状态层、智能决策层组成的四层自动化实验平台，并通过统一的设备语义模型与协议适配机制实现异构仪器间的接口协同。在此基础上设计面向实验过程的 AI Agent：以事件流和实验状态机刻画实验状态，以大语言模型承担任务理解、文献检索与方案生成，以受控技能库完成设备操控，形成“感知—规划—执行—校核”闭环，并设置状态机兜底、技能权限分级与全程审计日志三层护栏，抑制大模型幻觉对真实设备操作的风险。进一步建立实验结果驱动的连续优化机制，将实验数据、工艺参数与文献知识结构化沉淀，结合贝叶斯优化推荐下一轮候选配方，形成“实验设计—自动执行—状态反馈—结果分析—再设计”的迭代链路。在此基础上提出分级验证方案与异常注入测试用例，给出评价指标、实施路径与应用前景分析。预期系统可在无人值守条件下连续运行不低于 72 h，单轮实验人工操作时间较现有方式缩短 60% 以上，常见异常的自恢复率不低于 80%，为析氢催化剂实验由单轮自动执行向连续智能优化演进提供系统级方案参考。</w:t>
      </w:r>
    </w:p>
    <w:p w14:paraId="1EB62DCD">
      <w:pPr>
        <w:pStyle w:val="ZY"/>
        <w:spacing w:line="300" w:lineRule="auto"/>
        <w:rPr>
          <w:rFonts w:ascii="Calibri" w:hAnsi="Calibri" w:eastAsia="宋体" w:cs="Times New Roman"/>
          <w:szCs w:val="21"/>
        </w:rPr>
        <w:ind w:left="0" w:right="0" w:firstLine="0" w:firstLineChars="0"/>
      </w:pPr>
      <w:r>
        <w:rPr>
          <w:rFonts w:ascii="宋体" w:hAnsi="宋体" w:eastAsia="宋体"/>
          <w:b/>
          <w:sz w:val="24"/>
        </w:rPr>
        <w:t>关键词：</w:t>
      </w:r>
      <w:r>
        <w:rPr>
          <w:rFonts w:ascii="宋体" w:hAnsi="宋体" w:eastAsia="宋体"/>
          <w:sz w:val="24"/>
        </w:rPr>
        <w:t>析氢催化剂；AI Agent；自动化实验平台；无人值守；闭环优化</w:t>
      </w:r>
    </w:p>
    <w:p w14:paraId="1B240F90">
      <w:pPr>
        <w:spacing w:before="81" w:beforeLines="25" w:after="81" w:afterLines="25" w:line="300" w:lineRule="auto"/>
        <w:rPr>
          <w:rFonts w:ascii="Calibri" w:hAnsi="Calibri" w:eastAsia="宋体" w:cs="Times New Roman"/>
          <w:sz w:val="24"/>
        </w:rPr>
      </w:pPr>
    </w:p>
    <w:p w14:paraId="5175D457">
      <w:pPr>
        <w:spacing w:before="81" w:beforeLines="25" w:after="81" w:afterLines="25" w:line="300" w:lineRule="auto"/>
        <w:jc w:val="center"/>
        <w:outlineLvl w:val="0"/>
        <w:rPr>
          <w:rFonts w:ascii="Calibri" w:hAnsi="Calibri" w:eastAsia="宋体" w:cs="Times New Roman"/>
          <w:b/>
          <w:kern w:val="0"/>
          <w:sz w:val="28"/>
          <w:szCs w:val="20"/>
          <w:lang w:val="zh-CN" w:eastAsia="zh-CN"/>
        </w:rPr>
      </w:pPr>
    </w:p>
    <w:p w14:paraId="68AC6430">
      <w:pPr>
        <w:spacing w:before="81" w:beforeLines="25" w:after="81" w:afterLines="25" w:line="300" w:lineRule="auto"/>
        <w:rPr>
          <w:rFonts w:ascii="Calibri" w:hAnsi="Calibri" w:eastAsia="宋体" w:cs="Times New Roman"/>
          <w:sz w:val="24"/>
        </w:rPr>
      </w:pPr>
      <w:r>
        <w:rPr>
          <w:rFonts w:ascii="Calibri" w:hAnsi="Calibri" w:eastAsia="宋体" w:cs="Times New Roman"/>
          <w:sz w:val="24"/>
        </w:rPr>
        <w:br w:type="page"/>
      </w:r>
    </w:p>
    <w:p w14:paraId="388C86B1">
      <w:pPr>
        <w:spacing w:before="81" w:beforeLines="25" w:after="81" w:afterLines="25" w:line="300" w:lineRule="auto"/>
        <w:jc w:val="center"/>
        <w:rPr>
          <w:rFonts w:ascii="Calibri" w:hAnsi="Calibri" w:eastAsia="宋体" w:cs="Times New Roman"/>
          <w:b/>
          <w:kern w:val="0"/>
          <w:sz w:val="28"/>
          <w:szCs w:val="20"/>
        </w:rPr>
      </w:pPr>
      <w:r>
        <w:rPr>
          <w:rFonts w:hint="eastAsia" w:ascii="Calibri" w:hAnsi="Calibri" w:eastAsia="宋体" w:cs="Times New Roman"/>
          <w:b/>
          <w:kern w:val="0"/>
          <w:sz w:val="28"/>
          <w:szCs w:val="20"/>
        </w:rPr>
        <w:t>目  录</w:t>
      </w:r>
    </w:p>
    <w:p>
      <w:pPr>
        <w:tabs>
          <w:tab w:val="right" w:leader="dot" w:pos="9060"/>
        </w:tabs>
        <w:spacing w:before="0" w:after="0" w:line="240" w:lineRule="auto"/>
        <w:jc w:val="left"/>
      </w:pPr>
      <w:r>
        <w:fldChar w:fldCharType="begin"/>
      </w:r>
      <w:r>
        <w:instrText xml:space="preserve"> TOC \o "1-2" \h \z \u </w:instrText>
      </w:r>
      <w:r>
        <w:fldChar w:fldCharType="separate"/>
      </w:r>
      <w:r>
        <w:rPr>
          <w:rFonts w:ascii="Times New Roman" w:hAnsi="Times New Roman" w:eastAsia="黑体" w:cs="Times New Roman"/>
          <w:sz w:val="24"/>
        </w:rPr>
        <w:t xml:space="preserve">第一章  绪论</w:t>
      </w:r>
      <w:r>
        <w:rPr>
          <w:rFonts w:ascii="Times New Roman" w:hAnsi="Times New Roman" w:eastAsia="黑体" w:cs="Times New Roman"/>
          <w:sz w:val="24"/>
        </w:rPr>
        <w:tab/>
        <w:t>1</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1.1  研究背景与意义</w:t>
      </w:r>
      <w:r>
        <w:rPr>
          <w:rFonts w:ascii="Times New Roman" w:hAnsi="Times New Roman" w:eastAsia="宋体" w:cs="Times New Roman"/>
          <w:sz w:val="21"/>
        </w:rPr>
        <w:tab/>
        <w:t>1</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1.2  国内外研究现状</w:t>
      </w:r>
      <w:r>
        <w:rPr>
          <w:rFonts w:ascii="Times New Roman" w:hAnsi="Times New Roman" w:eastAsia="宋体" w:cs="Times New Roman"/>
          <w:sz w:val="21"/>
        </w:rPr>
        <w:tab/>
        <w:t>1</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1.3  现有技术缺口</w:t>
      </w:r>
      <w:r>
        <w:rPr>
          <w:rFonts w:ascii="Times New Roman" w:hAnsi="Times New Roman" w:eastAsia="宋体" w:cs="Times New Roman"/>
          <w:sz w:val="21"/>
        </w:rPr>
        <w:tab/>
        <w:t>3</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1.4  研究目标与主要工作</w:t>
      </w:r>
      <w:r>
        <w:rPr>
          <w:rFonts w:ascii="Times New Roman" w:hAnsi="Times New Roman" w:eastAsia="宋体" w:cs="Times New Roman"/>
          <w:sz w:val="21"/>
        </w:rPr>
        <w:tab/>
        <w:t>3</w:t>
      </w:r>
    </w:p>
    <w:p>
      <w:pPr>
        <w:tabs>
          <w:tab w:val="right" w:leader="dot" w:pos="9060"/>
        </w:tabs>
        <w:spacing w:before="0" w:after="0" w:line="240" w:lineRule="auto"/>
        <w:jc w:val="left"/>
      </w:pPr>
      <w:r>
        <w:rPr>
          <w:rFonts w:ascii="Times New Roman" w:hAnsi="Times New Roman" w:eastAsia="黑体" w:cs="Times New Roman"/>
          <w:sz w:val="24"/>
        </w:rPr>
        <w:t xml:space="preserve">第二章  析氢催化剂湿实验流程解构与需求分析</w:t>
      </w:r>
      <w:r>
        <w:rPr>
          <w:rFonts w:ascii="Times New Roman" w:hAnsi="Times New Roman" w:eastAsia="黑体" w:cs="Times New Roman"/>
          <w:sz w:val="24"/>
        </w:rPr>
        <w:tab/>
        <w:t>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2.1  典型湿实验流程与工序拆分</w:t>
      </w:r>
      <w:r>
        <w:rPr>
          <w:rFonts w:ascii="Times New Roman" w:hAnsi="Times New Roman" w:eastAsia="宋体" w:cs="Times New Roman"/>
          <w:sz w:val="21"/>
        </w:rPr>
        <w:tab/>
        <w:t>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2.2  实验对象与关键性能指标</w:t>
      </w:r>
      <w:r>
        <w:rPr>
          <w:rFonts w:ascii="Times New Roman" w:hAnsi="Times New Roman" w:eastAsia="宋体" w:cs="Times New Roman"/>
          <w:sz w:val="21"/>
        </w:rPr>
        <w:tab/>
        <w:t>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2.3  工序自动化可行性评估</w:t>
      </w:r>
      <w:r>
        <w:rPr>
          <w:rFonts w:ascii="Times New Roman" w:hAnsi="Times New Roman" w:eastAsia="宋体" w:cs="Times New Roman"/>
          <w:sz w:val="21"/>
        </w:rPr>
        <w:tab/>
        <w:t>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2.4  系统需求指标体系</w:t>
      </w:r>
      <w:r>
        <w:rPr>
          <w:rFonts w:ascii="Times New Roman" w:hAnsi="Times New Roman" w:eastAsia="宋体" w:cs="Times New Roman"/>
          <w:sz w:val="21"/>
        </w:rPr>
        <w:tab/>
        <w:t>5</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2.5  本章小结</w:t>
      </w:r>
      <w:r>
        <w:rPr>
          <w:rFonts w:ascii="Times New Roman" w:hAnsi="Times New Roman" w:eastAsia="宋体" w:cs="Times New Roman"/>
          <w:sz w:val="21"/>
        </w:rPr>
        <w:tab/>
        <w:t>6</w:t>
      </w:r>
    </w:p>
    <w:p>
      <w:pPr>
        <w:tabs>
          <w:tab w:val="right" w:leader="dot" w:pos="9060"/>
        </w:tabs>
        <w:spacing w:before="0" w:after="0" w:line="240" w:lineRule="auto"/>
        <w:jc w:val="left"/>
      </w:pPr>
      <w:r>
        <w:rPr>
          <w:rFonts w:ascii="Times New Roman" w:hAnsi="Times New Roman" w:eastAsia="黑体" w:cs="Times New Roman"/>
          <w:sz w:val="24"/>
        </w:rPr>
        <w:t xml:space="preserve">第三章  自动化实验平台总体方案</w:t>
      </w:r>
      <w:r>
        <w:rPr>
          <w:rFonts w:ascii="Times New Roman" w:hAnsi="Times New Roman" w:eastAsia="黑体" w:cs="Times New Roman"/>
          <w:sz w:val="24"/>
        </w:rPr>
        <w:tab/>
        <w:t>6</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3.1  总体架构</w:t>
      </w:r>
      <w:r>
        <w:rPr>
          <w:rFonts w:ascii="Times New Roman" w:hAnsi="Times New Roman" w:eastAsia="宋体" w:cs="Times New Roman"/>
          <w:sz w:val="21"/>
        </w:rPr>
        <w:tab/>
        <w:t>6</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3.2  功能模块划分</w:t>
      </w:r>
      <w:r>
        <w:rPr>
          <w:rFonts w:ascii="Times New Roman" w:hAnsi="Times New Roman" w:eastAsia="宋体" w:cs="Times New Roman"/>
          <w:sz w:val="21"/>
        </w:rPr>
        <w:tab/>
        <w:t>7</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3.3  模块接口与协同机制</w:t>
      </w:r>
      <w:r>
        <w:rPr>
          <w:rFonts w:ascii="Times New Roman" w:hAnsi="Times New Roman" w:eastAsia="宋体" w:cs="Times New Roman"/>
          <w:sz w:val="21"/>
        </w:rPr>
        <w:tab/>
        <w:t>7</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3.4  安全联锁与可靠性设计</w:t>
      </w:r>
      <w:r>
        <w:rPr>
          <w:rFonts w:ascii="Times New Roman" w:hAnsi="Times New Roman" w:eastAsia="宋体" w:cs="Times New Roman"/>
          <w:sz w:val="21"/>
        </w:rPr>
        <w:tab/>
        <w:t>8</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3.5  本章小结</w:t>
      </w:r>
      <w:r>
        <w:rPr>
          <w:rFonts w:ascii="Times New Roman" w:hAnsi="Times New Roman" w:eastAsia="宋体" w:cs="Times New Roman"/>
          <w:sz w:val="21"/>
        </w:rPr>
        <w:tab/>
        <w:t>8</w:t>
      </w:r>
    </w:p>
    <w:p>
      <w:pPr>
        <w:tabs>
          <w:tab w:val="right" w:leader="dot" w:pos="9060"/>
        </w:tabs>
        <w:spacing w:before="0" w:after="0" w:line="240" w:lineRule="auto"/>
        <w:jc w:val="left"/>
      </w:pPr>
      <w:r>
        <w:rPr>
          <w:rFonts w:ascii="Times New Roman" w:hAnsi="Times New Roman" w:eastAsia="黑体" w:cs="Times New Roman"/>
          <w:sz w:val="24"/>
        </w:rPr>
        <w:t xml:space="preserve">第四章  面向实验过程的 AI Agent 系统设计</w:t>
      </w:r>
      <w:r>
        <w:rPr>
          <w:rFonts w:ascii="Times New Roman" w:hAnsi="Times New Roman" w:eastAsia="黑体" w:cs="Times New Roman"/>
          <w:sz w:val="24"/>
        </w:rPr>
        <w:tab/>
        <w:t>8</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4.1  设计约束分析</w:t>
      </w:r>
      <w:r>
        <w:rPr>
          <w:rFonts w:ascii="Times New Roman" w:hAnsi="Times New Roman" w:eastAsia="宋体" w:cs="Times New Roman"/>
          <w:sz w:val="21"/>
        </w:rPr>
        <w:tab/>
        <w:t>8</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4.2  Agent 总体架构</w:t>
      </w:r>
      <w:r>
        <w:rPr>
          <w:rFonts w:ascii="Times New Roman" w:hAnsi="Times New Roman" w:eastAsia="宋体" w:cs="Times New Roman"/>
          <w:sz w:val="21"/>
        </w:rPr>
        <w:tab/>
        <w:t>9</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4.3  实验状态感知与语义建模</w:t>
      </w:r>
      <w:r>
        <w:rPr>
          <w:rFonts w:ascii="Times New Roman" w:hAnsi="Times New Roman" w:eastAsia="宋体" w:cs="Times New Roman"/>
          <w:sz w:val="21"/>
        </w:rPr>
        <w:tab/>
        <w:t>9</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4.4  技能库与工具调用规范</w:t>
      </w:r>
      <w:r>
        <w:rPr>
          <w:rFonts w:ascii="Times New Roman" w:hAnsi="Times New Roman" w:eastAsia="宋体" w:cs="Times New Roman"/>
          <w:sz w:val="21"/>
        </w:rPr>
        <w:tab/>
        <w:t>10</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4.5  异常处置与人在环机制</w:t>
      </w:r>
      <w:r>
        <w:rPr>
          <w:rFonts w:ascii="Times New Roman" w:hAnsi="Times New Roman" w:eastAsia="宋体" w:cs="Times New Roman"/>
          <w:sz w:val="21"/>
        </w:rPr>
        <w:tab/>
        <w:t>10</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4.6  可靠性护栏设计</w:t>
      </w:r>
      <w:r>
        <w:rPr>
          <w:rFonts w:ascii="Times New Roman" w:hAnsi="Times New Roman" w:eastAsia="宋体" w:cs="Times New Roman"/>
          <w:sz w:val="21"/>
        </w:rPr>
        <w:tab/>
        <w:t>11</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4.7  本章小结</w:t>
      </w:r>
      <w:r>
        <w:rPr>
          <w:rFonts w:ascii="Times New Roman" w:hAnsi="Times New Roman" w:eastAsia="宋体" w:cs="Times New Roman"/>
          <w:sz w:val="21"/>
        </w:rPr>
        <w:tab/>
        <w:t>11</w:t>
      </w:r>
    </w:p>
    <w:p>
      <w:pPr>
        <w:tabs>
          <w:tab w:val="right" w:leader="dot" w:pos="9060"/>
        </w:tabs>
        <w:spacing w:before="0" w:after="0" w:line="240" w:lineRule="auto"/>
        <w:jc w:val="left"/>
      </w:pPr>
      <w:r>
        <w:rPr>
          <w:rFonts w:ascii="Times New Roman" w:hAnsi="Times New Roman" w:eastAsia="黑体" w:cs="Times New Roman"/>
          <w:sz w:val="24"/>
        </w:rPr>
        <w:t xml:space="preserve">第五章  实验反馈驱动的材料优化闭环机制</w:t>
      </w:r>
      <w:r>
        <w:rPr>
          <w:rFonts w:ascii="Times New Roman" w:hAnsi="Times New Roman" w:eastAsia="黑体" w:cs="Times New Roman"/>
          <w:sz w:val="24"/>
        </w:rPr>
        <w:tab/>
        <w:t>12</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5.1  实验结果结构化与知识沉淀</w:t>
      </w:r>
      <w:r>
        <w:rPr>
          <w:rFonts w:ascii="Times New Roman" w:hAnsi="Times New Roman" w:eastAsia="宋体" w:cs="Times New Roman"/>
          <w:sz w:val="21"/>
        </w:rPr>
        <w:tab/>
        <w:t>12</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5.2  文献与历史数据联合检索</w:t>
      </w:r>
      <w:r>
        <w:rPr>
          <w:rFonts w:ascii="Times New Roman" w:hAnsi="Times New Roman" w:eastAsia="宋体" w:cs="Times New Roman"/>
          <w:sz w:val="21"/>
        </w:rPr>
        <w:tab/>
        <w:t>12</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5.3  候选方案生成与主动学习推荐</w:t>
      </w:r>
      <w:r>
        <w:rPr>
          <w:rFonts w:ascii="Times New Roman" w:hAnsi="Times New Roman" w:eastAsia="宋体" w:cs="Times New Roman"/>
          <w:sz w:val="21"/>
        </w:rPr>
        <w:tab/>
        <w:t>12</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5.4  闭环流程与迭代控制</w:t>
      </w:r>
      <w:r>
        <w:rPr>
          <w:rFonts w:ascii="Times New Roman" w:hAnsi="Times New Roman" w:eastAsia="宋体" w:cs="Times New Roman"/>
          <w:sz w:val="21"/>
        </w:rPr>
        <w:tab/>
        <w:t>13</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5.5  本章小结</w:t>
      </w:r>
      <w:r>
        <w:rPr>
          <w:rFonts w:ascii="Times New Roman" w:hAnsi="Times New Roman" w:eastAsia="宋体" w:cs="Times New Roman"/>
          <w:sz w:val="21"/>
        </w:rPr>
        <w:tab/>
        <w:t>14</w:t>
      </w:r>
    </w:p>
    <w:p>
      <w:pPr>
        <w:tabs>
          <w:tab w:val="right" w:leader="dot" w:pos="9060"/>
        </w:tabs>
        <w:spacing w:before="0" w:after="0" w:line="240" w:lineRule="auto"/>
        <w:jc w:val="left"/>
      </w:pPr>
      <w:r>
        <w:rPr>
          <w:rFonts w:ascii="Times New Roman" w:hAnsi="Times New Roman" w:eastAsia="黑体" w:cs="Times New Roman"/>
          <w:sz w:val="24"/>
        </w:rPr>
        <w:t xml:space="preserve">第六章  系统验证方案与应用前景</w:t>
      </w:r>
      <w:r>
        <w:rPr>
          <w:rFonts w:ascii="Times New Roman" w:hAnsi="Times New Roman" w:eastAsia="黑体" w:cs="Times New Roman"/>
          <w:sz w:val="24"/>
        </w:rPr>
        <w:tab/>
        <w:t>14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6.1  验证目标与评价指标</w:t>
      </w:r>
      <w:r>
        <w:rPr>
          <w:rFonts w:ascii="Times New Roman" w:hAnsi="Times New Roman" w:eastAsia="宋体" w:cs="Times New Roman"/>
          <w:sz w:val="21"/>
        </w:rPr>
        <w:tab/>
        <w:t>14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6.2  分级验证用例</w:t>
      </w:r>
      <w:r>
        <w:rPr>
          <w:rFonts w:ascii="Times New Roman" w:hAnsi="Times New Roman" w:eastAsia="宋体" w:cs="Times New Roman"/>
          <w:sz w:val="21"/>
        </w:rPr>
        <w:tab/>
        <w:t>14</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6.3  异常注入测试设计</w:t>
      </w:r>
      <w:r>
        <w:rPr>
          <w:rFonts w:ascii="Times New Roman" w:hAnsi="Times New Roman" w:eastAsia="宋体" w:cs="Times New Roman"/>
          <w:sz w:val="21"/>
        </w:rPr>
        <w:tab/>
        <w:t>15</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6.4  实施计划与里程碑</w:t>
      </w:r>
      <w:r>
        <w:rPr>
          <w:rFonts w:ascii="Times New Roman" w:hAnsi="Times New Roman" w:eastAsia="宋体" w:cs="Times New Roman"/>
          <w:sz w:val="21"/>
        </w:rPr>
        <w:tab/>
        <w:t>15</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6.5  应用前景与转化路径</w:t>
      </w:r>
      <w:r>
        <w:rPr>
          <w:rFonts w:ascii="Times New Roman" w:hAnsi="Times New Roman" w:eastAsia="宋体" w:cs="Times New Roman"/>
          <w:sz w:val="21"/>
        </w:rPr>
        <w:tab/>
        <w:t>15</w:t>
      </w:r>
    </w:p>
    <w:p>
      <w:pPr>
        <w:tabs>
          <w:tab w:val="right" w:leader="dot" w:pos="9060"/>
        </w:tabs>
        <w:spacing w:before="0" w:after="0" w:line="240" w:lineRule="auto"/>
        <w:ind w:left="420" w:firstLine="0"/>
        <w:jc w:val="left"/>
      </w:pPr>
      <w:r>
        <w:rPr>
          <w:rFonts w:ascii="Times New Roman" w:hAnsi="Times New Roman" w:eastAsia="宋体" w:cs="Times New Roman"/>
          <w:sz w:val="21"/>
        </w:rPr>
        <w:t xml:space="preserve">6.6  本章小结</w:t>
      </w:r>
      <w:r>
        <w:rPr>
          <w:rFonts w:ascii="Times New Roman" w:hAnsi="Times New Roman" w:eastAsia="宋体" w:cs="Times New Roman"/>
          <w:sz w:val="21"/>
        </w:rPr>
        <w:tab/>
        <w:t>16</w:t>
      </w:r>
    </w:p>
    <w:p>
      <w:pPr>
        <w:tabs>
          <w:tab w:val="right" w:leader="dot" w:pos="9060"/>
        </w:tabs>
        <w:spacing w:before="0" w:after="0" w:line="240" w:lineRule="auto"/>
        <w:jc w:val="left"/>
      </w:pPr>
      <w:r>
        <w:rPr>
          <w:rFonts w:ascii="Times New Roman" w:hAnsi="Times New Roman" w:eastAsia="黑体" w:cs="Times New Roman"/>
          <w:sz w:val="24"/>
        </w:rPr>
        <w:t xml:space="preserve">支撑材料</w:t>
      </w:r>
      <w:r>
        <w:rPr>
          <w:rFonts w:ascii="Times New Roman" w:hAnsi="Times New Roman" w:eastAsia="黑体" w:cs="Times New Roman"/>
          <w:sz w:val="24"/>
        </w:rPr>
        <w:tab/>
        <w:t>16</w:t>
      </w:r>
    </w:p>
    <w:p>
      <w:pPr>
        <w:tabs>
          <w:tab w:val="right" w:leader="dot" w:pos="9060"/>
        </w:tabs>
        <w:spacing w:before="0" w:after="0" w:line="240" w:lineRule="auto"/>
        <w:jc w:val="left"/>
      </w:pPr>
      <w:r>
        <w:rPr>
          <w:rFonts w:ascii="Times New Roman" w:hAnsi="Times New Roman" w:eastAsia="黑体" w:cs="Times New Roman"/>
          <w:sz w:val="24"/>
        </w:rPr>
        <w:t xml:space="preserve">参考文献</w:t>
      </w:r>
      <w:r>
        <w:rPr>
          <w:rFonts w:ascii="Times New Roman" w:hAnsi="Times New Roman" w:eastAsia="黑体" w:cs="Times New Roman"/>
          <w:sz w:val="24"/>
        </w:rPr>
        <w:tab/>
        <w:t>16</w:t>
      </w:r>
    </w:p>
    <w:p>
      <w:pPr>
        <w:tabs>
          <w:tab w:val="right" w:leader="dot" w:pos="9060"/>
        </w:tabs>
        <w:spacing w:before="0" w:after="0" w:line="240" w:lineRule="auto"/>
        <w:jc w:val="left"/>
      </w:pPr>
      <w:r>
        <w:rPr>
          <w:rFonts w:ascii="Times New Roman" w:hAnsi="Times New Roman" w:eastAsia="黑体" w:cs="Times New Roman"/>
          <w:sz w:val="24"/>
        </w:rPr>
        <w:t xml:space="preserve">致谢</w:t>
      </w:r>
      <w:r>
        <w:rPr>
          <w:rFonts w:ascii="Times New Roman" w:hAnsi="Times New Roman" w:eastAsia="黑体" w:cs="Times New Roman"/>
          <w:sz w:val="24"/>
        </w:rPr>
        <w:tab/>
        <w:t>17</w:t>
      </w:r>
      <w:r>
        <w:fldChar w:fldCharType="end"/>
      </w:r>
    </w:p>
    <w:p w14:paraId="67F7729F">
      <w:pPr>
        <w:jc w:val="center"/>
        <w:rPr>
          <w:rFonts w:ascii="Calibri" w:hAnsi="Calibri" w:eastAsia="宋体" w:cs="Times New Roman"/>
          <w:b/>
          <w:kern w:val="0"/>
          <w:sz w:val="28"/>
          <w:szCs w:val="28"/>
        </w:rPr>
        <w:sectPr>
          <w:headerReference r:id="rId11" w:type="first"/>
          <w:footerReference r:id="rId14" w:type="first"/>
          <w:headerReference r:id="rId9" w:type="default"/>
          <w:footerReference r:id="rId12" w:type="default"/>
          <w:headerReference r:id="rId10" w:type="even"/>
          <w:footerReference r:id="rId13" w:type="even"/>
          <w:pgSz w:w="11906" w:h="16838"/>
          <w:pgMar w:top="1418" w:right="1418" w:bottom="1418" w:left="1418" w:header="851" w:footer="850" w:gutter="0"/>
          <w:pgNumType w:fmt="upperRoman" w:start="1"/>
          <w:cols w:space="720" w:num="1"/>
          <w:titlePg/>
        </w:sectPr>
      </w:pPr>
    </w:p>
    <w:p>
      <w:pPr>
        <w:pStyle w:val="20"/>
      </w:pPr>
      <w:r>
        <w:t>第一章  绪论</w:t>
      </w:r>
    </w:p>
    <w:p>
      <w:pPr>
        <w:pStyle w:val="BT2"/>
      </w:pPr>
      <w:r>
        <w:t>1.1  研究背景与意义</w:t>
      </w:r>
    </w:p>
    <w:p>
      <w:pPr>
        <w:pStyle w:val="ZW"/>
      </w:pPr>
      <w:r>
        <w:t>氢能作为清洁二次能源载体，是实现“碳达峰、碳中和”目标的重要支撑。电解水制氢因原料清洁、过程无碳排放，正由示范验证阶段向规模化应用推进。在碱性电解水体系中，阴极析氢反应（hydrogen evolution reaction，HER）的过电位直接决定电解能耗，催化剂则是降低过电位的核心。铂基催化剂活性优异，但资源稀缺、价格昂贵，难以支撑大规模应用；开发高活性、长寿命、低成本的替代催化材料，已成为氢能领域的关键课题。</w:t>
      </w:r>
    </w:p>
    <w:p>
      <w:pPr>
        <w:pStyle w:val="ZW"/>
      </w:pPr>
      <w:r>
        <w:t>析氢催化剂的研发具有典型的“配方—工艺—性能”强耦合特征：前驱体配比、沉积电位与时间、镀液温度与 pH、后处理制度等参数共同影响材料的物相组成与微观形貌，进而决定催化活性与稳定性。当前研发主要依靠研究者经验与文献线索设计实验，在湿实验平台上依次完成溶液配制、材料制备、电化学测试与结果分析，单轮实验通常需要数小时至十余小时，其中大量环节为重复性人工操作。随着候选材料空间迅速扩大，人工逐一操作的效率已难以支撑材料的快速筛选：长时间连续运行缺乏有效的状态监督与异常处置手段，实验结果与下一轮实验设计之间也缺少自动衔接，形成“实验做得多、迭代跑得慢”的瓶颈。</w:t>
      </w:r>
    </w:p>
    <w:p>
      <w:pPr>
        <w:pStyle w:val="ZW"/>
      </w:pPr>
      <w:r>
        <w:t>近年来，自动化实验平台与人工智能技术的结合为此提供了新的技术路径。一方面，以多通道电化学工作站、精密配液单元和样品转运机构为基础的自动化实验装备，已能够完成部分标准化操作；另一方面，大语言模型在自然语言理解、任务分解与工具调用方面的能力快速提升，使 AI Agent 具备理解实验意图、编排实验流程、感知设备状态并辅助异常处置的可能。将 AI Agent 引入自动化实验平台，可推动析氢催化剂实验由“按预设流程自动执行”升级为“依据状态与结果自主优化”，形成连续迭代的智能优化能力。</w:t>
      </w:r>
    </w:p>
    <w:p>
      <w:pPr>
        <w:pStyle w:val="ZW"/>
      </w:pPr>
      <w:r>
        <w:t>从过程装备与控制工程的学科视角看，该问题本质上是“装备—流程—智能”的深度耦合：既要解决实验装备的模块化与接口标准化，又要解决长时连续运行下的状态感知与安全控制，还要解决数据驱动的决策闭环与知识沉淀。开展本课题研究，对提升催化材料研发效率、探索过程装备的智能化路径均具有现实意义。</w:t>
      </w:r>
    </w:p>
    <w:p>
      <w:pPr>
        <w:pStyle w:val="BT2"/>
      </w:pPr>
      <w:r>
        <w:t>1.2  国内外研究现状</w:t>
      </w:r>
    </w:p>
    <w:p>
      <w:pPr>
        <w:pStyle w:val="BT3"/>
      </w:pPr>
      <w:r>
        <w:t>1.2.1  析氢催化剂设计与高通量筛选</w:t>
      </w:r>
    </w:p>
    <w:p>
      <w:pPr>
        <w:pStyle w:val="ZW"/>
      </w:pPr>
      <w:r>
        <w:t>析氢催化剂研究已从经验试错逐步走向理性设计。以氢吸附自由能（ΔG_H*）为描述符的第一性原理计算，为合金、磷化物、硫化物、氮化物等非贵金属体系的成分筛选提供了理论依据[8]；密度泛函理论与微观动力学模型的结合，使催化活性趋势预测的可靠性不断提高。在实验侧，高通量制备与阵列式电化学测试技术显著提升了单位时间内可评价的材料数量[9,10]，部分研究将机器学习模型与高通量实验数据结合，实现了成分—性能关系的快速拟合与候选空间压缩[11-13]。</w:t>
      </w:r>
    </w:p>
    <w:p>
      <w:pPr>
        <w:pStyle w:val="ZW"/>
      </w:pPr>
      <w:r>
        <w:t>然而，现有高通量手段多集中于“制备—初筛”环节，单样品全流程验证仍依赖人工在多个独立仪器间转移与操作；实验条件记录格式不统一、失败样本难以追溯，使数据难以支撑后续建模。如何把高通量筛选的“宽”与全流程验证的“深”结合起来，是当前催化剂研发效率提升的主要障碍之一。</w:t>
      </w:r>
    </w:p>
    <w:p>
      <w:pPr>
        <w:pStyle w:val="BT3"/>
      </w:pPr>
      <w:r>
        <w:t>1.2.2  自动化实验平台与自主实验室</w:t>
      </w:r>
    </w:p>
    <w:p>
      <w:pPr>
        <w:pStyle w:val="ZW"/>
      </w:pPr>
      <w:r>
        <w:t>自动化实验装备的发展为上述问题提供了工程基础。Burger 等研制的移动机器人化学家实现了在标准实验室环境中的自主样品处理与表征，验证了机器人在非结构化实验空间中完成多步操作的可行性[4]；MacLeod 等构建的薄膜材料自驱动实验室，将合成、表征与贝叶斯优化集成于一体，实现了材料性能的自动寻优[5]；Szymanski 等报道的 A-Lab 平台在 17 天内连续完成 58 种目标化合物的合成与结构判定，展示了自主实验室在长时连续运行方面的潜力[1]。</w:t>
      </w:r>
    </w:p>
    <w:p>
      <w:pPr>
        <w:pStyle w:val="ZW"/>
      </w:pPr>
      <w:r>
        <w:t>上述工作的共性思路是“自动化装备 + 优化算法”构成闭环[6]，流动化学等领域的实践也表明自动化与智能化结合可显著提升实验通量[14]，但其适用场景多为单一合成路线或标准化表征流程。面向电化学湿实验时，流程呈现多步串行、样品需在配液—制备—测试工位间多次转运、清洗与电极处理要求高等特点，对模块化设计、接口标准化和异常处置能力提出了更高要求。现有平台在设备种类扩展、通信协议统一和长时无人值守方面仍显不足，异常发生后通常需要人工判断故障位置并恢复实验状态。</w:t>
      </w:r>
    </w:p>
    <w:p>
      <w:pPr>
        <w:pStyle w:val="BT3"/>
      </w:pPr>
      <w:r>
        <w:t>1.2.3  大语言模型与 AI Agent 在化学实验中的应用</w:t>
      </w:r>
    </w:p>
    <w:p>
      <w:pPr>
        <w:pStyle w:val="ZW"/>
      </w:pPr>
      <w:r>
        <w:t>大语言模型的出现为实验过程的智能托管提供了新工具。Boiko 等提出的 Coscientist 系统可调用技术文档、代码解释器与仪器接口，自主完成文献检索、实验方案设计与部分实验操作[2]；Bran 等将化学工具库与大模型结合，使模型能够通过工具调用完成分子性质预测与反应规划[3]。此类工作表明，大模型在实验意图理解、流程编排和结果解释方面具有明显优势。</w:t>
      </w:r>
    </w:p>
    <w:p>
      <w:pPr>
        <w:pStyle w:val="ZW"/>
      </w:pPr>
      <w:r>
        <w:t>但将大模型直接用于真实实验装置仍存在三方面问题：一是幻觉与推理不确定性，错误指令可能造成样品报废甚至设备损坏；二是缺乏对物理设备状态的持续感知，难以判断“当前实验进行到哪一步、是否出现异常”；三是权限与安全机制缺失，缺少人工确认、指令白名单和操作审计等工程约束。因此，面向实际实验过程的 AI Agent 不能是“大模型直连设备”，而应是“大模型负责决策、状态机与技能库负责受控执行”的分层架构。</w:t>
      </w:r>
    </w:p>
    <w:p>
      <w:pPr>
        <w:pStyle w:val="ZW"/>
      </w:pPr>
      <w:r>
        <w:t>此外，大模型生成实验方案时若仅依赖参数记忆，容易忽略具体材料体系的工艺窗口与安全约束；将其与本地文献知识库、历史实验数据结合，通过检索增强生成（RAG）约束推荐范围，是提升方案可用性的有效途径[7]。</w:t>
      </w:r>
    </w:p>
    <w:p>
      <w:pPr>
        <w:pStyle w:val="BT2"/>
      </w:pPr>
      <w:r>
        <w:t>1.3  现有技术缺口</w:t>
      </w:r>
    </w:p>
    <w:p>
      <w:pPr>
        <w:pStyle w:val="ZW"/>
      </w:pPr>
      <w:r>
        <w:t>综合上述分析，面向析氢催化剂的智能优化系统仍存在三个相互关联的技术缺口，与本赛题提出的三项技术痛点一一对应。</w:t>
      </w:r>
    </w:p>
    <w:p>
      <w:pPr>
        <w:pStyle w:val="ZW"/>
      </w:pPr>
      <w:r>
        <w:t>（1）重复实验操作的自动化执行能力不足。析氢催化剂湿实验包含基底处理、溶液配制、材料制备、电化学测试、清洗转移等多个重复环节，各环节所用仪器通信协议各异、接口标准不统一，实验流程难以模块化封装与灵活重组，导致自动化平台扩展成本高、复用性差。</w:t>
      </w:r>
    </w:p>
    <w:p>
      <w:pPr>
        <w:pStyle w:val="ZW"/>
      </w:pPr>
      <w:r>
        <w:t>（2）长时连续运行的无人值守能力不足。现有平台能够按预设流程完成实验操作，但在长时间连续运行中缺乏对设备状态与实验进度的连续感知，通信异常、操作中断、设备故障发生后，往往需要人工判断异常位置与当前实验状态并完成恢复，难以支撑实验过程的长期自主运行。</w:t>
      </w:r>
    </w:p>
    <w:p>
      <w:pPr>
        <w:pStyle w:val="ZW"/>
      </w:pPr>
      <w:r>
        <w:t>（3）实验结果与后续实验设计缺少连续衔接。单轮实验完成后，通常仍需研究者结合实验结果与文献信息重新分析材料性能并制定后续方案，实验执行与下一轮设计之间缺少自动衔接，实验数据也难以沉淀为可复用的知识，难以形成持续迭代的材料优化过程。</w:t>
      </w:r>
    </w:p>
    <w:p>
      <w:pPr>
        <w:pStyle w:val="BT2"/>
      </w:pPr>
      <w:r>
        <w:t>1.4  研究目标与主要工作</w:t>
      </w:r>
    </w:p>
    <w:p>
      <w:pPr>
        <w:pStyle w:val="ZW"/>
      </w:pPr>
      <w:r>
        <w:t>本报告的研究目标是：面向析氢催化剂典型湿实验流程，设计一套“自动化实验平台 + AI Agent 智能托管 + 结果驱动闭环优化”的系统总体方案，明确系统功能划分、模块接口、智能决策机制与验证路线，并给出可实施的技术路线与评价指标。围绕该目标，主要开展以下四方面工作。</w:t>
      </w:r>
    </w:p>
    <w:p>
      <w:pPr>
        <w:pStyle w:val="ZW"/>
      </w:pPr>
      <w:r>
        <w:t>（1）析氢催化剂湿实验流程解构与需求分析。梳理典型湿实验工序，评估各工序的自动化可行性与关键约束，建立系统需求指标体系，形成设计输入。</w:t>
      </w:r>
    </w:p>
    <w:p>
      <w:pPr>
        <w:pStyle w:val="ZW"/>
      </w:pPr>
      <w:r>
        <w:t>（2）自动化实验平台总体方案设计。提出四层系统架构，划分配液、材料制备、电化学测试、转移清洗等功能模块，设计统一的设备语义模型、协议适配与工序编排机制，并给出安全联锁与断点续跑等可靠性设计。</w:t>
      </w:r>
    </w:p>
    <w:p>
      <w:pPr>
        <w:pStyle w:val="ZW"/>
      </w:pPr>
      <w:r>
        <w:t>（3）面向实验过程的 AI Agent 系统设计。建立实验状态感知与语义建模方法，设计技能库与工具调用规范，提出异常处置策略与人在环机制，并通过状态机兜底、权限分级和审计日志构建可靠性护栏。</w:t>
      </w:r>
    </w:p>
    <w:p>
      <w:pPr>
        <w:pStyle w:val="ZW"/>
      </w:pPr>
      <w:r>
        <w:t>（4）实验反馈驱动的闭环优化机制与验证方案。设计实验结果结构化与知识沉淀方案，构建文献与数据联合检索及候选方案推荐方法，形成“设计—执行—反馈—分析—再设计”的闭环流程，并给出分级验证用例、异常注入测试与实施计划。</w:t>
      </w:r>
    </w:p>
    <w:p>
      <w:pPr>
        <w:pStyle w:val="20"/>
      </w:pPr>
      <w:r>
        <w:t>第二章  析氢催化剂湿实验流程解构与需求分析</w:t>
      </w:r>
    </w:p>
    <w:p>
      <w:pPr>
        <w:pStyle w:val="BT2"/>
      </w:pPr>
      <w:r>
        <w:t>2.1  典型湿实验流程与工序拆分</w:t>
      </w:r>
    </w:p>
    <w:p>
      <w:pPr>
        <w:pStyle w:val="ZW"/>
      </w:pPr>
      <w:r>
        <w:t>析氢催化剂的湿实验验证通常围绕“基底—催化层—性能”三个对象展开。以碱性电解水常用的泡沫镍基底、镍钼合金催化层为例，单轮完整的实验流程可拆分为六个工序：基底预处理、溶液配制、材料制备、电化学测试、清洗与转移、数据采集与记录。</w:t>
      </w:r>
    </w:p>
    <w:p>
      <w:pPr>
        <w:pStyle w:val="ZW"/>
      </w:pPr>
      <w:r>
        <w:t>基底预处理包括打磨、超声清洗、去离子水冲洗与干燥，目的是获得洁净且一致的表面状态；溶液配制包括前驱体称量、移液、定容与 pH 调节，其精度直接影响镀层成分；材料制备以恒电位/恒电流电沉积为主，也可采用水热或滴涂工艺，关键参数为沉积电位、时间、温度与搅拌；电化学测试依次完成开路电位稳定、线性扫描伏安（LSV）、循环伏安（CV）、电化学阻抗谱（EIS）与恒电流稳定性测试；清洗与转移负责样品在工位间的转运与残余电解液去除；数据采集与记录则需完成曲线导出、指标计算与归档。</w:t>
      </w:r>
    </w:p>
    <w:p>
      <w:pPr>
        <w:pStyle w:val="ZW"/>
      </w:pPr>
      <w:r>
        <w:t>按单轮实验统计，上述流程的人工干预点约为 18～22 处，其中称量、移液、电极更换、样品转运和参数设置占用时间最多，单轮有效实验时间约 6～10 h。人工操作不仅占用研究时间，还引入批次间一致性波动，尤其在连续多轮实验中，操作偏差会累积并掩盖材料本身性能差异。</w:t>
      </w:r>
    </w:p>
    <w:p>
      <w:pPr>
        <w:pStyle w:val="BT2"/>
      </w:pPr>
      <w:r>
        <w:t>2.2  实验对象与关键性能指标</w:t>
      </w:r>
    </w:p>
    <w:p>
      <w:pPr>
        <w:pStyle w:val="ZW"/>
      </w:pPr>
      <w:r>
        <w:t>为使方案具有可验证性，本报告选取碱性析氢（1 mol/L KOH）作为目标体系，以泡沫镍为基底、镍钼合金镀层为候选材料，以镀液中钼镍摩尔比、沉积电位、沉积时间、镀液温度、pH 值与搅拌速率为主要工艺变量，构成 6 维参数空间。</w:t>
      </w:r>
    </w:p>
    <w:p>
      <w:pPr>
        <w:pStyle w:val="ZW"/>
      </w:pPr>
      <w:r>
        <w:t>性能评价采用以下指标：在 10 mA/cm² 电流密度下的过电位 η10（目标优于 80 mV）、Tafel 斜率（目标低于 60 mV/dec）、双电层电容 Cdl（用于表征电化学活性面积）、恒电流连续运行 100 h 的电位衰减率（目标低于 10%）、法拉第效率以及同一配方重复三次的指标相对标准偏差（RSD，目标低于 5%）。上述指标既包含活性、动力学与稳定性，也覆盖重复性，能够较全面地反映材料真实性能，避免因单点指标波动导致错误筛选。</w:t>
      </w:r>
    </w:p>
    <w:p>
      <w:pPr>
        <w:pStyle w:val="BT2"/>
      </w:pPr>
      <w:r>
        <w:t>2.3  工序自动化可行性评估</w:t>
      </w:r>
    </w:p>
    <w:p>
      <w:pPr>
        <w:pStyle w:val="ZW"/>
      </w:pPr>
      <w:r>
        <w:t>并非所有环节都以相同难度自动化。从操作确定性、设备可控性和工艺约束三方面对各工序进行评估，结果如表 2.1 所示。评估结论是：溶液配制、材料制备与电化学测试的自动化可行性较高，是平台建设的重点；基底预处理与清洗转移的难点集中在一致性与定位精度，需要借助工装与视觉辅助；数据采集环节的关键在于统一数据模型，而非机械动作本身。</w:t>
      </w:r>
    </w:p>
    <w:p>
      <w:pPr>
        <w:pStyle w:val="BTTC"/>
      </w:pPr>
      <w:r>
        <w:t>表2.1  湿实验工序自动化可行性评估</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04"/>
        <w:gridCol w:w="1814"/>
        <w:gridCol w:w="1361"/>
        <w:gridCol w:w="1701"/>
        <w:gridCol w:w="2665"/>
      </w:tblGrid>
      <w:tr>
        <w:trPr>
          <w:cantSplit/>
        </w:trPr>
        <w:tc>
          <w:tcPr>
            <w:tcW w:type="dxa" w:w="1304"/>
            <w:vAlign w:val="center"/>
          </w:tcPr>
          <w:p>
            <w:pPr>
              <w:pStyle w:val="BGWZ"/>
              <w:keepNext/>
            </w:pPr>
            <w:r>
              <w:rPr>
                <w:rFonts w:ascii="Times New Roman" w:hAnsi="Times New Roman" w:eastAsia="黑体"/>
                <w:b/>
                <w:sz w:val="21"/>
              </w:rPr>
              <w:t>工序</w:t>
            </w:r>
          </w:p>
        </w:tc>
        <w:tc>
          <w:tcPr>
            <w:tcW w:type="dxa" w:w="1814"/>
            <w:vAlign w:val="center"/>
          </w:tcPr>
          <w:p>
            <w:pPr>
              <w:pStyle w:val="BGWZ"/>
              <w:keepNext/>
            </w:pPr>
            <w:r>
              <w:rPr>
                <w:rFonts w:ascii="Times New Roman" w:hAnsi="Times New Roman" w:eastAsia="黑体"/>
                <w:b/>
                <w:sz w:val="21"/>
              </w:rPr>
              <w:t>主要操作</w:t>
            </w:r>
          </w:p>
        </w:tc>
        <w:tc>
          <w:tcPr>
            <w:tcW w:type="dxa" w:w="1361"/>
            <w:vAlign w:val="center"/>
          </w:tcPr>
          <w:p>
            <w:pPr>
              <w:pStyle w:val="BGWZ"/>
              <w:keepNext/>
            </w:pPr>
            <w:r>
              <w:rPr>
                <w:rFonts w:ascii="Times New Roman" w:hAnsi="Times New Roman" w:eastAsia="黑体"/>
                <w:b/>
                <w:sz w:val="21"/>
              </w:rPr>
              <w:t>人工干预点</w:t>
            </w:r>
          </w:p>
        </w:tc>
        <w:tc>
          <w:tcPr>
            <w:tcW w:type="dxa" w:w="1701"/>
            <w:vAlign w:val="center"/>
          </w:tcPr>
          <w:p>
            <w:pPr>
              <w:pStyle w:val="BGWZ"/>
              <w:keepNext/>
            </w:pPr>
            <w:r>
              <w:rPr>
                <w:rFonts w:ascii="Times New Roman" w:hAnsi="Times New Roman" w:eastAsia="黑体"/>
                <w:b/>
                <w:sz w:val="21"/>
              </w:rPr>
              <w:t>自动化难点</w:t>
            </w:r>
          </w:p>
        </w:tc>
        <w:tc>
          <w:tcPr>
            <w:tcW w:type="dxa" w:w="2665"/>
            <w:vAlign w:val="center"/>
          </w:tcPr>
          <w:p>
            <w:pPr>
              <w:pStyle w:val="BGWZ"/>
              <w:keepNext/>
            </w:pPr>
            <w:r>
              <w:rPr>
                <w:rFonts w:ascii="Times New Roman" w:hAnsi="Times New Roman" w:eastAsia="黑体"/>
                <w:b/>
                <w:sz w:val="21"/>
              </w:rPr>
              <w:t>自动化方案</w:t>
            </w:r>
          </w:p>
        </w:tc>
      </w:tr>
      <w:tr>
        <w:trPr>
          <w:cantSplit/>
        </w:trPr>
        <w:tc>
          <w:tcPr>
            <w:tcW w:type="dxa" w:w="1304"/>
            <w:vAlign w:val="center"/>
          </w:tcPr>
          <w:p>
            <w:pPr>
              <w:pStyle w:val="BGWZ"/>
              <w:keepNext/>
            </w:pPr>
            <w:r>
              <w:rPr>
                <w:rFonts w:ascii="Times New Roman" w:hAnsi="Times New Roman" w:eastAsia="宋体"/>
                <w:sz w:val="21"/>
              </w:rPr>
              <w:t>基底预处理</w:t>
            </w:r>
          </w:p>
        </w:tc>
        <w:tc>
          <w:tcPr>
            <w:tcW w:type="dxa" w:w="1814"/>
            <w:vAlign w:val="center"/>
          </w:tcPr>
          <w:p>
            <w:pPr>
              <w:pStyle w:val="BGWZ"/>
              <w:keepNext/>
            </w:pPr>
            <w:r>
              <w:rPr>
                <w:rFonts w:ascii="Times New Roman" w:hAnsi="Times New Roman" w:eastAsia="宋体"/>
                <w:sz w:val="21"/>
              </w:rPr>
              <w:t>打磨、超声清洗、冲洗、干燥</w:t>
            </w:r>
          </w:p>
        </w:tc>
        <w:tc>
          <w:tcPr>
            <w:tcW w:type="dxa" w:w="1361"/>
            <w:vAlign w:val="center"/>
          </w:tcPr>
          <w:p>
            <w:pPr>
              <w:pStyle w:val="BGWZ"/>
              <w:keepNext/>
            </w:pPr>
            <w:r>
              <w:rPr>
                <w:rFonts w:ascii="Times New Roman" w:hAnsi="Times New Roman" w:eastAsia="宋体"/>
                <w:sz w:val="21"/>
              </w:rPr>
              <w:t>3～4</w:t>
            </w:r>
          </w:p>
        </w:tc>
        <w:tc>
          <w:tcPr>
            <w:tcW w:type="dxa" w:w="1701"/>
            <w:vAlign w:val="center"/>
          </w:tcPr>
          <w:p>
            <w:pPr>
              <w:pStyle w:val="BGWZ"/>
              <w:keepNext/>
            </w:pPr>
            <w:r>
              <w:rPr>
                <w:rFonts w:ascii="Times New Roman" w:hAnsi="Times New Roman" w:eastAsia="宋体"/>
                <w:sz w:val="21"/>
              </w:rPr>
              <w:t>表面状态一致性</w:t>
            </w:r>
          </w:p>
        </w:tc>
        <w:tc>
          <w:tcPr>
            <w:tcW w:type="dxa" w:w="2665"/>
            <w:vAlign w:val="center"/>
          </w:tcPr>
          <w:p>
            <w:pPr>
              <w:pStyle w:val="BGWZ"/>
              <w:keepNext/>
            </w:pPr>
            <w:r>
              <w:rPr>
                <w:rFonts w:ascii="Times New Roman" w:hAnsi="Times New Roman" w:eastAsia="宋体"/>
                <w:sz w:val="21"/>
              </w:rPr>
              <w:t>固定工装 + 定时超声 + 冲洗循环</w:t>
            </w:r>
          </w:p>
        </w:tc>
      </w:tr>
      <w:tr>
        <w:trPr>
          <w:cantSplit/>
        </w:trPr>
        <w:tc>
          <w:tcPr>
            <w:tcW w:type="dxa" w:w="1304"/>
            <w:vAlign w:val="center"/>
          </w:tcPr>
          <w:p>
            <w:pPr>
              <w:pStyle w:val="BGWZ"/>
              <w:keepNext/>
            </w:pPr>
            <w:r>
              <w:rPr>
                <w:rFonts w:ascii="Times New Roman" w:hAnsi="Times New Roman" w:eastAsia="宋体"/>
                <w:sz w:val="21"/>
              </w:rPr>
              <w:t>溶液配制</w:t>
            </w:r>
          </w:p>
        </w:tc>
        <w:tc>
          <w:tcPr>
            <w:tcW w:type="dxa" w:w="1814"/>
            <w:vAlign w:val="center"/>
          </w:tcPr>
          <w:p>
            <w:pPr>
              <w:pStyle w:val="BGWZ"/>
              <w:keepNext/>
            </w:pPr>
            <w:r>
              <w:rPr>
                <w:rFonts w:ascii="Times New Roman" w:hAnsi="Times New Roman" w:eastAsia="宋体"/>
                <w:sz w:val="21"/>
              </w:rPr>
              <w:t>称量、移液、定容、pH 调节</w:t>
            </w:r>
          </w:p>
        </w:tc>
        <w:tc>
          <w:tcPr>
            <w:tcW w:type="dxa" w:w="1361"/>
            <w:vAlign w:val="center"/>
          </w:tcPr>
          <w:p>
            <w:pPr>
              <w:pStyle w:val="BGWZ"/>
              <w:keepNext/>
            </w:pPr>
            <w:r>
              <w:rPr>
                <w:rFonts w:ascii="Times New Roman" w:hAnsi="Times New Roman" w:eastAsia="宋体"/>
                <w:sz w:val="21"/>
              </w:rPr>
              <w:t>4～5</w:t>
            </w:r>
          </w:p>
        </w:tc>
        <w:tc>
          <w:tcPr>
            <w:tcW w:type="dxa" w:w="1701"/>
            <w:vAlign w:val="center"/>
          </w:tcPr>
          <w:p>
            <w:pPr>
              <w:pStyle w:val="BGWZ"/>
              <w:keepNext/>
            </w:pPr>
            <w:r>
              <w:rPr>
                <w:rFonts w:ascii="Times New Roman" w:hAnsi="Times New Roman" w:eastAsia="宋体"/>
                <w:sz w:val="21"/>
              </w:rPr>
              <w:t>微量称量与 pH 闭环</w:t>
            </w:r>
          </w:p>
        </w:tc>
        <w:tc>
          <w:tcPr>
            <w:tcW w:type="dxa" w:w="2665"/>
            <w:vAlign w:val="center"/>
          </w:tcPr>
          <w:p>
            <w:pPr>
              <w:pStyle w:val="BGWZ"/>
              <w:keepNext/>
            </w:pPr>
            <w:r>
              <w:rPr>
                <w:rFonts w:ascii="Times New Roman" w:hAnsi="Times New Roman" w:eastAsia="宋体"/>
                <w:sz w:val="21"/>
              </w:rPr>
              <w:t>0.1 mg 天平 + 多通道泵 + pH 在线反馈</w:t>
            </w:r>
          </w:p>
        </w:tc>
      </w:tr>
      <w:tr>
        <w:trPr>
          <w:cantSplit/>
        </w:trPr>
        <w:tc>
          <w:tcPr>
            <w:tcW w:type="dxa" w:w="1304"/>
            <w:vAlign w:val="center"/>
          </w:tcPr>
          <w:p>
            <w:pPr>
              <w:pStyle w:val="BGWZ"/>
              <w:keepNext/>
            </w:pPr>
            <w:r>
              <w:rPr>
                <w:rFonts w:ascii="Times New Roman" w:hAnsi="Times New Roman" w:eastAsia="宋体"/>
                <w:sz w:val="21"/>
              </w:rPr>
              <w:t>材料制备</w:t>
            </w:r>
          </w:p>
        </w:tc>
        <w:tc>
          <w:tcPr>
            <w:tcW w:type="dxa" w:w="1814"/>
            <w:vAlign w:val="center"/>
          </w:tcPr>
          <w:p>
            <w:pPr>
              <w:pStyle w:val="BGWZ"/>
              <w:keepNext/>
            </w:pPr>
            <w:r>
              <w:rPr>
                <w:rFonts w:ascii="Times New Roman" w:hAnsi="Times New Roman" w:eastAsia="宋体"/>
                <w:sz w:val="21"/>
              </w:rPr>
              <w:t>电沉积、水热、滴涂</w:t>
            </w:r>
          </w:p>
        </w:tc>
        <w:tc>
          <w:tcPr>
            <w:tcW w:type="dxa" w:w="1361"/>
            <w:vAlign w:val="center"/>
          </w:tcPr>
          <w:p>
            <w:pPr>
              <w:pStyle w:val="BGWZ"/>
              <w:keepNext/>
            </w:pPr>
            <w:r>
              <w:rPr>
                <w:rFonts w:ascii="Times New Roman" w:hAnsi="Times New Roman" w:eastAsia="宋体"/>
                <w:sz w:val="21"/>
              </w:rPr>
              <w:t>2～3</w:t>
            </w:r>
          </w:p>
        </w:tc>
        <w:tc>
          <w:tcPr>
            <w:tcW w:type="dxa" w:w="1701"/>
            <w:vAlign w:val="center"/>
          </w:tcPr>
          <w:p>
            <w:pPr>
              <w:pStyle w:val="BGWZ"/>
              <w:keepNext/>
            </w:pPr>
            <w:r>
              <w:rPr>
                <w:rFonts w:ascii="Times New Roman" w:hAnsi="Times New Roman" w:eastAsia="宋体"/>
                <w:sz w:val="21"/>
              </w:rPr>
              <w:t>工艺参数时序控制</w:t>
            </w:r>
          </w:p>
        </w:tc>
        <w:tc>
          <w:tcPr>
            <w:tcW w:type="dxa" w:w="2665"/>
            <w:vAlign w:val="center"/>
          </w:tcPr>
          <w:p>
            <w:pPr>
              <w:pStyle w:val="BGWZ"/>
              <w:keepNext/>
            </w:pPr>
            <w:r>
              <w:rPr>
                <w:rFonts w:ascii="Times New Roman" w:hAnsi="Times New Roman" w:eastAsia="宋体"/>
                <w:sz w:val="21"/>
              </w:rPr>
              <w:t>恒温槽 + 可编程电源 + 机械臂定位</w:t>
            </w:r>
          </w:p>
        </w:tc>
      </w:tr>
      <w:tr>
        <w:trPr>
          <w:cantSplit/>
        </w:trPr>
        <w:tc>
          <w:tcPr>
            <w:tcW w:type="dxa" w:w="1304"/>
            <w:vAlign w:val="center"/>
          </w:tcPr>
          <w:p>
            <w:pPr>
              <w:pStyle w:val="BGWZ"/>
              <w:keepNext/>
            </w:pPr>
            <w:r>
              <w:rPr>
                <w:rFonts w:ascii="Times New Roman" w:hAnsi="Times New Roman" w:eastAsia="宋体"/>
                <w:sz w:val="21"/>
              </w:rPr>
              <w:t>电化学测试</w:t>
            </w:r>
          </w:p>
        </w:tc>
        <w:tc>
          <w:tcPr>
            <w:tcW w:type="dxa" w:w="1814"/>
            <w:vAlign w:val="center"/>
          </w:tcPr>
          <w:p>
            <w:pPr>
              <w:pStyle w:val="BGWZ"/>
              <w:keepNext/>
            </w:pPr>
            <w:r>
              <w:rPr>
                <w:rFonts w:ascii="Times New Roman" w:hAnsi="Times New Roman" w:eastAsia="宋体"/>
                <w:sz w:val="21"/>
              </w:rPr>
              <w:t>LSV、CV、EIS、恒流测试</w:t>
            </w:r>
          </w:p>
        </w:tc>
        <w:tc>
          <w:tcPr>
            <w:tcW w:type="dxa" w:w="1361"/>
            <w:vAlign w:val="center"/>
          </w:tcPr>
          <w:p>
            <w:pPr>
              <w:pStyle w:val="BGWZ"/>
              <w:keepNext/>
            </w:pPr>
            <w:r>
              <w:rPr>
                <w:rFonts w:ascii="Times New Roman" w:hAnsi="Times New Roman" w:eastAsia="宋体"/>
                <w:sz w:val="21"/>
              </w:rPr>
              <w:t>2～3</w:t>
            </w:r>
          </w:p>
        </w:tc>
        <w:tc>
          <w:tcPr>
            <w:tcW w:type="dxa" w:w="1701"/>
            <w:vAlign w:val="center"/>
          </w:tcPr>
          <w:p>
            <w:pPr>
              <w:pStyle w:val="BGWZ"/>
              <w:keepNext/>
            </w:pPr>
            <w:r>
              <w:rPr>
                <w:rFonts w:ascii="Times New Roman" w:hAnsi="Times New Roman" w:eastAsia="宋体"/>
                <w:sz w:val="21"/>
              </w:rPr>
              <w:t>电极更换与接触电阻</w:t>
            </w:r>
          </w:p>
        </w:tc>
        <w:tc>
          <w:tcPr>
            <w:tcW w:type="dxa" w:w="2665"/>
            <w:vAlign w:val="center"/>
          </w:tcPr>
          <w:p>
            <w:pPr>
              <w:pStyle w:val="BGWZ"/>
              <w:keepNext/>
            </w:pPr>
            <w:r>
              <w:rPr>
                <w:rFonts w:ascii="Times New Roman" w:hAnsi="Times New Roman" w:eastAsia="宋体"/>
                <w:sz w:val="21"/>
              </w:rPr>
              <w:t>多通道恒电位仪 + 自动换样机构</w:t>
            </w:r>
          </w:p>
        </w:tc>
      </w:tr>
      <w:tr>
        <w:trPr>
          <w:cantSplit/>
        </w:trPr>
        <w:tc>
          <w:tcPr>
            <w:tcW w:type="dxa" w:w="1304"/>
            <w:vAlign w:val="center"/>
          </w:tcPr>
          <w:p>
            <w:pPr>
              <w:pStyle w:val="BGWZ"/>
              <w:keepNext/>
            </w:pPr>
            <w:r>
              <w:rPr>
                <w:rFonts w:ascii="Times New Roman" w:hAnsi="Times New Roman" w:eastAsia="宋体"/>
                <w:sz w:val="21"/>
              </w:rPr>
              <w:t>清洗与转移</w:t>
            </w:r>
          </w:p>
        </w:tc>
        <w:tc>
          <w:tcPr>
            <w:tcW w:type="dxa" w:w="1814"/>
            <w:vAlign w:val="center"/>
          </w:tcPr>
          <w:p>
            <w:pPr>
              <w:pStyle w:val="BGWZ"/>
              <w:keepNext/>
            </w:pPr>
            <w:r>
              <w:rPr>
                <w:rFonts w:ascii="Times New Roman" w:hAnsi="Times New Roman" w:eastAsia="宋体"/>
                <w:sz w:val="21"/>
              </w:rPr>
              <w:t>冲洗、干燥、工位转运</w:t>
            </w:r>
          </w:p>
        </w:tc>
        <w:tc>
          <w:tcPr>
            <w:tcW w:type="dxa" w:w="1361"/>
            <w:vAlign w:val="center"/>
          </w:tcPr>
          <w:p>
            <w:pPr>
              <w:pStyle w:val="BGWZ"/>
              <w:keepNext/>
            </w:pPr>
            <w:r>
              <w:rPr>
                <w:rFonts w:ascii="Times New Roman" w:hAnsi="Times New Roman" w:eastAsia="宋体"/>
                <w:sz w:val="21"/>
              </w:rPr>
              <w:t>3～4</w:t>
            </w:r>
          </w:p>
        </w:tc>
        <w:tc>
          <w:tcPr>
            <w:tcW w:type="dxa" w:w="1701"/>
            <w:vAlign w:val="center"/>
          </w:tcPr>
          <w:p>
            <w:pPr>
              <w:pStyle w:val="BGWZ"/>
              <w:keepNext/>
            </w:pPr>
            <w:r>
              <w:rPr>
                <w:rFonts w:ascii="Times New Roman" w:hAnsi="Times New Roman" w:eastAsia="宋体"/>
                <w:sz w:val="21"/>
              </w:rPr>
              <w:t>跨工位定位精度</w:t>
            </w:r>
          </w:p>
        </w:tc>
        <w:tc>
          <w:tcPr>
            <w:tcW w:type="dxa" w:w="2665"/>
            <w:vAlign w:val="center"/>
          </w:tcPr>
          <w:p>
            <w:pPr>
              <w:pStyle w:val="BGWZ"/>
              <w:keepNext/>
            </w:pPr>
            <w:r>
              <w:rPr>
                <w:rFonts w:ascii="Times New Roman" w:hAnsi="Times New Roman" w:eastAsia="宋体"/>
                <w:sz w:val="21"/>
              </w:rPr>
              <w:t>三轴平台或机械臂 + 视觉定位</w:t>
            </w:r>
          </w:p>
        </w:tc>
      </w:tr>
      <w:tr>
        <w:trPr>
          <w:cantSplit/>
        </w:trPr>
        <w:tc>
          <w:tcPr>
            <w:tcW w:type="dxa" w:w="1304"/>
            <w:vAlign w:val="center"/>
          </w:tcPr>
          <w:p>
            <w:pPr>
              <w:pStyle w:val="BGWZ"/>
            </w:pPr>
            <w:r>
              <w:rPr>
                <w:rFonts w:ascii="Times New Roman" w:hAnsi="Times New Roman" w:eastAsia="宋体"/>
                <w:sz w:val="21"/>
              </w:rPr>
              <w:t>数据采集与记录</w:t>
            </w:r>
          </w:p>
        </w:tc>
        <w:tc>
          <w:tcPr>
            <w:tcW w:type="dxa" w:w="1814"/>
            <w:vAlign w:val="center"/>
          </w:tcPr>
          <w:p>
            <w:pPr>
              <w:pStyle w:val="BGWZ"/>
            </w:pPr>
            <w:r>
              <w:rPr>
                <w:rFonts w:ascii="Times New Roman" w:hAnsi="Times New Roman" w:eastAsia="宋体"/>
                <w:sz w:val="21"/>
              </w:rPr>
              <w:t>曲线导出、指标计算、归档</w:t>
            </w:r>
          </w:p>
        </w:tc>
        <w:tc>
          <w:tcPr>
            <w:tcW w:type="dxa" w:w="1361"/>
            <w:vAlign w:val="center"/>
          </w:tcPr>
          <w:p>
            <w:pPr>
              <w:pStyle w:val="BGWZ"/>
            </w:pPr>
            <w:r>
              <w:rPr>
                <w:rFonts w:ascii="Times New Roman" w:hAnsi="Times New Roman" w:eastAsia="宋体"/>
                <w:sz w:val="21"/>
              </w:rPr>
              <w:t>2</w:t>
            </w:r>
          </w:p>
        </w:tc>
        <w:tc>
          <w:tcPr>
            <w:tcW w:type="dxa" w:w="1701"/>
            <w:vAlign w:val="center"/>
          </w:tcPr>
          <w:p>
            <w:pPr>
              <w:pStyle w:val="BGWZ"/>
            </w:pPr>
            <w:r>
              <w:rPr>
                <w:rFonts w:ascii="Times New Roman" w:hAnsi="Times New Roman" w:eastAsia="宋体"/>
                <w:sz w:val="21"/>
              </w:rPr>
              <w:t>数据格式不统一</w:t>
            </w:r>
          </w:p>
        </w:tc>
        <w:tc>
          <w:tcPr>
            <w:tcW w:type="dxa" w:w="2665"/>
            <w:vAlign w:val="center"/>
          </w:tcPr>
          <w:p>
            <w:pPr>
              <w:pStyle w:val="BGWZ"/>
            </w:pPr>
            <w:r>
              <w:rPr>
                <w:rFonts w:ascii="Times New Roman" w:hAnsi="Times New Roman" w:eastAsia="宋体"/>
                <w:sz w:val="21"/>
              </w:rPr>
              <w:t>统一数据模型 + 自动入库</w:t>
            </w:r>
          </w:p>
        </w:tc>
      </w:tr>
    </w:tbl>
    <w:p>
      <w:pPr>
        <w:pStyle w:val="ZW"/>
      </w:pPr>
    </w:p>
    <w:p>
      <w:pPr>
        <w:pStyle w:val="BT2"/>
      </w:pPr>
      <w:r>
        <w:t>2.4  系统需求指标体系</w:t>
      </w:r>
    </w:p>
    <w:p>
      <w:pPr>
        <w:pStyle w:val="ZW"/>
      </w:pPr>
      <w:r>
        <w:t>在工序分析基础上，将研发需求转化为可测量、可验收的技术指标，作为后续平台设计与验证的依据，如表 2.2 所示。指标设计遵循两条原则：一是每一项指标都能对应明确的测试方法，二是指标之间相互支撑，既有过程能力指标（精度、节拍、感知周期），也有系统级结果指标（无人值守时长、自恢复率、迭代效率）。</w:t>
      </w:r>
    </w:p>
    <w:p>
      <w:pPr>
        <w:pStyle w:val="BTTC"/>
      </w:pPr>
      <w:r>
        <w:t>表2.2  系统需求与技术指标</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87"/>
        <w:gridCol w:w="2381"/>
        <w:gridCol w:w="1928"/>
        <w:gridCol w:w="3061"/>
      </w:tblGrid>
      <w:tr>
        <w:trPr>
          <w:cantSplit/>
        </w:trPr>
        <w:tc>
          <w:tcPr>
            <w:tcW w:type="dxa" w:w="1587"/>
            <w:vAlign w:val="center"/>
          </w:tcPr>
          <w:p>
            <w:pPr>
              <w:pStyle w:val="BGWZ"/>
              <w:keepNext/>
            </w:pPr>
            <w:r>
              <w:rPr>
                <w:rFonts w:ascii="Times New Roman" w:hAnsi="Times New Roman" w:eastAsia="黑体"/>
                <w:b/>
                <w:sz w:val="21"/>
              </w:rPr>
              <w:t>需求维度</w:t>
            </w:r>
          </w:p>
        </w:tc>
        <w:tc>
          <w:tcPr>
            <w:tcW w:type="dxa" w:w="2381"/>
            <w:vAlign w:val="center"/>
          </w:tcPr>
          <w:p>
            <w:pPr>
              <w:pStyle w:val="BGWZ"/>
              <w:keepNext/>
            </w:pPr>
            <w:r>
              <w:rPr>
                <w:rFonts w:ascii="Times New Roman" w:hAnsi="Times New Roman" w:eastAsia="黑体"/>
                <w:b/>
                <w:sz w:val="21"/>
              </w:rPr>
              <w:t>指标</w:t>
            </w:r>
          </w:p>
        </w:tc>
        <w:tc>
          <w:tcPr>
            <w:tcW w:type="dxa" w:w="1928"/>
            <w:vAlign w:val="center"/>
          </w:tcPr>
          <w:p>
            <w:pPr>
              <w:pStyle w:val="BGWZ"/>
              <w:keepNext/>
            </w:pPr>
            <w:r>
              <w:rPr>
                <w:rFonts w:ascii="Times New Roman" w:hAnsi="Times New Roman" w:eastAsia="黑体"/>
                <w:b/>
                <w:sz w:val="21"/>
              </w:rPr>
              <w:t>目标值</w:t>
            </w:r>
          </w:p>
        </w:tc>
        <w:tc>
          <w:tcPr>
            <w:tcW w:type="dxa" w:w="3061"/>
            <w:vAlign w:val="center"/>
          </w:tcPr>
          <w:p>
            <w:pPr>
              <w:pStyle w:val="BGWZ"/>
              <w:keepNext/>
            </w:pPr>
            <w:r>
              <w:rPr>
                <w:rFonts w:ascii="Times New Roman" w:hAnsi="Times New Roman" w:eastAsia="黑体"/>
                <w:b/>
                <w:sz w:val="21"/>
              </w:rPr>
              <w:t>说明</w:t>
            </w:r>
          </w:p>
        </w:tc>
      </w:tr>
      <w:tr>
        <w:trPr>
          <w:cantSplit/>
        </w:trPr>
        <w:tc>
          <w:tcPr>
            <w:tcW w:type="dxa" w:w="1587"/>
            <w:vAlign w:val="center"/>
          </w:tcPr>
          <w:p>
            <w:pPr>
              <w:pStyle w:val="BGWZ"/>
              <w:keepNext/>
            </w:pPr>
            <w:r>
              <w:rPr>
                <w:rFonts w:ascii="Times New Roman" w:hAnsi="Times New Roman" w:eastAsia="宋体"/>
                <w:sz w:val="21"/>
              </w:rPr>
              <w:t>实验节拍</w:t>
            </w:r>
          </w:p>
        </w:tc>
        <w:tc>
          <w:tcPr>
            <w:tcW w:type="dxa" w:w="2381"/>
            <w:vAlign w:val="center"/>
          </w:tcPr>
          <w:p>
            <w:pPr>
              <w:pStyle w:val="BGWZ"/>
              <w:keepNext/>
            </w:pPr>
            <w:r>
              <w:rPr>
                <w:rFonts w:ascii="Times New Roman" w:hAnsi="Times New Roman" w:eastAsia="宋体"/>
                <w:sz w:val="21"/>
              </w:rPr>
              <w:t>单轮实验耗时</w:t>
            </w:r>
          </w:p>
        </w:tc>
        <w:tc>
          <w:tcPr>
            <w:tcW w:type="dxa" w:w="1928"/>
            <w:vAlign w:val="center"/>
          </w:tcPr>
          <w:p>
            <w:pPr>
              <w:pStyle w:val="BGWZ"/>
              <w:keepNext/>
            </w:pPr>
            <w:r>
              <w:rPr>
                <w:rFonts w:ascii="Times New Roman" w:hAnsi="Times New Roman" w:eastAsia="宋体"/>
                <w:sz w:val="21"/>
              </w:rPr>
              <w:t>≤ 8 h</w:t>
            </w:r>
          </w:p>
        </w:tc>
        <w:tc>
          <w:tcPr>
            <w:tcW w:type="dxa" w:w="3061"/>
            <w:vAlign w:val="center"/>
          </w:tcPr>
          <w:p>
            <w:pPr>
              <w:pStyle w:val="BGWZ"/>
              <w:keepNext/>
            </w:pPr>
            <w:r>
              <w:rPr>
                <w:rFonts w:ascii="Times New Roman" w:hAnsi="Times New Roman" w:eastAsia="宋体"/>
                <w:sz w:val="21"/>
              </w:rPr>
              <w:t>含制备与测试，不含人为等待</w:t>
            </w:r>
          </w:p>
        </w:tc>
      </w:tr>
      <w:tr>
        <w:trPr>
          <w:cantSplit/>
        </w:trPr>
        <w:tc>
          <w:tcPr>
            <w:tcW w:type="dxa" w:w="1587"/>
            <w:vAlign w:val="center"/>
          </w:tcPr>
          <w:p>
            <w:pPr>
              <w:pStyle w:val="BGWZ"/>
              <w:keepNext/>
            </w:pPr>
            <w:r>
              <w:rPr>
                <w:rFonts w:ascii="Times New Roman" w:hAnsi="Times New Roman" w:eastAsia="宋体"/>
                <w:sz w:val="21"/>
              </w:rPr>
              <w:t>配液精度</w:t>
            </w:r>
          </w:p>
        </w:tc>
        <w:tc>
          <w:tcPr>
            <w:tcW w:type="dxa" w:w="2381"/>
            <w:vAlign w:val="center"/>
          </w:tcPr>
          <w:p>
            <w:pPr>
              <w:pStyle w:val="BGWZ"/>
              <w:keepNext/>
            </w:pPr>
            <w:r>
              <w:rPr>
                <w:rFonts w:ascii="Times New Roman" w:hAnsi="Times New Roman" w:eastAsia="宋体"/>
                <w:sz w:val="21"/>
              </w:rPr>
              <w:t>体积偏差 / 称量偏差</w:t>
            </w:r>
          </w:p>
        </w:tc>
        <w:tc>
          <w:tcPr>
            <w:tcW w:type="dxa" w:w="1928"/>
            <w:vAlign w:val="center"/>
          </w:tcPr>
          <w:p>
            <w:pPr>
              <w:pStyle w:val="BGWZ"/>
              <w:keepNext/>
            </w:pPr>
            <w:r>
              <w:rPr>
                <w:rFonts w:ascii="Times New Roman" w:hAnsi="Times New Roman" w:eastAsia="宋体"/>
                <w:sz w:val="21"/>
              </w:rPr>
              <w:t>≤ 1% / ≤ 0.5 mg</w:t>
            </w:r>
          </w:p>
        </w:tc>
        <w:tc>
          <w:tcPr>
            <w:tcW w:type="dxa" w:w="3061"/>
            <w:vAlign w:val="center"/>
          </w:tcPr>
          <w:p>
            <w:pPr>
              <w:pStyle w:val="BGWZ"/>
              <w:keepNext/>
            </w:pPr>
            <w:r>
              <w:rPr>
                <w:rFonts w:ascii="Times New Roman" w:hAnsi="Times New Roman" w:eastAsia="宋体"/>
                <w:sz w:val="21"/>
              </w:rPr>
              <w:t>决定配方可比性</w:t>
            </w:r>
          </w:p>
        </w:tc>
      </w:tr>
      <w:tr>
        <w:trPr>
          <w:cantSplit/>
        </w:trPr>
        <w:tc>
          <w:tcPr>
            <w:tcW w:type="dxa" w:w="1587"/>
            <w:vAlign w:val="center"/>
          </w:tcPr>
          <w:p>
            <w:pPr>
              <w:pStyle w:val="BGWZ"/>
              <w:keepNext/>
            </w:pPr>
            <w:r>
              <w:rPr>
                <w:rFonts w:ascii="Times New Roman" w:hAnsi="Times New Roman" w:eastAsia="宋体"/>
                <w:sz w:val="21"/>
              </w:rPr>
              <w:t>温度控制</w:t>
            </w:r>
          </w:p>
        </w:tc>
        <w:tc>
          <w:tcPr>
            <w:tcW w:type="dxa" w:w="2381"/>
            <w:vAlign w:val="center"/>
          </w:tcPr>
          <w:p>
            <w:pPr>
              <w:pStyle w:val="BGWZ"/>
              <w:keepNext/>
            </w:pPr>
            <w:r>
              <w:rPr>
                <w:rFonts w:ascii="Times New Roman" w:hAnsi="Times New Roman" w:eastAsia="宋体"/>
                <w:sz w:val="21"/>
              </w:rPr>
              <w:t>镀液与电解液温控</w:t>
            </w:r>
          </w:p>
        </w:tc>
        <w:tc>
          <w:tcPr>
            <w:tcW w:type="dxa" w:w="1928"/>
            <w:vAlign w:val="center"/>
          </w:tcPr>
          <w:p>
            <w:pPr>
              <w:pStyle w:val="BGWZ"/>
              <w:keepNext/>
            </w:pPr>
            <w:r>
              <w:rPr>
                <w:rFonts w:ascii="Times New Roman" w:hAnsi="Times New Roman" w:eastAsia="宋体"/>
                <w:sz w:val="21"/>
              </w:rPr>
              <w:t>± 0.5 ℃</w:t>
            </w:r>
          </w:p>
        </w:tc>
        <w:tc>
          <w:tcPr>
            <w:tcW w:type="dxa" w:w="3061"/>
            <w:vAlign w:val="center"/>
          </w:tcPr>
          <w:p>
            <w:pPr>
              <w:pStyle w:val="BGWZ"/>
              <w:keepNext/>
            </w:pPr>
            <w:r>
              <w:rPr>
                <w:rFonts w:ascii="Times New Roman" w:hAnsi="Times New Roman" w:eastAsia="宋体"/>
                <w:sz w:val="21"/>
              </w:rPr>
              <w:t>影响镀层形貌与重复性</w:t>
            </w:r>
          </w:p>
        </w:tc>
      </w:tr>
      <w:tr>
        <w:trPr>
          <w:cantSplit/>
        </w:trPr>
        <w:tc>
          <w:tcPr>
            <w:tcW w:type="dxa" w:w="1587"/>
            <w:vAlign w:val="center"/>
          </w:tcPr>
          <w:p>
            <w:pPr>
              <w:pStyle w:val="BGWZ"/>
              <w:keepNext/>
            </w:pPr>
            <w:r>
              <w:rPr>
                <w:rFonts w:ascii="Times New Roman" w:hAnsi="Times New Roman" w:eastAsia="宋体"/>
                <w:sz w:val="21"/>
              </w:rPr>
              <w:t>无人值守</w:t>
            </w:r>
          </w:p>
        </w:tc>
        <w:tc>
          <w:tcPr>
            <w:tcW w:type="dxa" w:w="2381"/>
            <w:vAlign w:val="center"/>
          </w:tcPr>
          <w:p>
            <w:pPr>
              <w:pStyle w:val="BGWZ"/>
              <w:keepNext/>
            </w:pPr>
            <w:r>
              <w:rPr>
                <w:rFonts w:ascii="Times New Roman" w:hAnsi="Times New Roman" w:eastAsia="宋体"/>
                <w:sz w:val="21"/>
              </w:rPr>
              <w:t>连续运行时长</w:t>
            </w:r>
          </w:p>
        </w:tc>
        <w:tc>
          <w:tcPr>
            <w:tcW w:type="dxa" w:w="1928"/>
            <w:vAlign w:val="center"/>
          </w:tcPr>
          <w:p>
            <w:pPr>
              <w:pStyle w:val="BGWZ"/>
              <w:keepNext/>
            </w:pPr>
            <w:r>
              <w:rPr>
                <w:rFonts w:ascii="Times New Roman" w:hAnsi="Times New Roman" w:eastAsia="宋体"/>
                <w:sz w:val="21"/>
              </w:rPr>
              <w:t>≥ 72 h</w:t>
            </w:r>
          </w:p>
        </w:tc>
        <w:tc>
          <w:tcPr>
            <w:tcW w:type="dxa" w:w="3061"/>
            <w:vAlign w:val="center"/>
          </w:tcPr>
          <w:p>
            <w:pPr>
              <w:pStyle w:val="BGWZ"/>
              <w:keepNext/>
            </w:pPr>
            <w:r>
              <w:rPr>
                <w:rFonts w:ascii="Times New Roman" w:hAnsi="Times New Roman" w:eastAsia="宋体"/>
                <w:sz w:val="21"/>
              </w:rPr>
              <w:t>期间无需人工干预</w:t>
            </w:r>
          </w:p>
        </w:tc>
      </w:tr>
      <w:tr>
        <w:trPr>
          <w:cantSplit/>
        </w:trPr>
        <w:tc>
          <w:tcPr>
            <w:tcW w:type="dxa" w:w="1587"/>
            <w:vAlign w:val="center"/>
          </w:tcPr>
          <w:p>
            <w:pPr>
              <w:pStyle w:val="BGWZ"/>
              <w:keepNext/>
            </w:pPr>
            <w:r>
              <w:rPr>
                <w:rFonts w:ascii="Times New Roman" w:hAnsi="Times New Roman" w:eastAsia="宋体"/>
                <w:sz w:val="21"/>
              </w:rPr>
              <w:t>状态感知</w:t>
            </w:r>
          </w:p>
        </w:tc>
        <w:tc>
          <w:tcPr>
            <w:tcW w:type="dxa" w:w="2381"/>
            <w:vAlign w:val="center"/>
          </w:tcPr>
          <w:p>
            <w:pPr>
              <w:pStyle w:val="BGWZ"/>
              <w:keepNext/>
            </w:pPr>
            <w:r>
              <w:rPr>
                <w:rFonts w:ascii="Times New Roman" w:hAnsi="Times New Roman" w:eastAsia="宋体"/>
                <w:sz w:val="21"/>
              </w:rPr>
              <w:t>设备状态采集周期</w:t>
            </w:r>
          </w:p>
        </w:tc>
        <w:tc>
          <w:tcPr>
            <w:tcW w:type="dxa" w:w="1928"/>
            <w:vAlign w:val="center"/>
          </w:tcPr>
          <w:p>
            <w:pPr>
              <w:pStyle w:val="BGWZ"/>
              <w:keepNext/>
            </w:pPr>
            <w:r>
              <w:rPr>
                <w:rFonts w:ascii="Times New Roman" w:hAnsi="Times New Roman" w:eastAsia="宋体"/>
                <w:sz w:val="21"/>
              </w:rPr>
              <w:t>≤ 1 s</w:t>
            </w:r>
          </w:p>
        </w:tc>
        <w:tc>
          <w:tcPr>
            <w:tcW w:type="dxa" w:w="3061"/>
            <w:vAlign w:val="center"/>
          </w:tcPr>
          <w:p>
            <w:pPr>
              <w:pStyle w:val="BGWZ"/>
              <w:keepNext/>
            </w:pPr>
            <w:r>
              <w:rPr>
                <w:rFonts w:ascii="Times New Roman" w:hAnsi="Times New Roman" w:eastAsia="宋体"/>
                <w:sz w:val="21"/>
              </w:rPr>
              <w:t>事件流时间粒度</w:t>
            </w:r>
          </w:p>
        </w:tc>
      </w:tr>
      <w:tr>
        <w:trPr>
          <w:cantSplit/>
        </w:trPr>
        <w:tc>
          <w:tcPr>
            <w:tcW w:type="dxa" w:w="1587"/>
            <w:vAlign w:val="center"/>
          </w:tcPr>
          <w:p>
            <w:pPr>
              <w:pStyle w:val="BGWZ"/>
              <w:keepNext/>
            </w:pPr>
            <w:r>
              <w:rPr>
                <w:rFonts w:ascii="Times New Roman" w:hAnsi="Times New Roman" w:eastAsia="宋体"/>
                <w:sz w:val="21"/>
              </w:rPr>
              <w:t>异常恢复</w:t>
            </w:r>
          </w:p>
        </w:tc>
        <w:tc>
          <w:tcPr>
            <w:tcW w:type="dxa" w:w="2381"/>
            <w:vAlign w:val="center"/>
          </w:tcPr>
          <w:p>
            <w:pPr>
              <w:pStyle w:val="BGWZ"/>
              <w:keepNext/>
            </w:pPr>
            <w:r>
              <w:rPr>
                <w:rFonts w:ascii="Times New Roman" w:hAnsi="Times New Roman" w:eastAsia="宋体"/>
                <w:sz w:val="21"/>
              </w:rPr>
              <w:t>可自恢复异常占比</w:t>
            </w:r>
          </w:p>
        </w:tc>
        <w:tc>
          <w:tcPr>
            <w:tcW w:type="dxa" w:w="1928"/>
            <w:vAlign w:val="center"/>
          </w:tcPr>
          <w:p>
            <w:pPr>
              <w:pStyle w:val="BGWZ"/>
              <w:keepNext/>
            </w:pPr>
            <w:r>
              <w:rPr>
                <w:rFonts w:ascii="Times New Roman" w:hAnsi="Times New Roman" w:eastAsia="宋体"/>
                <w:sz w:val="21"/>
              </w:rPr>
              <w:t>≥ 80%</w:t>
            </w:r>
          </w:p>
        </w:tc>
        <w:tc>
          <w:tcPr>
            <w:tcW w:type="dxa" w:w="3061"/>
            <w:vAlign w:val="center"/>
          </w:tcPr>
          <w:p>
            <w:pPr>
              <w:pStyle w:val="BGWZ"/>
              <w:keepNext/>
            </w:pPr>
            <w:r>
              <w:rPr>
                <w:rFonts w:ascii="Times New Roman" w:hAnsi="Times New Roman" w:eastAsia="宋体"/>
                <w:sz w:val="21"/>
              </w:rPr>
              <w:t>其余按分级上报人工</w:t>
            </w:r>
          </w:p>
        </w:tc>
      </w:tr>
      <w:tr>
        <w:trPr>
          <w:cantSplit/>
        </w:trPr>
        <w:tc>
          <w:tcPr>
            <w:tcW w:type="dxa" w:w="1587"/>
            <w:vAlign w:val="center"/>
          </w:tcPr>
          <w:p>
            <w:pPr>
              <w:pStyle w:val="BGWZ"/>
              <w:keepNext/>
            </w:pPr>
            <w:r>
              <w:rPr>
                <w:rFonts w:ascii="Times New Roman" w:hAnsi="Times New Roman" w:eastAsia="宋体"/>
                <w:sz w:val="21"/>
              </w:rPr>
              <w:t>数据完整性</w:t>
            </w:r>
          </w:p>
        </w:tc>
        <w:tc>
          <w:tcPr>
            <w:tcW w:type="dxa" w:w="2381"/>
            <w:vAlign w:val="center"/>
          </w:tcPr>
          <w:p>
            <w:pPr>
              <w:pStyle w:val="BGWZ"/>
              <w:keepNext/>
            </w:pPr>
            <w:r>
              <w:rPr>
                <w:rFonts w:ascii="Times New Roman" w:hAnsi="Times New Roman" w:eastAsia="宋体"/>
                <w:sz w:val="21"/>
              </w:rPr>
              <w:t>实验记录自动入库率</w:t>
            </w:r>
          </w:p>
        </w:tc>
        <w:tc>
          <w:tcPr>
            <w:tcW w:type="dxa" w:w="1928"/>
            <w:vAlign w:val="center"/>
          </w:tcPr>
          <w:p>
            <w:pPr>
              <w:pStyle w:val="BGWZ"/>
              <w:keepNext/>
            </w:pPr>
            <w:r>
              <w:rPr>
                <w:rFonts w:ascii="Times New Roman" w:hAnsi="Times New Roman" w:eastAsia="宋体"/>
                <w:sz w:val="21"/>
              </w:rPr>
              <w:t>100%</w:t>
            </w:r>
          </w:p>
        </w:tc>
        <w:tc>
          <w:tcPr>
            <w:tcW w:type="dxa" w:w="3061"/>
            <w:vAlign w:val="center"/>
          </w:tcPr>
          <w:p>
            <w:pPr>
              <w:pStyle w:val="BGWZ"/>
              <w:keepNext/>
            </w:pPr>
            <w:r>
              <w:rPr>
                <w:rFonts w:ascii="Times New Roman" w:hAnsi="Times New Roman" w:eastAsia="宋体"/>
                <w:sz w:val="21"/>
              </w:rPr>
              <w:t>含失败与异常样本</w:t>
            </w:r>
          </w:p>
        </w:tc>
      </w:tr>
      <w:tr>
        <w:trPr>
          <w:cantSplit/>
        </w:trPr>
        <w:tc>
          <w:tcPr>
            <w:tcW w:type="dxa" w:w="1587"/>
            <w:vAlign w:val="center"/>
          </w:tcPr>
          <w:p>
            <w:pPr>
              <w:pStyle w:val="BGWZ"/>
            </w:pPr>
            <w:r>
              <w:rPr>
                <w:rFonts w:ascii="Times New Roman" w:hAnsi="Times New Roman" w:eastAsia="宋体"/>
                <w:sz w:val="21"/>
              </w:rPr>
              <w:t>迭代效率</w:t>
            </w:r>
          </w:p>
        </w:tc>
        <w:tc>
          <w:tcPr>
            <w:tcW w:type="dxa" w:w="2381"/>
            <w:vAlign w:val="center"/>
          </w:tcPr>
          <w:p>
            <w:pPr>
              <w:pStyle w:val="BGWZ"/>
            </w:pPr>
            <w:r>
              <w:rPr>
                <w:rFonts w:ascii="Times New Roman" w:hAnsi="Times New Roman" w:eastAsia="宋体"/>
                <w:sz w:val="21"/>
              </w:rPr>
              <w:t>单轮实验方案生成耗时</w:t>
            </w:r>
          </w:p>
        </w:tc>
        <w:tc>
          <w:tcPr>
            <w:tcW w:type="dxa" w:w="1928"/>
            <w:vAlign w:val="center"/>
          </w:tcPr>
          <w:p>
            <w:pPr>
              <w:pStyle w:val="BGWZ"/>
            </w:pPr>
            <w:r>
              <w:rPr>
                <w:rFonts w:ascii="Times New Roman" w:hAnsi="Times New Roman" w:eastAsia="宋体"/>
                <w:sz w:val="21"/>
              </w:rPr>
              <w:t>≤ 30 min</w:t>
            </w:r>
          </w:p>
        </w:tc>
        <w:tc>
          <w:tcPr>
            <w:tcW w:type="dxa" w:w="3061"/>
            <w:vAlign w:val="center"/>
          </w:tcPr>
          <w:p>
            <w:pPr>
              <w:pStyle w:val="BGWZ"/>
            </w:pPr>
            <w:r>
              <w:rPr>
                <w:rFonts w:ascii="Times New Roman" w:hAnsi="Times New Roman" w:eastAsia="宋体"/>
                <w:sz w:val="21"/>
              </w:rPr>
              <w:t>由 Agent 与优化器完成</w:t>
            </w:r>
          </w:p>
        </w:tc>
      </w:tr>
    </w:tbl>
    <w:p>
      <w:pPr>
        <w:pStyle w:val="ZW"/>
      </w:pPr>
    </w:p>
    <w:p>
      <w:pPr>
        <w:pStyle w:val="ZW"/>
      </w:pPr>
      <w:r>
        <w:t>需要说明的是，指标目标值来源于现有自动化实验装备的能力边界与文献报道的可比水平，属于方案阶段的设计目标，需在验证阶段通过实测数据修正。其中“可自恢复异常占比”是区分本方案与传统自动化平台的关键指标，它直接对应赛题提出的无人值守痛点。</w:t>
      </w:r>
    </w:p>
    <w:p>
      <w:pPr>
        <w:pStyle w:val="BT2"/>
      </w:pPr>
      <w:r>
        <w:t>2.5  本章小结</w:t>
      </w:r>
    </w:p>
    <w:p>
      <w:pPr>
        <w:pStyle w:val="ZW"/>
      </w:pPr>
      <w:r>
        <w:t>本章将析氢催化剂湿实验拆解为六个工序，明确了以碱性镍钼体系为对象的 6 维工艺参数空间与包含活性、动力学、稳定性、重复性的指标体系；在工序层面评估了自动化可行性并给出对应技术方案，进而建立了包含节拍、精度、感知、无人值守、自恢复与迭代效率的系统需求指标。上述分析构成了后续平台设计与 AI Agent 设计的输入。</w:t>
      </w:r>
    </w:p>
    <w:p>
      <w:pPr>
        <w:pStyle w:val="20"/>
      </w:pPr>
      <w:r>
        <w:t>第三章  自动化实验平台总体方案</w:t>
      </w:r>
    </w:p>
    <w:p>
      <w:pPr>
        <w:pStyle w:val="BT2"/>
      </w:pPr>
      <w:r>
        <w:t>3.1  总体架构</w:t>
      </w:r>
    </w:p>
    <w:p>
      <w:pPr>
        <w:pStyle w:val="ZW"/>
      </w:pPr>
      <w:r>
        <w:t>平台采用分层解耦的总体架构，自下而上分为实验执行层、设备控制层、数据与状态层、智能决策层，如图 3.1 所示。分层设计的目的是：使硬件更换不影响上层逻辑，使智能决策不直接触碰物理设备，从而在获得灵活性的同时保证安全性与可扩展性。</w:t>
      </w:r>
    </w:p>
    <w:p>
      <w:pPr>
        <w:pStyle w:val="CT"/>
      </w:pPr>
      <w:r>
        <w:drawing>
          <wp:inline xmlns:a="http://schemas.openxmlformats.org/drawingml/2006/main" xmlns:pic="http://schemas.openxmlformats.org/drawingml/2006/picture">
            <wp:extent cx="5616000" cy="331344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22"/>
                    <a:stretch>
                      <a:fillRect/>
                    </a:stretch>
                  </pic:blipFill>
                  <pic:spPr>
                    <a:xfrm>
                      <a:off x="0" y="0"/>
                      <a:ext cx="5616000" cy="3313440"/>
                    </a:xfrm>
                    <a:prstGeom prst="rect"/>
                  </pic:spPr>
                </pic:pic>
              </a:graphicData>
            </a:graphic>
          </wp:inline>
        </w:drawing>
      </w:r>
    </w:p>
    <w:p>
      <w:pPr>
        <w:pStyle w:val="BTTC"/>
      </w:pPr>
      <w:r>
        <w:t>图3.1  析氢催化剂自动化实验平台总体架构</w:t>
      </w:r>
    </w:p>
    <w:p>
      <w:pPr>
        <w:pStyle w:val="ZW"/>
      </w:pPr>
      <w:r>
        <w:t>实验执行层由配液、材料制备、电化学测试、转移与清洗等功能模块构成，是实验操作的物理载体；设备控制层负责协议适配、工序编排与安全联锁，将上层下发的工序描述翻译为具体仪器指令；数据与状态层维护实验状态机、事件流、设备语义模型、实验数据库与审计日志，是全系统的“记忆”与“事实来源”；智能决策层运行 AI Agent，负责任务规划、异常诊断与配方推荐。层与层之间通过标准化接口交互，上层只能通过技能库调用下层能力，不能绕过控制层直接操作硬件，这一约束是系统安全性的基础。</w:t>
      </w:r>
    </w:p>
    <w:p>
      <w:pPr>
        <w:pStyle w:val="ZW"/>
      </w:pPr>
      <w:r>
        <w:t>架构中特别设置“外部资源”接入通道，用于引入文献知识库、材料数据库、设备技术文档与标准作业程序（SOP）。这些非结构化资料既是 AI Agent 理解实验任务的依据，也是异常诊断与方案生成的知识来源，避免了智能决策“凭空推理”。</w:t>
      </w:r>
    </w:p>
    <w:p>
      <w:pPr>
        <w:pStyle w:val="BT2"/>
      </w:pPr>
      <w:r>
        <w:t>3.2  功能模块划分</w:t>
      </w:r>
    </w:p>
    <w:p>
      <w:pPr>
        <w:pStyle w:val="ZW"/>
      </w:pPr>
      <w:r>
        <w:t>（1）配液模块。由精密天平（0.1 mg）、多通道蠕动泵或注射泵、定容容器、pH 电极与磁力搅拌台组成，支持按配方自动完成前驱体称量、母液配制、定容与 pH 调节。为控制交叉污染，管路按溶液类别分组并配置纯水冲洗回路；pH 调节采用“加酸/加碱—搅拌—读数”小步逼近策略，避免过冲。</w:t>
      </w:r>
    </w:p>
    <w:p>
      <w:pPr>
        <w:pStyle w:val="ZW"/>
      </w:pPr>
      <w:r>
        <w:t>（2）材料制备模块。以恒温槽、可编程直流电源与三电极电沉积工装为核心，支持恒电位、恒电流与脉冲沉积三种模式。沉积区配置温度与搅拌反馈，工装采用快换结构以适应不同尺寸基底；对水热等需要密闭容器的工艺，预留可替换的模块化接口。</w:t>
      </w:r>
    </w:p>
    <w:p>
      <w:pPr>
        <w:pStyle w:val="ZW"/>
      </w:pPr>
      <w:r>
        <w:t>（3）电化学测试模块。采用多通道恒电位仪，支持 LSV、CV、EIS 与恒电流计时电位法等测试序列，配置自动换样机构与参比电极存放池。测试前自动完成电极抛光、冲洗与开路电位稳定判据判定，测试后自动计算 η10、Tafel 斜率、Cdl 与衰减率等指标。</w:t>
      </w:r>
    </w:p>
    <w:p>
      <w:pPr>
        <w:pStyle w:val="ZW"/>
      </w:pPr>
      <w:r>
        <w:t>（4）转移与清洗模块。采用三轴直角坐标平台或小型机械臂，配合视觉定位完成样品在工位间的抓取与放置；清洗工位提供多级冲洗与吹干功能，并按废液类别分类收集至废液桶，液位由传感器监测。</w:t>
      </w:r>
    </w:p>
    <w:p>
      <w:pPr>
        <w:pStyle w:val="ZW"/>
      </w:pPr>
      <w:r>
        <w:t>（5）环境与安全模块。集成液位、温度、氢气浓度与门禁信号，配置急停按钮与声光报警；当检测到氢气浓度超限或液位过低时，由控制层直接触发联锁停机，该动作不依赖上层智能决策，属于硬联锁范畴。</w:t>
      </w:r>
    </w:p>
    <w:p>
      <w:pPr>
        <w:pStyle w:val="BT2"/>
      </w:pPr>
      <w:r>
        <w:t>3.3  模块接口与协同机制</w:t>
      </w:r>
    </w:p>
    <w:p>
      <w:pPr>
        <w:pStyle w:val="ZW"/>
      </w:pPr>
      <w:r>
        <w:t>模块化设计的关键在于接口。本方案将接口问题归纳为三层：设备层协议统一、工序层时序协同、系统层资源仲裁。</w:t>
      </w:r>
    </w:p>
    <w:p>
      <w:pPr>
        <w:pStyle w:val="ZW"/>
      </w:pPr>
      <w:r>
        <w:t>设备层采用统一的“设备语义模型”描述硬件。模型包含设备标识、可用通道、能力集合、参数空间（名称、单位、量程、步长）、状态集合与故障码，将不同厂商仪器的差异屏蔽在协议适配层之下。协议适配层支持 Modbus TCP/RTU、SCPI（基于 VISA）、OPC UA 与厂商 SDK 四种接入方式，新增设备时只需实现对应的适配器并在语义模型中登记能力，即可被上层调用，无需修改编排与决策逻辑。</w:t>
      </w:r>
    </w:p>
    <w:p>
      <w:pPr>
        <w:pStyle w:val="ZW"/>
      </w:pPr>
      <w:r>
        <w:t>工序层采用有向无环图（DAG）描述实验流程。每个工序节点声明输入输出、所需设备能力、预计耗时与前置条件，编排器据此生成指令序列并计算并行关系。例如“三个平行样品的电化学测试”可并行调度为多个测试通道任务；“等待开路电位稳定”则表现为带超时判据的阻塞节点。全系统使用统一时钟源，所有事件带单调递增时间戳，保证事件流可按序回放，为异常回溯提供依据。</w:t>
      </w:r>
    </w:p>
    <w:p>
      <w:pPr>
        <w:pStyle w:val="ZW"/>
      </w:pPr>
      <w:r>
        <w:t>系统层设置资源仲裁器，解决多任务争用同一设备的问题。仲裁规则为：安全相关任务优先于常规任务，已开始任务优先于新任务，同优先级按提交时间排序；对互斥资源（如唯一的天平或恒温槽）加锁，避免并发操作导致状态错乱。</w:t>
      </w:r>
    </w:p>
    <w:p>
      <w:pPr>
        <w:pStyle w:val="BT2"/>
      </w:pPr>
      <w:r>
        <w:t>3.4  安全联锁与可靠性设计</w:t>
      </w:r>
    </w:p>
    <w:p>
      <w:pPr>
        <w:pStyle w:val="ZW"/>
      </w:pPr>
      <w:r>
        <w:t>长时无人值守对可靠性提出了远高于人工操作的要求。本方案设计三级联锁：设备级联锁由仪器自身实现（如电源过流保护、恒温槽超温保护）；流程级联锁由控制层实现，检查动作前置条件是否满足，例如在液位低于阈值时禁止启动配液泵、在电极未夹紧时禁止施加电流；系统级联锁由安全模块实现，在氢气报警、急停触发或通信整体失效时切断动力电源并进入安全态。三级联锁相互独立，避免单点失效。</w:t>
      </w:r>
    </w:p>
    <w:p>
      <w:pPr>
        <w:pStyle w:val="ZW"/>
      </w:pPr>
      <w:r>
        <w:t>针对长时间运行中可能出现的掉电与通信中断，设计检查点与断点续跑机制：每完成一个工序节点即写入检查点（含设备状态、样品位置、已采集数据），重启后系统先执行状态自检与设备回零，再依据检查点从最近的安全节点恢复；对不可恢复的中间状态（如镀液已失效），则标记该批次失败并自动转入下一候选实验。此外，系统保留“离线降级”能力：当智能决策层不可用时，控制层可依据预置 SOP 继续执行既定实验序列，保证实验不因上层故障而中断。</w:t>
      </w:r>
    </w:p>
    <w:p>
      <w:pPr>
        <w:pStyle w:val="BT2"/>
      </w:pPr>
      <w:r>
        <w:t>3.5  本章小结</w:t>
      </w:r>
    </w:p>
    <w:p>
      <w:pPr>
        <w:pStyle w:val="ZW"/>
      </w:pPr>
      <w:r>
        <w:t>本章提出了四层架构的自动化实验平台总体方案，划分了配液、材料制备、电化学测试、转移清洗与环境安全五个功能模块，并从设备语义模型、DAG 工序编排、统一时钟与资源仲裁三方面设计了模块协同机制，从三级联锁、检查点续跑与离线降级三方面给出了可靠性设计。该平台为 AI Agent 提供了标准化、可感知、可受控的执行环境，是后续智能托管功能落地的前提。</w:t>
      </w:r>
    </w:p>
    <w:p>
      <w:pPr>
        <w:pStyle w:val="20"/>
      </w:pPr>
      <w:r>
        <w:t>第四章  面向实验过程的 AI Agent 系统设计</w:t>
      </w:r>
    </w:p>
    <w:p>
      <w:pPr>
        <w:pStyle w:val="BT2"/>
      </w:pPr>
      <w:r>
        <w:t>4.1  设计约束分析</w:t>
      </w:r>
    </w:p>
    <w:p>
      <w:pPr>
        <w:pStyle w:val="ZW"/>
      </w:pPr>
      <w:r>
        <w:t>将大语言模型直接接入实验设备是一种常见但危险的做法。结合析氢催化剂湿实验的特点，本方案在 Agent 设计中明确四条约束。</w:t>
      </w:r>
    </w:p>
    <w:p>
      <w:pPr>
        <w:pStyle w:val="ZW"/>
      </w:pPr>
      <w:r>
        <w:t>（1）可靠性与幻觉约束。大模型输出具有不确定性，可能出现参数单位错误、量程越界或工具幻觉。若直接下发设备指令，轻则样品报废，重则损坏仪器。因此 Agent 的所有物理动作必须经过受控技能库校验，模型只在允许的动作集合内决策。</w:t>
      </w:r>
    </w:p>
    <w:p>
      <w:pPr>
        <w:pStyle w:val="ZW"/>
      </w:pPr>
      <w:r>
        <w:t>（2）状态一致性约束。大模型本身是无状态的，无法自发知道“当前实验进行到第几步、样品在哪个工位、恒电位仪是否已稳定”。实验状态必须由系统维护并主动提供给 Agent，Agent 的每个决策都要以最新状态为依据。</w:t>
      </w:r>
    </w:p>
    <w:p>
      <w:pPr>
        <w:pStyle w:val="ZW"/>
      </w:pPr>
      <w:r>
        <w:t>（3）长时序约束。单轮实验持续数小时，闭环优化跨越数十轮，远超单次对话的上下文长度。Agent 需要外部记忆与结构化摘要机制，否则容易丢失早期约束条件与已排除的失败方向。</w:t>
      </w:r>
    </w:p>
    <w:p>
      <w:pPr>
        <w:pStyle w:val="ZW"/>
      </w:pPr>
      <w:r>
        <w:t>（4）责任可追溯约束。实验失败需定位原因，人机协同需要审计。系统必须完整记录“谁在什么状态下做了什么决策、依据是什么”。</w:t>
      </w:r>
    </w:p>
    <w:p>
      <w:pPr>
        <w:pStyle w:val="ZW"/>
      </w:pPr>
      <w:r>
        <w:t>基于以上约束，本方案的 Agent 不是“对话机器人”，而是嵌入在状态机与技能库之间的决策组件，其能力边界由系统显式定义。</w:t>
      </w:r>
    </w:p>
    <w:p>
      <w:pPr>
        <w:pStyle w:val="BT2"/>
      </w:pPr>
      <w:r>
        <w:t>4.2  Agent 总体架构</w:t>
      </w:r>
    </w:p>
    <w:p>
      <w:pPr>
        <w:pStyle w:val="ZW"/>
      </w:pPr>
      <w:r>
        <w:t>Agent 采用“感知—规划—执行—校核—反思”的五段式结构，各段与平台分层相对应。</w:t>
      </w:r>
    </w:p>
    <w:p>
      <w:pPr>
        <w:pStyle w:val="ZW"/>
      </w:pPr>
      <w:r>
        <w:t>感知模块从数据与状态层订阅事件流与状态快照，将设备状态、实验进度、指标结果整理为结构化上下文；规划模块由大语言模型承担，负责把用户的自然语言任务（如“筛选钼含量 10%～30% 的镍钼镀层，找出 η10 最低的配方”）分解为可执行的工序序列，并调用技能库；执行模块不直接操作设备，而是向控制层提交工序请求，由控制层校验并执行；校核模块在每个工序完成后比对后置条件（如“镀层是否生长”“曲线是否有效”），不符合则进入异常处理；反思模块在每轮实验结束后总结成败原因，写入实验档案，供下一轮规划参考。</w:t>
      </w:r>
    </w:p>
    <w:p>
      <w:pPr>
        <w:pStyle w:val="ZW"/>
      </w:pPr>
      <w:r>
        <w:t>记忆机制分为三层：短期上下文保存当前实验的即时状态；工作记忆保存本轮实验已执行工序与关键读数；长期档案保存历史配方、结果与失败原因，以结构化记录加向量索引的方式存储，支持按材料体系、工艺条件或性能区间检索。三层记忆共同解决长时序下的信息丢失问题。</w:t>
      </w:r>
    </w:p>
    <w:p>
      <w:pPr>
        <w:pStyle w:val="BT2"/>
      </w:pPr>
      <w:r>
        <w:t>4.3  实验状态感知与语义建模</w:t>
      </w:r>
    </w:p>
    <w:p>
      <w:pPr>
        <w:pStyle w:val="ZW"/>
      </w:pPr>
      <w:r>
        <w:t>状态感知是智能托管的起点。本方案用“实验状态机 + 事件流”两个互补的结构描述实验过程。</w:t>
      </w:r>
    </w:p>
    <w:p>
      <w:pPr>
        <w:pStyle w:val="ZW"/>
      </w:pPr>
      <w:r>
        <w:t>实验状态机定义单轮实验的状态集合与合法迁移：空闲、准备、执行、暂停、异常、恢复、完成、失败。状态迁移由明确的事件触发，例如收到“开始实验”指令由空闲转入准备，全部工序结束且后置校验通过由执行转入完成，收到急停信号则从任意状态转入异常。状态机的价值在于：它是唯一有权改变实验状态的组件，Agent 只能请求迁移而不能直接设置状态，由此天然阻止越权操作。</w:t>
      </w:r>
    </w:p>
    <w:p>
      <w:pPr>
        <w:pStyle w:val="ZW"/>
      </w:pPr>
      <w:r>
        <w:t>事件流是对状态的细粒度补充。每条事件表示为四元组 E = ⟨时间戳, 设备, 通道, 事件类型, 负载⟩，涵盖指令下发、指令确认、设备回报、传感器读数、工序开始与结束、异常告警等类型。事件流按时间顺序持久化，既可作为 Agent 的感知输入，也可用于实验回放与故障归因。例如当电位曲线出现异常跳变时，可通过事件流回溯该时刻是否有配液泵动作或温控波动，快速定位关联因素。</w:t>
      </w:r>
    </w:p>
    <w:p>
      <w:pPr>
        <w:pStyle w:val="ZW"/>
      </w:pPr>
      <w:r>
        <w:t>在事件流与状态机之上，系统为每次实验构建状态向量 s = ⟨工序序号, 样品位置, 已用时, 关键参数实测值, 指标中间结果, 异常标志⟩，作为 Agent 每次决策的最小输入单元，避免模型面对冗长的原始日志。</w:t>
      </w:r>
    </w:p>
    <w:p>
      <w:pPr>
        <w:pStyle w:val="BT2"/>
      </w:pPr>
      <w:r>
        <w:t>4.4  技能库与工具调用规范</w:t>
      </w:r>
    </w:p>
    <w:p>
      <w:pPr>
        <w:pStyle w:val="ZW"/>
      </w:pPr>
      <w:r>
        <w:t>技能库是 Agent 与物理世界之间的唯一通道。每个技能以统一模式描述，包含名称与语义说明、输入参数（含单位、量程、步长）、前置条件、后置校验、预计耗时、风险等级与失败处理建议。技能由控制层实现并注册，Agent 只能从注册表中检索与调用。</w:t>
      </w:r>
    </w:p>
    <w:p>
      <w:pPr>
        <w:pStyle w:val="ZW"/>
      </w:pPr>
      <w:r>
        <w:t>参数校验在执行前完成双重量检：一是模式校验，检查参数类型、单位与量程；二是语义校验，检查参数组合是否自相矛盾（如“沉积电位为正”在阴极沉积场景下非法）。校验不通过的请求直接拒绝并返回明确原因，使 Agent 能够自我修正而不是盲目重试。</w:t>
      </w:r>
    </w:p>
    <w:p>
      <w:pPr>
        <w:pStyle w:val="ZW"/>
      </w:pPr>
      <w:r>
        <w:t>风险等级划分为三级：只读类（查询状态、读取曲线）可自由调用；低风险写入类（启动测试、切换通道）在满足前置条件时自动执行；高风险类（更换电极、调节 pH、启动电沉积）需按策略确认，可在无人值守时段以“预授权 + 约束条件”方式执行，一旦超出约束立即挂起并上报。这种分级使系统在“效率”与“安全”之间取得可配置的平衡。</w:t>
      </w:r>
    </w:p>
    <w:p>
      <w:pPr>
        <w:pStyle w:val="BT2"/>
      </w:pPr>
      <w:r>
        <w:t>4.5  异常处置与人在环机制</w:t>
      </w:r>
    </w:p>
    <w:p>
      <w:pPr>
        <w:pStyle w:val="ZW"/>
      </w:pPr>
      <w:r>
        <w:t>异常处置能力是无人值守的核心。本方案将异常分为六类，每类预设表征、处置策略与人工介入条件，如表 4.1 所示。处置流程遵循“先保安全、再保样品、后保进度”的原则：涉及安全的异常立即停机，不等待智能判断；影响样品的异常优先尝试恢复；仅影响进度的异常可降级处理或跳过。</w:t>
      </w:r>
    </w:p>
    <w:p>
      <w:pPr>
        <w:pStyle w:val="BTTC"/>
      </w:pPr>
      <w:r>
        <w:t>表4.1  实验异常分类与处置策略</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61"/>
        <w:gridCol w:w="2268"/>
        <w:gridCol w:w="2721"/>
        <w:gridCol w:w="2494"/>
      </w:tblGrid>
      <w:tr>
        <w:trPr>
          <w:cantSplit/>
        </w:trPr>
        <w:tc>
          <w:tcPr>
            <w:tcW w:type="dxa" w:w="1361"/>
            <w:vAlign w:val="center"/>
          </w:tcPr>
          <w:p>
            <w:pPr>
              <w:pStyle w:val="BGWZ"/>
              <w:keepNext/>
            </w:pPr>
            <w:r>
              <w:rPr>
                <w:rFonts w:ascii="Times New Roman" w:hAnsi="Times New Roman" w:eastAsia="黑体"/>
                <w:b/>
                <w:sz w:val="21"/>
              </w:rPr>
              <w:t>异常类型</w:t>
            </w:r>
          </w:p>
        </w:tc>
        <w:tc>
          <w:tcPr>
            <w:tcW w:type="dxa" w:w="2268"/>
            <w:vAlign w:val="center"/>
          </w:tcPr>
          <w:p>
            <w:pPr>
              <w:pStyle w:val="BGWZ"/>
              <w:keepNext/>
            </w:pPr>
            <w:r>
              <w:rPr>
                <w:rFonts w:ascii="Times New Roman" w:hAnsi="Times New Roman" w:eastAsia="黑体"/>
                <w:b/>
                <w:sz w:val="21"/>
              </w:rPr>
              <w:t>典型表征</w:t>
            </w:r>
          </w:p>
        </w:tc>
        <w:tc>
          <w:tcPr>
            <w:tcW w:type="dxa" w:w="2721"/>
            <w:vAlign w:val="center"/>
          </w:tcPr>
          <w:p>
            <w:pPr>
              <w:pStyle w:val="BGWZ"/>
              <w:keepNext/>
            </w:pPr>
            <w:r>
              <w:rPr>
                <w:rFonts w:ascii="Times New Roman" w:hAnsi="Times New Roman" w:eastAsia="黑体"/>
                <w:b/>
                <w:sz w:val="21"/>
              </w:rPr>
              <w:t>Agent 处置策略</w:t>
            </w:r>
          </w:p>
        </w:tc>
        <w:tc>
          <w:tcPr>
            <w:tcW w:type="dxa" w:w="2494"/>
            <w:vAlign w:val="center"/>
          </w:tcPr>
          <w:p>
            <w:pPr>
              <w:pStyle w:val="BGWZ"/>
              <w:keepNext/>
            </w:pPr>
            <w:r>
              <w:rPr>
                <w:rFonts w:ascii="Times New Roman" w:hAnsi="Times New Roman" w:eastAsia="黑体"/>
                <w:b/>
                <w:sz w:val="21"/>
              </w:rPr>
              <w:t>人工介入条件</w:t>
            </w:r>
          </w:p>
        </w:tc>
      </w:tr>
      <w:tr>
        <w:trPr>
          <w:cantSplit/>
        </w:trPr>
        <w:tc>
          <w:tcPr>
            <w:tcW w:type="dxa" w:w="1361"/>
            <w:vAlign w:val="center"/>
          </w:tcPr>
          <w:p>
            <w:pPr>
              <w:pStyle w:val="BGWZ"/>
              <w:keepNext/>
            </w:pPr>
            <w:r>
              <w:rPr>
                <w:rFonts w:ascii="Times New Roman" w:hAnsi="Times New Roman" w:eastAsia="宋体"/>
                <w:sz w:val="21"/>
              </w:rPr>
              <w:t>通信异常</w:t>
            </w:r>
          </w:p>
        </w:tc>
        <w:tc>
          <w:tcPr>
            <w:tcW w:type="dxa" w:w="2268"/>
            <w:vAlign w:val="center"/>
          </w:tcPr>
          <w:p>
            <w:pPr>
              <w:pStyle w:val="BGWZ"/>
              <w:keepNext/>
            </w:pPr>
            <w:r>
              <w:rPr>
                <w:rFonts w:ascii="Times New Roman" w:hAnsi="Times New Roman" w:eastAsia="宋体"/>
                <w:sz w:val="21"/>
              </w:rPr>
              <w:t>心跳丢失、指令超时</w:t>
            </w:r>
          </w:p>
        </w:tc>
        <w:tc>
          <w:tcPr>
            <w:tcW w:type="dxa" w:w="2721"/>
            <w:vAlign w:val="center"/>
          </w:tcPr>
          <w:p>
            <w:pPr>
              <w:pStyle w:val="BGWZ"/>
              <w:keepNext/>
            </w:pPr>
            <w:r>
              <w:rPr>
                <w:rFonts w:ascii="Times New Roman" w:hAnsi="Times New Roman" w:eastAsia="宋体"/>
                <w:sz w:val="21"/>
              </w:rPr>
              <w:t>重连 → 状态回读 → 断点续跑</w:t>
            </w:r>
          </w:p>
        </w:tc>
        <w:tc>
          <w:tcPr>
            <w:tcW w:type="dxa" w:w="2494"/>
            <w:vAlign w:val="center"/>
          </w:tcPr>
          <w:p>
            <w:pPr>
              <w:pStyle w:val="BGWZ"/>
              <w:keepNext/>
            </w:pPr>
            <w:r>
              <w:rPr>
                <w:rFonts w:ascii="Times New Roman" w:hAnsi="Times New Roman" w:eastAsia="宋体"/>
                <w:sz w:val="21"/>
              </w:rPr>
              <w:t>连续 3 次重连失败</w:t>
            </w:r>
          </w:p>
        </w:tc>
      </w:tr>
      <w:tr>
        <w:trPr>
          <w:cantSplit/>
        </w:trPr>
        <w:tc>
          <w:tcPr>
            <w:tcW w:type="dxa" w:w="1361"/>
            <w:vAlign w:val="center"/>
          </w:tcPr>
          <w:p>
            <w:pPr>
              <w:pStyle w:val="BGWZ"/>
              <w:keepNext/>
            </w:pPr>
            <w:r>
              <w:rPr>
                <w:rFonts w:ascii="Times New Roman" w:hAnsi="Times New Roman" w:eastAsia="宋体"/>
                <w:sz w:val="21"/>
              </w:rPr>
              <w:t>设备故障</w:t>
            </w:r>
          </w:p>
        </w:tc>
        <w:tc>
          <w:tcPr>
            <w:tcW w:type="dxa" w:w="2268"/>
            <w:vAlign w:val="center"/>
          </w:tcPr>
          <w:p>
            <w:pPr>
              <w:pStyle w:val="BGWZ"/>
              <w:keepNext/>
            </w:pPr>
            <w:r>
              <w:rPr>
                <w:rFonts w:ascii="Times New Roman" w:hAnsi="Times New Roman" w:eastAsia="宋体"/>
                <w:sz w:val="21"/>
              </w:rPr>
              <w:t>泵不动作、温控偏离</w:t>
            </w:r>
          </w:p>
        </w:tc>
        <w:tc>
          <w:tcPr>
            <w:tcW w:type="dxa" w:w="2721"/>
            <w:vAlign w:val="center"/>
          </w:tcPr>
          <w:p>
            <w:pPr>
              <w:pStyle w:val="BGWZ"/>
              <w:keepNext/>
            </w:pPr>
            <w:r>
              <w:rPr>
                <w:rFonts w:ascii="Times New Roman" w:hAnsi="Times New Roman" w:eastAsia="宋体"/>
                <w:sz w:val="21"/>
              </w:rPr>
              <w:t>切换备用通道或降级运行</w:t>
            </w:r>
          </w:p>
        </w:tc>
        <w:tc>
          <w:tcPr>
            <w:tcW w:type="dxa" w:w="2494"/>
            <w:vAlign w:val="center"/>
          </w:tcPr>
          <w:p>
            <w:pPr>
              <w:pStyle w:val="BGWZ"/>
              <w:keepNext/>
            </w:pPr>
            <w:r>
              <w:rPr>
                <w:rFonts w:ascii="Times New Roman" w:hAnsi="Times New Roman" w:eastAsia="宋体"/>
                <w:sz w:val="21"/>
              </w:rPr>
              <w:t>主备通道均失效</w:t>
            </w:r>
          </w:p>
        </w:tc>
      </w:tr>
      <w:tr>
        <w:trPr>
          <w:cantSplit/>
        </w:trPr>
        <w:tc>
          <w:tcPr>
            <w:tcW w:type="dxa" w:w="1361"/>
            <w:vAlign w:val="center"/>
          </w:tcPr>
          <w:p>
            <w:pPr>
              <w:pStyle w:val="BGWZ"/>
              <w:keepNext/>
            </w:pPr>
            <w:r>
              <w:rPr>
                <w:rFonts w:ascii="Times New Roman" w:hAnsi="Times New Roman" w:eastAsia="宋体"/>
                <w:sz w:val="21"/>
              </w:rPr>
              <w:t>工艺异常</w:t>
            </w:r>
          </w:p>
        </w:tc>
        <w:tc>
          <w:tcPr>
            <w:tcW w:type="dxa" w:w="2268"/>
            <w:vAlign w:val="center"/>
          </w:tcPr>
          <w:p>
            <w:pPr>
              <w:pStyle w:val="BGWZ"/>
              <w:keepNext/>
            </w:pPr>
            <w:r>
              <w:rPr>
                <w:rFonts w:ascii="Times New Roman" w:hAnsi="Times New Roman" w:eastAsia="宋体"/>
                <w:sz w:val="21"/>
              </w:rPr>
              <w:t>电流异常、气泡附着、pH 漂移</w:t>
            </w:r>
          </w:p>
        </w:tc>
        <w:tc>
          <w:tcPr>
            <w:tcW w:type="dxa" w:w="2721"/>
            <w:vAlign w:val="center"/>
          </w:tcPr>
          <w:p>
            <w:pPr>
              <w:pStyle w:val="BGWZ"/>
              <w:keepNext/>
            </w:pPr>
            <w:r>
              <w:rPr>
                <w:rFonts w:ascii="Times New Roman" w:hAnsi="Times New Roman" w:eastAsia="宋体"/>
                <w:sz w:val="21"/>
              </w:rPr>
              <w:t>暂停 → 调整参数 → 重试</w:t>
            </w:r>
          </w:p>
        </w:tc>
        <w:tc>
          <w:tcPr>
            <w:tcW w:type="dxa" w:w="2494"/>
            <w:vAlign w:val="center"/>
          </w:tcPr>
          <w:p>
            <w:pPr>
              <w:pStyle w:val="BGWZ"/>
              <w:keepNext/>
            </w:pPr>
            <w:r>
              <w:rPr>
                <w:rFonts w:ascii="Times New Roman" w:hAnsi="Times New Roman" w:eastAsia="宋体"/>
                <w:sz w:val="21"/>
              </w:rPr>
              <w:t>同一工序连续 2 次异常</w:t>
            </w:r>
          </w:p>
        </w:tc>
      </w:tr>
      <w:tr>
        <w:trPr>
          <w:cantSplit/>
        </w:trPr>
        <w:tc>
          <w:tcPr>
            <w:tcW w:type="dxa" w:w="1361"/>
            <w:vAlign w:val="center"/>
          </w:tcPr>
          <w:p>
            <w:pPr>
              <w:pStyle w:val="BGWZ"/>
              <w:keepNext/>
            </w:pPr>
            <w:r>
              <w:rPr>
                <w:rFonts w:ascii="Times New Roman" w:hAnsi="Times New Roman" w:eastAsia="宋体"/>
                <w:sz w:val="21"/>
              </w:rPr>
              <w:t>样品异常</w:t>
            </w:r>
          </w:p>
        </w:tc>
        <w:tc>
          <w:tcPr>
            <w:tcW w:type="dxa" w:w="2268"/>
            <w:vAlign w:val="center"/>
          </w:tcPr>
          <w:p>
            <w:pPr>
              <w:pStyle w:val="BGWZ"/>
              <w:keepNext/>
            </w:pPr>
            <w:r>
              <w:rPr>
                <w:rFonts w:ascii="Times New Roman" w:hAnsi="Times New Roman" w:eastAsia="宋体"/>
                <w:sz w:val="21"/>
              </w:rPr>
              <w:t>镀层脱落、开路、曲线无响应</w:t>
            </w:r>
          </w:p>
        </w:tc>
        <w:tc>
          <w:tcPr>
            <w:tcW w:type="dxa" w:w="2721"/>
            <w:vAlign w:val="center"/>
          </w:tcPr>
          <w:p>
            <w:pPr>
              <w:pStyle w:val="BGWZ"/>
              <w:keepNext/>
            </w:pPr>
            <w:r>
              <w:rPr>
                <w:rFonts w:ascii="Times New Roman" w:hAnsi="Times New Roman" w:eastAsia="宋体"/>
                <w:sz w:val="21"/>
              </w:rPr>
              <w:t>判定失败 → 记录原因 → 下一候选</w:t>
            </w:r>
          </w:p>
        </w:tc>
        <w:tc>
          <w:tcPr>
            <w:tcW w:type="dxa" w:w="2494"/>
            <w:vAlign w:val="center"/>
          </w:tcPr>
          <w:p>
            <w:pPr>
              <w:pStyle w:val="BGWZ"/>
              <w:keepNext/>
            </w:pPr>
            <w:r>
              <w:rPr>
                <w:rFonts w:ascii="Times New Roman" w:hAnsi="Times New Roman" w:eastAsia="宋体"/>
                <w:sz w:val="21"/>
              </w:rPr>
              <w:t>出现批量性失败</w:t>
            </w:r>
          </w:p>
        </w:tc>
      </w:tr>
      <w:tr>
        <w:trPr>
          <w:cantSplit/>
        </w:trPr>
        <w:tc>
          <w:tcPr>
            <w:tcW w:type="dxa" w:w="1361"/>
            <w:vAlign w:val="center"/>
          </w:tcPr>
          <w:p>
            <w:pPr>
              <w:pStyle w:val="BGWZ"/>
              <w:keepNext/>
            </w:pPr>
            <w:r>
              <w:rPr>
                <w:rFonts w:ascii="Times New Roman" w:hAnsi="Times New Roman" w:eastAsia="宋体"/>
                <w:sz w:val="21"/>
              </w:rPr>
              <w:t>安全异常</w:t>
            </w:r>
          </w:p>
        </w:tc>
        <w:tc>
          <w:tcPr>
            <w:tcW w:type="dxa" w:w="2268"/>
            <w:vAlign w:val="center"/>
          </w:tcPr>
          <w:p>
            <w:pPr>
              <w:pStyle w:val="BGWZ"/>
              <w:keepNext/>
            </w:pPr>
            <w:r>
              <w:rPr>
                <w:rFonts w:ascii="Times New Roman" w:hAnsi="Times New Roman" w:eastAsia="宋体"/>
                <w:sz w:val="21"/>
              </w:rPr>
              <w:t>液位过低、氢气超限、急停</w:t>
            </w:r>
          </w:p>
        </w:tc>
        <w:tc>
          <w:tcPr>
            <w:tcW w:type="dxa" w:w="2721"/>
            <w:vAlign w:val="center"/>
          </w:tcPr>
          <w:p>
            <w:pPr>
              <w:pStyle w:val="BGWZ"/>
              <w:keepNext/>
            </w:pPr>
            <w:r>
              <w:rPr>
                <w:rFonts w:ascii="Times New Roman" w:hAnsi="Times New Roman" w:eastAsia="宋体"/>
                <w:sz w:val="21"/>
              </w:rPr>
              <w:t>立即停机 → 隔离现场 → 上报</w:t>
            </w:r>
          </w:p>
        </w:tc>
        <w:tc>
          <w:tcPr>
            <w:tcW w:type="dxa" w:w="2494"/>
            <w:vAlign w:val="center"/>
          </w:tcPr>
          <w:p>
            <w:pPr>
              <w:pStyle w:val="BGWZ"/>
              <w:keepNext/>
            </w:pPr>
            <w:r>
              <w:rPr>
                <w:rFonts w:ascii="Times New Roman" w:hAnsi="Times New Roman" w:eastAsia="宋体"/>
                <w:sz w:val="21"/>
              </w:rPr>
              <w:t>人工确认后方可复位</w:t>
            </w:r>
          </w:p>
        </w:tc>
      </w:tr>
      <w:tr>
        <w:trPr>
          <w:cantSplit/>
        </w:trPr>
        <w:tc>
          <w:tcPr>
            <w:tcW w:type="dxa" w:w="1361"/>
            <w:vAlign w:val="center"/>
          </w:tcPr>
          <w:p>
            <w:pPr>
              <w:pStyle w:val="BGWZ"/>
            </w:pPr>
            <w:r>
              <w:rPr>
                <w:rFonts w:ascii="Times New Roman" w:hAnsi="Times New Roman" w:eastAsia="宋体"/>
                <w:sz w:val="21"/>
              </w:rPr>
              <w:t>数据异常</w:t>
            </w:r>
          </w:p>
        </w:tc>
        <w:tc>
          <w:tcPr>
            <w:tcW w:type="dxa" w:w="2268"/>
            <w:vAlign w:val="center"/>
          </w:tcPr>
          <w:p>
            <w:pPr>
              <w:pStyle w:val="BGWZ"/>
            </w:pPr>
            <w:r>
              <w:rPr>
                <w:rFonts w:ascii="Times New Roman" w:hAnsi="Times New Roman" w:eastAsia="宋体"/>
                <w:sz w:val="21"/>
              </w:rPr>
              <w:t>曲线缺失、量程溢出、乱序</w:t>
            </w:r>
          </w:p>
        </w:tc>
        <w:tc>
          <w:tcPr>
            <w:tcW w:type="dxa" w:w="2721"/>
            <w:vAlign w:val="center"/>
          </w:tcPr>
          <w:p>
            <w:pPr>
              <w:pStyle w:val="BGWZ"/>
            </w:pPr>
            <w:r>
              <w:rPr>
                <w:rFonts w:ascii="Times New Roman" w:hAnsi="Times New Roman" w:eastAsia="宋体"/>
                <w:sz w:val="21"/>
              </w:rPr>
              <w:t>重采或标记为无效样本</w:t>
            </w:r>
          </w:p>
        </w:tc>
        <w:tc>
          <w:tcPr>
            <w:tcW w:type="dxa" w:w="2494"/>
            <w:vAlign w:val="center"/>
          </w:tcPr>
          <w:p>
            <w:pPr>
              <w:pStyle w:val="BGWZ"/>
            </w:pPr>
            <w:r>
              <w:rPr>
                <w:rFonts w:ascii="Times New Roman" w:hAnsi="Times New Roman" w:eastAsia="宋体"/>
                <w:sz w:val="21"/>
              </w:rPr>
              <w:t>数据无法补齐</w:t>
            </w:r>
          </w:p>
        </w:tc>
      </w:tr>
    </w:tbl>
    <w:p>
      <w:pPr>
        <w:pStyle w:val="ZW"/>
      </w:pPr>
    </w:p>
    <w:p>
      <w:pPr>
        <w:pStyle w:val="ZW"/>
      </w:pPr>
      <w:r>
        <w:t>异常诊断采用“症状—原因—验证动作”的诊断树，而非让大模型自由推理。以“电沉积电流为零”为例，诊断树依次验证电源输出、电极夹持、回路连通与镀液液位，每步给出明确的验证动作与判定阈值，模型负责组织诊断顺序与解释结果，具体判定由规则完成。这种做法把开放的推理问题收敛为有限的验证路径，既降低了对模型能力的依赖，也使诊断结论可复核。</w:t>
      </w:r>
    </w:p>
    <w:p>
      <w:pPr>
        <w:pStyle w:val="ZW"/>
      </w:pPr>
      <w:r>
        <w:t>人在环机制按异常严重程度分为三级上报：一级为提示，仅记录并继续；二级为挂起，暂停当前任务等待确认；三级为停机，立即中断并通知责任人。上报通道支持消息推送与现场声光提示，确认界面提供状态快照、事件回溯与建议处置方案，使人工介入尽可能高效。</w:t>
      </w:r>
    </w:p>
    <w:p>
      <w:pPr>
        <w:pStyle w:val="BT2"/>
      </w:pPr>
      <w:r>
        <w:t>4.6  可靠性护栏设计</w:t>
      </w:r>
    </w:p>
    <w:p>
      <w:pPr>
        <w:pStyle w:val="ZW"/>
      </w:pPr>
      <w:r>
        <w:t>为抑制大模型不确定性带来的工程风险，方案设置三层护栏。第一层是状态机兜底：所有状态迁移必须由状态机判定合法性，Agent 的请求若与当前状态不符即被拒绝，从机制上杜绝“跳过必要工序”。第二层是指令白名单与双重校验：控制层只接受技能库中登记过的指令，且关键指令需“Agent 请求 + 控制层前置条件检查”双重通过。第三层是全程审计：记录每次决策的输入上下文、模型输出、校验结果与实际执行效果，形成可追溯的操作链。</w:t>
      </w:r>
    </w:p>
    <w:p>
      <w:pPr>
        <w:pStyle w:val="ZW"/>
      </w:pPr>
      <w:r>
        <w:t>此外，系统保留“智能层可退出”的设计：当模型服务异常、响应超时或输出多次校验失败时，自动切换到预置 SOP 模式继续执行既定实验，并在下一个检查点尝试恢复智能模式。这一设计使系统在智能能力退化时仍能保证实验连续性，符合长时无人值守的可用性要求。</w:t>
      </w:r>
    </w:p>
    <w:p>
      <w:pPr>
        <w:pStyle w:val="BT2"/>
      </w:pPr>
      <w:r>
        <w:t>4.7  本章小结</w:t>
      </w:r>
    </w:p>
    <w:p>
      <w:pPr>
        <w:pStyle w:val="ZW"/>
      </w:pPr>
      <w:r>
        <w:t>本章从四条设计约束出发，提出了“感知—规划—执行—校核—反思”的 AI Agent 架构，用状态机与事件流实现实验状态感知，用统一技能库和三级风险分级实现受控设备操控，用六类异常处置策略与三级人在环机制实现异常恢复，并用状态机兜底、指令双重校验与全程审计构建可靠性护栏。该设计使 Agent 的智能能力被约束在安全边界内，为长时无人值守提供保障。</w:t>
      </w:r>
    </w:p>
    <w:p>
      <w:pPr>
        <w:pStyle w:val="20"/>
      </w:pPr>
      <w:r>
        <w:t>第五章  实验反馈驱动的材料优化闭环机制</w:t>
      </w:r>
    </w:p>
    <w:p>
      <w:pPr>
        <w:pStyle w:val="BT2"/>
      </w:pPr>
      <w:r>
        <w:t>5.1  实验结果结构化与知识沉淀</w:t>
      </w:r>
    </w:p>
    <w:p>
      <w:pPr>
        <w:pStyle w:val="ZW"/>
      </w:pPr>
      <w:r>
        <w:t>闭环优化的前提是数据可用。析氢催化剂的单轮实验产出既包含结构化数值（配方、工艺参数、η10、Tafel 斜率、Cdl、衰减率），也包含非结构化数据（LSV/CV/EIS 曲线、显微形貌图像、观察记录）。本方案建立统一的实验数据模型，以实验标识为主键，将配方参数、工艺时序、设备状态、原始曲线与派生指标全部关联，并强制记录失败样本与异常样本。</w:t>
      </w:r>
    </w:p>
    <w:p>
      <w:pPr>
        <w:pStyle w:val="ZW"/>
      </w:pPr>
      <w:r>
        <w:t>数据入库遵循“元数据先于数据”的原则：每份曲线必须携带电极面积、参比电极类型、电解液浓度、扫描速率与温度等元数据，否则不予入库。这一约束解决了跨批次数据不可比的问题，也为后续建模提供可信输入。实验档案同时充当电子实验记录（ELN），支持按材料体系、工艺条件与性能区间多维检索。</w:t>
      </w:r>
    </w:p>
    <w:p>
      <w:pPr>
        <w:pStyle w:val="ZW"/>
      </w:pPr>
      <w:r>
        <w:t>知识沉淀不止于数据。系统将每轮实验的“设计意图—执行过程—结果—归因结论”整理为结构化案例，例如“提高镀液 pH 至 9 以上导致镀层开裂，η10 反而上升”，这类因果性结论以案例形式积累，成为后续方案生成的重要约束来源。</w:t>
      </w:r>
    </w:p>
    <w:p>
      <w:pPr>
        <w:pStyle w:val="BT2"/>
      </w:pPr>
      <w:r>
        <w:t>5.2  文献与历史数据联合检索</w:t>
      </w:r>
    </w:p>
    <w:p>
      <w:pPr>
        <w:pStyle w:val="ZW"/>
      </w:pPr>
      <w:r>
        <w:t>候选方案生成需要同时利用外部文献与内部数据。系统采用检索增强生成的方式，将文献库与实验档案统一编入向量索引，并设计三条检索链：一是配方相似链，检索与当前候选成分或工艺相近的历史实验；二是体系相似链，检索相同材料体系或相同电化学条件下的文献报道；三是机理链，检索与当前性能异常相关的机理研究，用于解释而非直接推荐。</w:t>
      </w:r>
    </w:p>
    <w:p>
      <w:pPr>
        <w:pStyle w:val="ZW"/>
      </w:pPr>
      <w:r>
        <w:t>检索结果以“证据卡片”形式提供给大语言模型，每张卡片包含来源标识、关键结论与可信度标注。模型生成推荐方案时必须引用证据卡片，对无证据支撑的建议需显式标注为“外推假设”。这一机制将模型输出从“看似合理的建议”转变为“可核查的推理”，显著提升方案可信度。</w:t>
      </w:r>
    </w:p>
    <w:p>
      <w:pPr>
        <w:pStyle w:val="BT2"/>
      </w:pPr>
      <w:r>
        <w:t>5.3  候选方案生成与主动学习推荐</w:t>
      </w:r>
    </w:p>
    <w:p>
      <w:pPr>
        <w:pStyle w:val="ZW"/>
      </w:pPr>
      <w:r>
        <w:t>在数据与知识准备就绪后，候选方案生成采用“模型推荐 + 规则约束 + 人工确认”的组合策略。</w:t>
      </w:r>
    </w:p>
    <w:p>
      <w:pPr>
        <w:pStyle w:val="ZW"/>
      </w:pPr>
      <w:r>
        <w:t>参数空间包含连续变量（钼镍摩尔比、沉积电位、时间、温度、pH）与离散变量（基底类型、沉积模式），维度为 6～8。针对该空间，采用高斯过程回归构建代理模型，以 η10 为主目标、稳定性衰减率为约束目标，使用期望改进（EI）与置信上界（UCB）相结合的采集函数，在“探索新区域”与“利用已知优区”之间平衡。对多目标情形，采用帕累托前沿筛选，避免单一指标过度优化导致稳定性下降。</w:t>
      </w:r>
    </w:p>
    <w:p>
      <w:pPr>
        <w:pStyle w:val="ZW"/>
      </w:pPr>
      <w:r>
        <w:t>规则约束用于排除物理上不可行或安全上不允许的组合，例如 pH 与沉积电位的耦合边界、温度上限、镀液浓度上限。约束由领域知识显式编码，而非交由模型自由裁量；当模型推荐落入禁区时，系统自动投影回可行域并记录修正过程。</w:t>
      </w:r>
    </w:p>
    <w:p>
      <w:pPr>
        <w:pStyle w:val="ZW"/>
      </w:pPr>
      <w:r>
        <w:t>主动学习的价值在小样本条件下尤为明显：析氢催化剂实验成本高、单轮耗时长，每轮只能完成少量样品。贝叶斯优化能够在 10 轮以内将 η10 从初始随机配方的水平显著降低，相比网格搜索可减少一半以上的实验量，这正是闭环优化的效率来源。</w:t>
      </w:r>
    </w:p>
    <w:p>
      <w:pPr>
        <w:pStyle w:val="BT2"/>
      </w:pPr>
      <w:r>
        <w:t>5.4  闭环流程与迭代控制</w:t>
      </w:r>
    </w:p>
    <w:p>
      <w:pPr>
        <w:pStyle w:val="ZW"/>
      </w:pPr>
      <w:r>
        <w:t>闭环流程由五个环节串联构成，如图 5.1 所示：实验设计生成候选配方与工艺窗口；自动执行由平台完成制备与测试；状态反馈将事件流与指标结果回传；结果分析完成性能评价与归因；再设计更新代理模型与知识库并生成下一轮候选。五个环节首尾相接，形成持续迭代的优化链路。</w:t>
      </w:r>
    </w:p>
    <w:p>
      <w:pPr>
        <w:pStyle w:val="CT"/>
      </w:pPr>
      <w:r>
        <w:drawing>
          <wp:inline xmlns:a="http://schemas.openxmlformats.org/drawingml/2006/main" xmlns:pic="http://schemas.openxmlformats.org/drawingml/2006/picture">
            <wp:extent cx="5472000" cy="2079360"/>
            <wp:docPr id="2" name="Picture 2"/>
            <wp:cNvGraphicFramePr>
              <a:graphicFrameLocks noChangeAspect="1"/>
            </wp:cNvGraphicFramePr>
            <a:graphic>
              <a:graphicData uri="http://schemas.openxmlformats.org/drawingml/2006/picture">
                <pic:pic>
                  <pic:nvPicPr>
                    <pic:cNvPr id="0" name="fig5_1_closed_loop.png"/>
                    <pic:cNvPicPr/>
                  </pic:nvPicPr>
                  <pic:blipFill>
                    <a:blip r:embed="rId23"/>
                    <a:stretch>
                      <a:fillRect/>
                    </a:stretch>
                  </pic:blipFill>
                  <pic:spPr>
                    <a:xfrm>
                      <a:off x="0" y="0"/>
                      <a:ext cx="5472000" cy="2079360"/>
                    </a:xfrm>
                    <a:prstGeom prst="rect"/>
                  </pic:spPr>
                </pic:pic>
              </a:graphicData>
            </a:graphic>
          </wp:inline>
        </w:drawing>
      </w:r>
    </w:p>
    <w:p>
      <w:pPr>
        <w:pStyle w:val="BTTC"/>
      </w:pPr>
      <w:r>
        <w:t>图5.1  实验反馈驱动的闭环优化流程</w:t>
      </w:r>
    </w:p>
    <w:p>
      <w:pPr>
        <w:pStyle w:val="ZW"/>
      </w:pPr>
      <w:r>
        <w:t>迭代控制需要明确的收敛判据与终止条件，否则容易出现“无限优化”。本方案设置三类终止条件：一是性能收敛，连续 3 轮最优 η10 的相对改进小于 2%；二是预算耗尽，达到预设的实验轮次或时长上限；三是方向性判断，若连续多轮改进均来自同一参数维度的边界，则触发人工介入，由研究者判断是否扩展搜索空间。每轮迭代结束后，系统自动生成迭代报告，包含本轮候选、实测结果、模型更新与下一轮建议，使优化过程可解释、可干预。</w:t>
      </w:r>
    </w:p>
    <w:p>
      <w:pPr>
        <w:pStyle w:val="ZW"/>
      </w:pPr>
      <w:r>
        <w:t>需要强调的是，闭环的“自动”不等于“无人”。研究者通过设定目标函数、约束条件与终止判据参与优化设计，在关键节点确认方向，而把重复的实验执行、数据整理与参数搜索交给系统。这种人机分工既保留了研究者的判断力，又释放了机械性劳动。</w:t>
      </w:r>
    </w:p>
    <w:p>
      <w:pPr>
        <w:pStyle w:val="BT2"/>
      </w:pPr>
      <w:r>
        <w:t>5.5  本章小结</w:t>
      </w:r>
    </w:p>
    <w:p>
      <w:pPr>
        <w:pStyle w:val="ZW"/>
      </w:pPr>
      <w:r>
        <w:t>本章设计了实验反馈驱动的闭环优化机制：通过统一数据模型与元数据约束实现结果结构化，通过三条检索链实现文献与历史数据联合利用，通过高斯过程与贝叶斯优化实现候选方案推荐，通过五环节串联与三类终止条件实现迭代控制，形成了可持续运行的“设计—执行—反馈—分析—再设计”链路。</w:t>
      </w:r>
    </w:p>
    <w:p>
      <w:pPr>
        <w:pStyle w:val="20"/>
      </w:pPr>
      <w:r>
        <w:t>第六章  系统验证方案与应用前景</w:t>
      </w:r>
    </w:p>
    <w:p>
      <w:pPr>
        <w:pStyle w:val="BT2"/>
      </w:pPr>
      <w:r>
        <w:t>6.1  验证目标与评价指标</w:t>
      </w:r>
    </w:p>
    <w:p>
      <w:pPr>
        <w:pStyle w:val="ZW"/>
      </w:pPr>
      <w:r>
        <w:t>验证的目标不是证明系统“能跑通”，而是回答三个问题：系统能否稳定完成规定流程；系统能否在异常发生时自主恢复；系统能否带来研发效率的实际提升。据此将验证分为功能、可靠性、智能化与经济性四个层面，评价指标如表 6.1 所示。</w:t>
      </w:r>
    </w:p>
    <w:p>
      <w:pPr>
        <w:pStyle w:val="BTTC"/>
      </w:pPr>
      <w:r>
        <w:t>表6.1  系统验证指标与通过标准</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61"/>
        <w:gridCol w:w="2041"/>
        <w:gridCol w:w="3061"/>
        <w:gridCol w:w="2381"/>
      </w:tblGrid>
      <w:tr>
        <w:trPr>
          <w:cantSplit/>
        </w:trPr>
        <w:tc>
          <w:tcPr>
            <w:tcW w:type="dxa" w:w="1361"/>
            <w:vAlign w:val="center"/>
          </w:tcPr>
          <w:p>
            <w:pPr>
              <w:pStyle w:val="BGWZ"/>
              <w:keepNext/>
            </w:pPr>
            <w:r>
              <w:rPr>
                <w:rFonts w:ascii="Times New Roman" w:hAnsi="Times New Roman" w:eastAsia="黑体"/>
                <w:b/>
                <w:sz w:val="21"/>
              </w:rPr>
              <w:t>验证层面</w:t>
            </w:r>
          </w:p>
        </w:tc>
        <w:tc>
          <w:tcPr>
            <w:tcW w:type="dxa" w:w="2041"/>
            <w:vAlign w:val="center"/>
          </w:tcPr>
          <w:p>
            <w:pPr>
              <w:pStyle w:val="BGWZ"/>
              <w:keepNext/>
            </w:pPr>
            <w:r>
              <w:rPr>
                <w:rFonts w:ascii="Times New Roman" w:hAnsi="Times New Roman" w:eastAsia="黑体"/>
                <w:b/>
                <w:sz w:val="21"/>
              </w:rPr>
              <w:t>指标</w:t>
            </w:r>
          </w:p>
        </w:tc>
        <w:tc>
          <w:tcPr>
            <w:tcW w:type="dxa" w:w="3061"/>
            <w:vAlign w:val="center"/>
          </w:tcPr>
          <w:p>
            <w:pPr>
              <w:pStyle w:val="BGWZ"/>
              <w:keepNext/>
            </w:pPr>
            <w:r>
              <w:rPr>
                <w:rFonts w:ascii="Times New Roman" w:hAnsi="Times New Roman" w:eastAsia="黑体"/>
                <w:b/>
                <w:sz w:val="21"/>
              </w:rPr>
              <w:t>验证方法</w:t>
            </w:r>
          </w:p>
        </w:tc>
        <w:tc>
          <w:tcPr>
            <w:tcW w:type="dxa" w:w="2381"/>
            <w:vAlign w:val="center"/>
          </w:tcPr>
          <w:p>
            <w:pPr>
              <w:pStyle w:val="BGWZ"/>
              <w:keepNext/>
            </w:pPr>
            <w:r>
              <w:rPr>
                <w:rFonts w:ascii="Times New Roman" w:hAnsi="Times New Roman" w:eastAsia="黑体"/>
                <w:b/>
                <w:sz w:val="21"/>
              </w:rPr>
              <w:t>通过标准</w:t>
            </w:r>
          </w:p>
        </w:tc>
      </w:tr>
      <w:tr>
        <w:trPr>
          <w:cantSplit/>
        </w:trPr>
        <w:tc>
          <w:tcPr>
            <w:tcW w:type="dxa" w:w="1361"/>
            <w:vMerge w:val="restart"/>
            <w:vAlign w:val="center"/>
          </w:tcPr>
          <w:p>
            <w:pPr>
              <w:pStyle w:val="BGWZ"/>
              <w:keepNext/>
            </w:pPr>
            <w:r>
              <w:rPr>
                <w:rFonts w:ascii="Times New Roman" w:hAnsi="Times New Roman" w:eastAsia="宋体"/>
                <w:sz w:val="21"/>
              </w:rPr>
              <w:t>功能完整</w:t>
            </w:r>
          </w:p>
        </w:tc>
        <w:tc>
          <w:tcPr>
            <w:tcW w:type="dxa" w:w="2041"/>
            <w:vAlign w:val="center"/>
          </w:tcPr>
          <w:p>
            <w:pPr>
              <w:pStyle w:val="BGWZ"/>
              <w:keepNext/>
            </w:pPr>
            <w:r>
              <w:rPr>
                <w:rFonts w:ascii="Times New Roman" w:hAnsi="Times New Roman" w:eastAsia="宋体"/>
                <w:sz w:val="21"/>
              </w:rPr>
              <w:t>工序执行成功率</w:t>
            </w:r>
          </w:p>
        </w:tc>
        <w:tc>
          <w:tcPr>
            <w:tcW w:type="dxa" w:w="3061"/>
            <w:vAlign w:val="center"/>
          </w:tcPr>
          <w:p>
            <w:pPr>
              <w:pStyle w:val="BGWZ"/>
              <w:keepNext/>
            </w:pPr>
            <w:r>
              <w:rPr>
                <w:rFonts w:ascii="Times New Roman" w:hAnsi="Times New Roman" w:eastAsia="宋体"/>
                <w:sz w:val="21"/>
              </w:rPr>
              <w:t>连续 20 轮完整实验统计</w:t>
            </w:r>
          </w:p>
        </w:tc>
        <w:tc>
          <w:tcPr>
            <w:tcW w:type="dxa" w:w="2381"/>
            <w:vAlign w:val="center"/>
          </w:tcPr>
          <w:p>
            <w:pPr>
              <w:pStyle w:val="BGWZ"/>
              <w:keepNext/>
            </w:pPr>
            <w:r>
              <w:rPr>
                <w:rFonts w:ascii="Times New Roman" w:hAnsi="Times New Roman" w:eastAsia="宋体"/>
                <w:sz w:val="21"/>
              </w:rPr>
              <w:t>≥ 95%</w:t>
            </w:r>
          </w:p>
        </w:tc>
      </w:tr>
      <w:tr>
        <w:trPr>
          <w:cantSplit/>
        </w:trPr>
        <w:tc>
          <w:tcPr>
            <w:tcW w:type="dxa" w:w="2267"/>
            <w:vMerge/>
            <w:vAlign w:val="center"/>
          </w:tcPr>
          <w:p/>
        </w:tc>
        <w:tc>
          <w:tcPr>
            <w:tcW w:type="dxa" w:w="2041"/>
            <w:vAlign w:val="center"/>
          </w:tcPr>
          <w:p>
            <w:pPr>
              <w:pStyle w:val="BGWZ"/>
              <w:keepNext/>
            </w:pPr>
            <w:r>
              <w:rPr>
                <w:rFonts w:ascii="Times New Roman" w:hAnsi="Times New Roman" w:eastAsia="宋体"/>
                <w:sz w:val="21"/>
              </w:rPr>
              <w:t>配液精度</w:t>
            </w:r>
          </w:p>
        </w:tc>
        <w:tc>
          <w:tcPr>
            <w:tcW w:type="dxa" w:w="3061"/>
            <w:vAlign w:val="center"/>
          </w:tcPr>
          <w:p>
            <w:pPr>
              <w:pStyle w:val="BGWZ"/>
              <w:keepNext/>
            </w:pPr>
            <w:r>
              <w:rPr>
                <w:rFonts w:ascii="Times New Roman" w:hAnsi="Times New Roman" w:eastAsia="宋体"/>
                <w:sz w:val="21"/>
              </w:rPr>
              <w:t>称量法 / 体积法抽检</w:t>
            </w:r>
          </w:p>
        </w:tc>
        <w:tc>
          <w:tcPr>
            <w:tcW w:type="dxa" w:w="2381"/>
            <w:vAlign w:val="center"/>
          </w:tcPr>
          <w:p>
            <w:pPr>
              <w:pStyle w:val="BGWZ"/>
              <w:keepNext/>
            </w:pPr>
            <w:r>
              <w:rPr>
                <w:rFonts w:ascii="Times New Roman" w:hAnsi="Times New Roman" w:eastAsia="宋体"/>
                <w:sz w:val="21"/>
              </w:rPr>
              <w:t>体积 ≤ 1%，称量 ≤ 0.5 mg</w:t>
            </w:r>
          </w:p>
        </w:tc>
      </w:tr>
      <w:tr>
        <w:trPr>
          <w:cantSplit/>
        </w:trPr>
        <w:tc>
          <w:tcPr>
            <w:tcW w:type="dxa" w:w="1361"/>
            <w:vMerge w:val="restart"/>
            <w:vAlign w:val="center"/>
          </w:tcPr>
          <w:p>
            <w:pPr>
              <w:pStyle w:val="BGWZ"/>
              <w:keepNext/>
            </w:pPr>
            <w:r>
              <w:rPr>
                <w:rFonts w:ascii="Times New Roman" w:hAnsi="Times New Roman" w:eastAsia="宋体"/>
                <w:sz w:val="21"/>
              </w:rPr>
              <w:t>可靠性</w:t>
            </w:r>
          </w:p>
        </w:tc>
        <w:tc>
          <w:tcPr>
            <w:tcW w:type="dxa" w:w="2041"/>
            <w:vAlign w:val="center"/>
          </w:tcPr>
          <w:p>
            <w:pPr>
              <w:pStyle w:val="BGWZ"/>
              <w:keepNext/>
            </w:pPr>
            <w:r>
              <w:rPr>
                <w:rFonts w:ascii="Times New Roman" w:hAnsi="Times New Roman" w:eastAsia="宋体"/>
                <w:sz w:val="21"/>
              </w:rPr>
              <w:t>无人值守时长</w:t>
            </w:r>
          </w:p>
        </w:tc>
        <w:tc>
          <w:tcPr>
            <w:tcW w:type="dxa" w:w="3061"/>
            <w:vAlign w:val="center"/>
          </w:tcPr>
          <w:p>
            <w:pPr>
              <w:pStyle w:val="BGWZ"/>
              <w:keepNext/>
            </w:pPr>
            <w:r>
              <w:rPr>
                <w:rFonts w:ascii="Times New Roman" w:hAnsi="Times New Roman" w:eastAsia="宋体"/>
                <w:sz w:val="21"/>
              </w:rPr>
              <w:t>长时连续运行试验</w:t>
            </w:r>
          </w:p>
        </w:tc>
        <w:tc>
          <w:tcPr>
            <w:tcW w:type="dxa" w:w="2381"/>
            <w:vAlign w:val="center"/>
          </w:tcPr>
          <w:p>
            <w:pPr>
              <w:pStyle w:val="BGWZ"/>
              <w:keepNext/>
            </w:pPr>
            <w:r>
              <w:rPr>
                <w:rFonts w:ascii="Times New Roman" w:hAnsi="Times New Roman" w:eastAsia="宋体"/>
                <w:sz w:val="21"/>
              </w:rPr>
              <w:t>≥ 72 h 无人工干预</w:t>
            </w:r>
          </w:p>
        </w:tc>
      </w:tr>
      <w:tr>
        <w:trPr>
          <w:cantSplit/>
        </w:trPr>
        <w:tc>
          <w:tcPr>
            <w:tcW w:type="dxa" w:w="2267"/>
            <w:vMerge/>
            <w:vAlign w:val="center"/>
          </w:tcPr>
          <w:p/>
        </w:tc>
        <w:tc>
          <w:tcPr>
            <w:tcW w:type="dxa" w:w="2041"/>
            <w:vAlign w:val="center"/>
          </w:tcPr>
          <w:p>
            <w:pPr>
              <w:pStyle w:val="BGWZ"/>
              <w:keepNext/>
            </w:pPr>
            <w:r>
              <w:rPr>
                <w:rFonts w:ascii="Times New Roman" w:hAnsi="Times New Roman" w:eastAsia="宋体"/>
                <w:sz w:val="21"/>
              </w:rPr>
              <w:t>异常自恢复率</w:t>
            </w:r>
          </w:p>
        </w:tc>
        <w:tc>
          <w:tcPr>
            <w:tcW w:type="dxa" w:w="3061"/>
            <w:vAlign w:val="center"/>
          </w:tcPr>
          <w:p>
            <w:pPr>
              <w:pStyle w:val="BGWZ"/>
              <w:keepNext/>
            </w:pPr>
            <w:r>
              <w:rPr>
                <w:rFonts w:ascii="Times New Roman" w:hAnsi="Times New Roman" w:eastAsia="宋体"/>
                <w:sz w:val="21"/>
              </w:rPr>
              <w:t>异常注入测试统计</w:t>
            </w:r>
          </w:p>
        </w:tc>
        <w:tc>
          <w:tcPr>
            <w:tcW w:type="dxa" w:w="2381"/>
            <w:vAlign w:val="center"/>
          </w:tcPr>
          <w:p>
            <w:pPr>
              <w:pStyle w:val="BGWZ"/>
              <w:keepNext/>
            </w:pPr>
            <w:r>
              <w:rPr>
                <w:rFonts w:ascii="Times New Roman" w:hAnsi="Times New Roman" w:eastAsia="宋体"/>
                <w:sz w:val="21"/>
              </w:rPr>
              <w:t>≥ 80%</w:t>
            </w:r>
          </w:p>
        </w:tc>
      </w:tr>
      <w:tr>
        <w:trPr>
          <w:cantSplit/>
        </w:trPr>
        <w:tc>
          <w:tcPr>
            <w:tcW w:type="dxa" w:w="1361"/>
            <w:vMerge w:val="restart"/>
            <w:vAlign w:val="center"/>
          </w:tcPr>
          <w:p>
            <w:pPr>
              <w:pStyle w:val="BGWZ"/>
              <w:keepNext/>
            </w:pPr>
            <w:r>
              <w:rPr>
                <w:rFonts w:ascii="Times New Roman" w:hAnsi="Times New Roman" w:eastAsia="宋体"/>
                <w:sz w:val="21"/>
              </w:rPr>
              <w:t>智能化</w:t>
            </w:r>
          </w:p>
        </w:tc>
        <w:tc>
          <w:tcPr>
            <w:tcW w:type="dxa" w:w="2041"/>
            <w:vAlign w:val="center"/>
          </w:tcPr>
          <w:p>
            <w:pPr>
              <w:pStyle w:val="BGWZ"/>
              <w:keepNext/>
            </w:pPr>
            <w:r>
              <w:rPr>
                <w:rFonts w:ascii="Times New Roman" w:hAnsi="Times New Roman" w:eastAsia="宋体"/>
                <w:sz w:val="21"/>
              </w:rPr>
              <w:t>闭环收敛轮次</w:t>
            </w:r>
          </w:p>
        </w:tc>
        <w:tc>
          <w:tcPr>
            <w:tcW w:type="dxa" w:w="3061"/>
            <w:vAlign w:val="center"/>
          </w:tcPr>
          <w:p>
            <w:pPr>
              <w:pStyle w:val="BGWZ"/>
              <w:keepNext/>
            </w:pPr>
            <w:r>
              <w:rPr>
                <w:rFonts w:ascii="Times New Roman" w:hAnsi="Times New Roman" w:eastAsia="宋体"/>
                <w:sz w:val="21"/>
              </w:rPr>
              <w:t>从随机初始配方开始优化</w:t>
            </w:r>
          </w:p>
        </w:tc>
        <w:tc>
          <w:tcPr>
            <w:tcW w:type="dxa" w:w="2381"/>
            <w:vAlign w:val="center"/>
          </w:tcPr>
          <w:p>
            <w:pPr>
              <w:pStyle w:val="BGWZ"/>
              <w:keepNext/>
            </w:pPr>
            <w:r>
              <w:rPr>
                <w:rFonts w:ascii="Times New Roman" w:hAnsi="Times New Roman" w:eastAsia="宋体"/>
                <w:sz w:val="21"/>
              </w:rPr>
              <w:t>≤ 10 轮达到目标区间</w:t>
            </w:r>
          </w:p>
        </w:tc>
      </w:tr>
      <w:tr>
        <w:trPr>
          <w:cantSplit/>
        </w:trPr>
        <w:tc>
          <w:tcPr>
            <w:tcW w:type="dxa" w:w="2267"/>
            <w:vMerge/>
            <w:vAlign w:val="center"/>
          </w:tcPr>
          <w:p/>
        </w:tc>
        <w:tc>
          <w:tcPr>
            <w:tcW w:type="dxa" w:w="2041"/>
            <w:vAlign w:val="center"/>
          </w:tcPr>
          <w:p>
            <w:pPr>
              <w:pStyle w:val="BGWZ"/>
              <w:keepNext/>
            </w:pPr>
            <w:r>
              <w:rPr>
                <w:rFonts w:ascii="Times New Roman" w:hAnsi="Times New Roman" w:eastAsia="宋体"/>
                <w:sz w:val="21"/>
              </w:rPr>
              <w:t>方案采纳率</w:t>
            </w:r>
          </w:p>
        </w:tc>
        <w:tc>
          <w:tcPr>
            <w:tcW w:type="dxa" w:w="3061"/>
            <w:vAlign w:val="center"/>
          </w:tcPr>
          <w:p>
            <w:pPr>
              <w:pStyle w:val="BGWZ"/>
              <w:keepNext/>
            </w:pPr>
            <w:r>
              <w:rPr>
                <w:rFonts w:ascii="Times New Roman" w:hAnsi="Times New Roman" w:eastAsia="宋体"/>
                <w:sz w:val="21"/>
              </w:rPr>
              <w:t>人工评审 Agent 推荐方案</w:t>
            </w:r>
          </w:p>
        </w:tc>
        <w:tc>
          <w:tcPr>
            <w:tcW w:type="dxa" w:w="2381"/>
            <w:vAlign w:val="center"/>
          </w:tcPr>
          <w:p>
            <w:pPr>
              <w:pStyle w:val="BGWZ"/>
              <w:keepNext/>
            </w:pPr>
            <w:r>
              <w:rPr>
                <w:rFonts w:ascii="Times New Roman" w:hAnsi="Times New Roman" w:eastAsia="宋体"/>
                <w:sz w:val="21"/>
              </w:rPr>
              <w:t>≥ 70% 可直接执行</w:t>
            </w:r>
          </w:p>
        </w:tc>
      </w:tr>
      <w:tr>
        <w:trPr>
          <w:cantSplit/>
        </w:trPr>
        <w:tc>
          <w:tcPr>
            <w:tcW w:type="dxa" w:w="1361"/>
            <w:vAlign w:val="center"/>
          </w:tcPr>
          <w:p>
            <w:pPr>
              <w:pStyle w:val="BGWZ"/>
            </w:pPr>
            <w:r>
              <w:rPr>
                <w:rFonts w:ascii="Times New Roman" w:hAnsi="Times New Roman" w:eastAsia="宋体"/>
                <w:sz w:val="21"/>
              </w:rPr>
              <w:t>数据</w:t>
            </w:r>
          </w:p>
        </w:tc>
        <w:tc>
          <w:tcPr>
            <w:tcW w:type="dxa" w:w="2041"/>
            <w:vAlign w:val="center"/>
          </w:tcPr>
          <w:p>
            <w:pPr>
              <w:pStyle w:val="BGWZ"/>
            </w:pPr>
            <w:r>
              <w:rPr>
                <w:rFonts w:ascii="Times New Roman" w:hAnsi="Times New Roman" w:eastAsia="宋体"/>
                <w:sz w:val="21"/>
              </w:rPr>
              <w:t>记录完整率</w:t>
            </w:r>
          </w:p>
        </w:tc>
        <w:tc>
          <w:tcPr>
            <w:tcW w:type="dxa" w:w="3061"/>
            <w:vAlign w:val="center"/>
          </w:tcPr>
          <w:p>
            <w:pPr>
              <w:pStyle w:val="BGWZ"/>
            </w:pPr>
            <w:r>
              <w:rPr>
                <w:rFonts w:ascii="Times New Roman" w:hAnsi="Times New Roman" w:eastAsia="宋体"/>
                <w:sz w:val="21"/>
              </w:rPr>
              <w:t>抽查实验记录与原始数据</w:t>
            </w:r>
          </w:p>
        </w:tc>
        <w:tc>
          <w:tcPr>
            <w:tcW w:type="dxa" w:w="2381"/>
            <w:vAlign w:val="center"/>
          </w:tcPr>
          <w:p>
            <w:pPr>
              <w:pStyle w:val="BGWZ"/>
            </w:pPr>
            <w:r>
              <w:rPr>
                <w:rFonts w:ascii="Times New Roman" w:hAnsi="Times New Roman" w:eastAsia="宋体"/>
                <w:sz w:val="21"/>
              </w:rPr>
              <w:t>100% 可追溯</w:t>
            </w:r>
          </w:p>
        </w:tc>
      </w:tr>
    </w:tbl>
    <w:p>
      <w:pPr>
        <w:pStyle w:val="ZW"/>
      </w:pPr>
    </w:p>
    <w:p>
      <w:pPr>
        <w:pStyle w:val="BT2"/>
      </w:pPr>
      <w:r>
        <w:t>6.2  分级验证用例</w:t>
      </w:r>
    </w:p>
    <w:p>
      <w:pPr>
        <w:pStyle w:val="ZW"/>
      </w:pPr>
      <w:r>
        <w:t>为在有限时间内高效暴露问题，验证按“单元—流程—异常—闭环”四级递进，每级有明确的验证对象与通过判据，如表 6.2 所示。前一级未通过不进入下一级，避免问题叠加导致定位困难。</w:t>
      </w:r>
    </w:p>
    <w:p>
      <w:pPr>
        <w:pStyle w:val="BTTC"/>
      </w:pPr>
      <w:r>
        <w:t>表6.2  分级验证用例设计</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2041"/>
        <w:gridCol w:w="3402"/>
        <w:gridCol w:w="2381"/>
      </w:tblGrid>
      <w:tr>
        <w:trPr>
          <w:cantSplit/>
        </w:trPr>
        <w:tc>
          <w:tcPr>
            <w:tcW w:type="dxa" w:w="1020"/>
            <w:vAlign w:val="center"/>
          </w:tcPr>
          <w:p>
            <w:pPr>
              <w:pStyle w:val="BGWZ"/>
              <w:keepNext/>
            </w:pPr>
            <w:r>
              <w:rPr>
                <w:rFonts w:ascii="Times New Roman" w:hAnsi="Times New Roman" w:eastAsia="黑体"/>
                <w:b/>
                <w:sz w:val="21"/>
              </w:rPr>
              <w:t>级别</w:t>
            </w:r>
          </w:p>
        </w:tc>
        <w:tc>
          <w:tcPr>
            <w:tcW w:type="dxa" w:w="2041"/>
            <w:vAlign w:val="center"/>
          </w:tcPr>
          <w:p>
            <w:pPr>
              <w:pStyle w:val="BGWZ"/>
              <w:keepNext/>
            </w:pPr>
            <w:r>
              <w:rPr>
                <w:rFonts w:ascii="Times New Roman" w:hAnsi="Times New Roman" w:eastAsia="黑体"/>
                <w:b/>
                <w:sz w:val="21"/>
              </w:rPr>
              <w:t>验证对象</w:t>
            </w:r>
          </w:p>
        </w:tc>
        <w:tc>
          <w:tcPr>
            <w:tcW w:type="dxa" w:w="3402"/>
            <w:vAlign w:val="center"/>
          </w:tcPr>
          <w:p>
            <w:pPr>
              <w:pStyle w:val="BGWZ"/>
              <w:keepNext/>
            </w:pPr>
            <w:r>
              <w:rPr>
                <w:rFonts w:ascii="Times New Roman" w:hAnsi="Times New Roman" w:eastAsia="黑体"/>
                <w:b/>
                <w:sz w:val="21"/>
              </w:rPr>
              <w:t>典型用例</w:t>
            </w:r>
          </w:p>
        </w:tc>
        <w:tc>
          <w:tcPr>
            <w:tcW w:type="dxa" w:w="2381"/>
            <w:vAlign w:val="center"/>
          </w:tcPr>
          <w:p>
            <w:pPr>
              <w:pStyle w:val="BGWZ"/>
              <w:keepNext/>
            </w:pPr>
            <w:r>
              <w:rPr>
                <w:rFonts w:ascii="Times New Roman" w:hAnsi="Times New Roman" w:eastAsia="黑体"/>
                <w:b/>
                <w:sz w:val="21"/>
              </w:rPr>
              <w:t>通过判据</w:t>
            </w:r>
          </w:p>
        </w:tc>
      </w:tr>
      <w:tr>
        <w:trPr>
          <w:cantSplit/>
        </w:trPr>
        <w:tc>
          <w:tcPr>
            <w:tcW w:type="dxa" w:w="1020"/>
            <w:vAlign w:val="center"/>
          </w:tcPr>
          <w:p>
            <w:pPr>
              <w:pStyle w:val="BGWZ"/>
              <w:keepNext/>
            </w:pPr>
            <w:r>
              <w:rPr>
                <w:rFonts w:ascii="Times New Roman" w:hAnsi="Times New Roman" w:eastAsia="宋体"/>
                <w:sz w:val="21"/>
              </w:rPr>
              <w:t>L1 单元</w:t>
            </w:r>
          </w:p>
        </w:tc>
        <w:tc>
          <w:tcPr>
            <w:tcW w:type="dxa" w:w="2041"/>
            <w:vAlign w:val="center"/>
          </w:tcPr>
          <w:p>
            <w:pPr>
              <w:pStyle w:val="BGWZ"/>
              <w:keepNext/>
            </w:pPr>
            <w:r>
              <w:rPr>
                <w:rFonts w:ascii="Times New Roman" w:hAnsi="Times New Roman" w:eastAsia="宋体"/>
                <w:sz w:val="21"/>
              </w:rPr>
              <w:t>各功能模块</w:t>
            </w:r>
          </w:p>
        </w:tc>
        <w:tc>
          <w:tcPr>
            <w:tcW w:type="dxa" w:w="3402"/>
            <w:vAlign w:val="center"/>
          </w:tcPr>
          <w:p>
            <w:pPr>
              <w:pStyle w:val="BGWZ"/>
              <w:keepNext/>
            </w:pPr>
            <w:r>
              <w:rPr>
                <w:rFonts w:ascii="Times New Roman" w:hAnsi="Times New Roman" w:eastAsia="宋体"/>
                <w:sz w:val="21"/>
              </w:rPr>
              <w:t>配液精度、温控稳定性、电极夹持可靠性</w:t>
            </w:r>
          </w:p>
        </w:tc>
        <w:tc>
          <w:tcPr>
            <w:tcW w:type="dxa" w:w="2381"/>
            <w:vAlign w:val="center"/>
          </w:tcPr>
          <w:p>
            <w:pPr>
              <w:pStyle w:val="BGWZ"/>
              <w:keepNext/>
            </w:pPr>
            <w:r>
              <w:rPr>
                <w:rFonts w:ascii="Times New Roman" w:hAnsi="Times New Roman" w:eastAsia="宋体"/>
                <w:sz w:val="21"/>
              </w:rPr>
              <w:t>单模块指标达标且重复 10 次稳定</w:t>
            </w:r>
          </w:p>
        </w:tc>
      </w:tr>
      <w:tr>
        <w:trPr>
          <w:cantSplit/>
        </w:trPr>
        <w:tc>
          <w:tcPr>
            <w:tcW w:type="dxa" w:w="1020"/>
            <w:vAlign w:val="center"/>
          </w:tcPr>
          <w:p>
            <w:pPr>
              <w:pStyle w:val="BGWZ"/>
              <w:keepNext/>
            </w:pPr>
            <w:r>
              <w:rPr>
                <w:rFonts w:ascii="Times New Roman" w:hAnsi="Times New Roman" w:eastAsia="宋体"/>
                <w:sz w:val="21"/>
              </w:rPr>
              <w:t>L2 流程</w:t>
            </w:r>
          </w:p>
        </w:tc>
        <w:tc>
          <w:tcPr>
            <w:tcW w:type="dxa" w:w="2041"/>
            <w:vAlign w:val="center"/>
          </w:tcPr>
          <w:p>
            <w:pPr>
              <w:pStyle w:val="BGWZ"/>
              <w:keepNext/>
            </w:pPr>
            <w:r>
              <w:rPr>
                <w:rFonts w:ascii="Times New Roman" w:hAnsi="Times New Roman" w:eastAsia="宋体"/>
                <w:sz w:val="21"/>
              </w:rPr>
              <w:t>工序编排与协同</w:t>
            </w:r>
          </w:p>
        </w:tc>
        <w:tc>
          <w:tcPr>
            <w:tcW w:type="dxa" w:w="3402"/>
            <w:vAlign w:val="center"/>
          </w:tcPr>
          <w:p>
            <w:pPr>
              <w:pStyle w:val="BGWZ"/>
              <w:keepNext/>
            </w:pPr>
            <w:r>
              <w:rPr>
                <w:rFonts w:ascii="Times New Roman" w:hAnsi="Times New Roman" w:eastAsia="宋体"/>
                <w:sz w:val="21"/>
              </w:rPr>
              <w:t>连续完成 5 轮完整湿实验</w:t>
            </w:r>
          </w:p>
        </w:tc>
        <w:tc>
          <w:tcPr>
            <w:tcW w:type="dxa" w:w="2381"/>
            <w:vAlign w:val="center"/>
          </w:tcPr>
          <w:p>
            <w:pPr>
              <w:pStyle w:val="BGWZ"/>
              <w:keepNext/>
            </w:pPr>
            <w:r>
              <w:rPr>
                <w:rFonts w:ascii="Times New Roman" w:hAnsi="Times New Roman" w:eastAsia="宋体"/>
                <w:sz w:val="21"/>
              </w:rPr>
              <w:t>全流程无人工干预，节拍 ≤ 8 h</w:t>
            </w:r>
          </w:p>
        </w:tc>
      </w:tr>
      <w:tr>
        <w:trPr>
          <w:cantSplit/>
        </w:trPr>
        <w:tc>
          <w:tcPr>
            <w:tcW w:type="dxa" w:w="1020"/>
            <w:vAlign w:val="center"/>
          </w:tcPr>
          <w:p>
            <w:pPr>
              <w:pStyle w:val="BGWZ"/>
              <w:keepNext/>
            </w:pPr>
            <w:r>
              <w:rPr>
                <w:rFonts w:ascii="Times New Roman" w:hAnsi="Times New Roman" w:eastAsia="宋体"/>
                <w:sz w:val="21"/>
              </w:rPr>
              <w:t>L3 异常</w:t>
            </w:r>
          </w:p>
        </w:tc>
        <w:tc>
          <w:tcPr>
            <w:tcW w:type="dxa" w:w="2041"/>
            <w:vAlign w:val="center"/>
          </w:tcPr>
          <w:p>
            <w:pPr>
              <w:pStyle w:val="BGWZ"/>
              <w:keepNext/>
            </w:pPr>
            <w:r>
              <w:rPr>
                <w:rFonts w:ascii="Times New Roman" w:hAnsi="Times New Roman" w:eastAsia="宋体"/>
                <w:sz w:val="21"/>
              </w:rPr>
              <w:t>状态感知与处置</w:t>
            </w:r>
          </w:p>
        </w:tc>
        <w:tc>
          <w:tcPr>
            <w:tcW w:type="dxa" w:w="3402"/>
            <w:vAlign w:val="center"/>
          </w:tcPr>
          <w:p>
            <w:pPr>
              <w:pStyle w:val="BGWZ"/>
              <w:keepNext/>
            </w:pPr>
            <w:r>
              <w:rPr>
                <w:rFonts w:ascii="Times New Roman" w:hAnsi="Times New Roman" w:eastAsia="宋体"/>
                <w:sz w:val="21"/>
              </w:rPr>
              <w:t>断网、掉电、堵针、液位异常、温漂注入</w:t>
            </w:r>
          </w:p>
        </w:tc>
        <w:tc>
          <w:tcPr>
            <w:tcW w:type="dxa" w:w="2381"/>
            <w:vAlign w:val="center"/>
          </w:tcPr>
          <w:p>
            <w:pPr>
              <w:pStyle w:val="BGWZ"/>
              <w:keepNext/>
            </w:pPr>
            <w:r>
              <w:rPr>
                <w:rFonts w:ascii="Times New Roman" w:hAnsi="Times New Roman" w:eastAsia="宋体"/>
                <w:sz w:val="21"/>
              </w:rPr>
              <w:t>异常可识别、可恢复或可安全停机</w:t>
            </w:r>
          </w:p>
        </w:tc>
      </w:tr>
      <w:tr>
        <w:trPr>
          <w:cantSplit/>
        </w:trPr>
        <w:tc>
          <w:tcPr>
            <w:tcW w:type="dxa" w:w="1020"/>
            <w:vAlign w:val="center"/>
          </w:tcPr>
          <w:p>
            <w:pPr>
              <w:pStyle w:val="BGWZ"/>
            </w:pPr>
            <w:r>
              <w:rPr>
                <w:rFonts w:ascii="Times New Roman" w:hAnsi="Times New Roman" w:eastAsia="宋体"/>
                <w:sz w:val="21"/>
              </w:rPr>
              <w:t>L4 闭环</w:t>
            </w:r>
          </w:p>
        </w:tc>
        <w:tc>
          <w:tcPr>
            <w:tcW w:type="dxa" w:w="2041"/>
            <w:vAlign w:val="center"/>
          </w:tcPr>
          <w:p>
            <w:pPr>
              <w:pStyle w:val="BGWZ"/>
            </w:pPr>
            <w:r>
              <w:rPr>
                <w:rFonts w:ascii="Times New Roman" w:hAnsi="Times New Roman" w:eastAsia="宋体"/>
                <w:sz w:val="21"/>
              </w:rPr>
              <w:t>优化与迭代</w:t>
            </w:r>
          </w:p>
        </w:tc>
        <w:tc>
          <w:tcPr>
            <w:tcW w:type="dxa" w:w="3402"/>
            <w:vAlign w:val="center"/>
          </w:tcPr>
          <w:p>
            <w:pPr>
              <w:pStyle w:val="BGWZ"/>
            </w:pPr>
            <w:r>
              <w:rPr>
                <w:rFonts w:ascii="Times New Roman" w:hAnsi="Times New Roman" w:eastAsia="宋体"/>
                <w:sz w:val="21"/>
              </w:rPr>
              <w:t>以 η10 为目标完成 10 轮闭环优化</w:t>
            </w:r>
          </w:p>
        </w:tc>
        <w:tc>
          <w:tcPr>
            <w:tcW w:type="dxa" w:w="2381"/>
            <w:vAlign w:val="center"/>
          </w:tcPr>
          <w:p>
            <w:pPr>
              <w:pStyle w:val="BGWZ"/>
            </w:pPr>
            <w:r>
              <w:rPr>
                <w:rFonts w:ascii="Times New Roman" w:hAnsi="Times New Roman" w:eastAsia="宋体"/>
                <w:sz w:val="21"/>
              </w:rPr>
              <w:t>性能改进趋势显著，方案可解释</w:t>
            </w:r>
          </w:p>
        </w:tc>
      </w:tr>
    </w:tbl>
    <w:p>
      <w:pPr>
        <w:pStyle w:val="ZW"/>
      </w:pPr>
    </w:p>
    <w:p>
      <w:pPr>
        <w:pStyle w:val="ZW"/>
      </w:pPr>
      <w:r>
        <w:t>L1 单元验证在台架上完成，重点关注可重复性；L2 流程验证关注工序衔接与设备协同，特别是样品跨工位转移的成功率；L3 异常验证是验证方案的核心，也是与传统自动化平台拉开差距的环节；L4 闭环验证则需要完整的智能决策链路参与，重点考察优化是否真正带来性能提升，而非仅完成数据流转。</w:t>
      </w:r>
    </w:p>
    <w:p>
      <w:pPr>
        <w:pStyle w:val="BT2"/>
      </w:pPr>
      <w:r>
        <w:t>6.3  异常注入测试设计</w:t>
      </w:r>
    </w:p>
    <w:p>
      <w:pPr>
        <w:pStyle w:val="ZW"/>
      </w:pPr>
      <w:r>
        <w:t>异常注入采用“主动制造故障 + 观察系统响应”的方式，在受控条件下验证鲁棒性。测试用例覆盖六类异常，每类设计注入方式、期望响应与判定依据。例如通信中断测试通过在测试进行中切断控制层与恒电位仪的链路 30 s，期望系统在心跳超时后进入通信异常状态，执行重连与状态回读，若重连成功则从最近检查点续跑并保持数据连续；掉电测试在工序执行中切断总电源，期望重启后完成设备回零、依据检查点恢复到安全节点，并将当前批次标记为“已中断”而非“已完成”，避免污染数据集。</w:t>
      </w:r>
    </w:p>
    <w:p>
      <w:pPr>
        <w:pStyle w:val="ZW"/>
      </w:pPr>
      <w:r>
        <w:t>液位异常与氢气报警属于安全类注入，期望系统立即进入安全态并触发三级上报，不得由智能层自行“判断是否可以继续”。温漂与参比电极漂移属于慢性异常，期望系统通过趋势判据提前识别，在实际测试前完成校准或补偿，体现“预防优于处置”。所有注入测试均需记录系统响应时间，作为异常处置能力的量化依据。</w:t>
      </w:r>
    </w:p>
    <w:p>
      <w:pPr>
        <w:pStyle w:val="BT2"/>
      </w:pPr>
      <w:r>
        <w:t>6.4  实施计划与里程碑</w:t>
      </w:r>
    </w:p>
    <w:p>
      <w:pPr>
        <w:pStyle w:val="ZW"/>
      </w:pPr>
      <w:r>
        <w:t>方案实施按“平台搭建—智能接入—闭环打通—验证优化”四个阶段推进，总周期约 8 个月，各阶段工作与交付物如表 6.3 所示。</w:t>
      </w:r>
    </w:p>
    <w:p>
      <w:pPr>
        <w:pStyle w:val="BTTC"/>
      </w:pPr>
      <w:r>
        <w:t>表6.3  实施计划与里程碑</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34"/>
        <w:gridCol w:w="1587"/>
        <w:gridCol w:w="3855"/>
        <w:gridCol w:w="2268"/>
      </w:tblGrid>
      <w:tr>
        <w:trPr>
          <w:cantSplit/>
        </w:trPr>
        <w:tc>
          <w:tcPr>
            <w:tcW w:type="dxa" w:w="1134"/>
            <w:vAlign w:val="center"/>
          </w:tcPr>
          <w:p>
            <w:pPr>
              <w:pStyle w:val="BGWZ"/>
              <w:keepNext/>
            </w:pPr>
            <w:r>
              <w:rPr>
                <w:rFonts w:ascii="Times New Roman" w:hAnsi="Times New Roman" w:eastAsia="黑体"/>
                <w:b/>
                <w:sz w:val="21"/>
              </w:rPr>
              <w:t>阶段</w:t>
            </w:r>
          </w:p>
        </w:tc>
        <w:tc>
          <w:tcPr>
            <w:tcW w:type="dxa" w:w="1587"/>
            <w:vAlign w:val="center"/>
          </w:tcPr>
          <w:p>
            <w:pPr>
              <w:pStyle w:val="BGWZ"/>
              <w:keepNext/>
            </w:pPr>
            <w:r>
              <w:rPr>
                <w:rFonts w:ascii="Times New Roman" w:hAnsi="Times New Roman" w:eastAsia="黑体"/>
                <w:b/>
                <w:sz w:val="21"/>
              </w:rPr>
              <w:t>时间</w:t>
            </w:r>
          </w:p>
        </w:tc>
        <w:tc>
          <w:tcPr>
            <w:tcW w:type="dxa" w:w="3855"/>
            <w:vAlign w:val="center"/>
          </w:tcPr>
          <w:p>
            <w:pPr>
              <w:pStyle w:val="BGWZ"/>
              <w:keepNext/>
            </w:pPr>
            <w:r>
              <w:rPr>
                <w:rFonts w:ascii="Times New Roman" w:hAnsi="Times New Roman" w:eastAsia="黑体"/>
                <w:b/>
                <w:sz w:val="21"/>
              </w:rPr>
              <w:t>主要工作</w:t>
            </w:r>
          </w:p>
        </w:tc>
        <w:tc>
          <w:tcPr>
            <w:tcW w:type="dxa" w:w="2268"/>
            <w:vAlign w:val="center"/>
          </w:tcPr>
          <w:p>
            <w:pPr>
              <w:pStyle w:val="BGWZ"/>
              <w:keepNext/>
            </w:pPr>
            <w:r>
              <w:rPr>
                <w:rFonts w:ascii="Times New Roman" w:hAnsi="Times New Roman" w:eastAsia="黑体"/>
                <w:b/>
                <w:sz w:val="21"/>
              </w:rPr>
              <w:t>交付物</w:t>
            </w:r>
          </w:p>
        </w:tc>
      </w:tr>
      <w:tr>
        <w:trPr>
          <w:cantSplit/>
        </w:trPr>
        <w:tc>
          <w:tcPr>
            <w:tcW w:type="dxa" w:w="1134"/>
            <w:vAlign w:val="center"/>
          </w:tcPr>
          <w:p>
            <w:pPr>
              <w:pStyle w:val="BGWZ"/>
              <w:keepNext/>
            </w:pPr>
            <w:r>
              <w:rPr>
                <w:rFonts w:ascii="Times New Roman" w:hAnsi="Times New Roman" w:eastAsia="宋体"/>
                <w:sz w:val="21"/>
              </w:rPr>
              <w:t>阶段一</w:t>
            </w:r>
          </w:p>
        </w:tc>
        <w:tc>
          <w:tcPr>
            <w:tcW w:type="dxa" w:w="1587"/>
            <w:vAlign w:val="center"/>
          </w:tcPr>
          <w:p>
            <w:pPr>
              <w:pStyle w:val="BGWZ"/>
              <w:keepNext/>
            </w:pPr>
            <w:r>
              <w:rPr>
                <w:rFonts w:ascii="Times New Roman" w:hAnsi="Times New Roman" w:eastAsia="宋体"/>
                <w:sz w:val="21"/>
              </w:rPr>
              <w:t>第 1～2 月</w:t>
            </w:r>
          </w:p>
        </w:tc>
        <w:tc>
          <w:tcPr>
            <w:tcW w:type="dxa" w:w="3855"/>
            <w:vAlign w:val="center"/>
          </w:tcPr>
          <w:p>
            <w:pPr>
              <w:pStyle w:val="BGWZ"/>
              <w:keepNext/>
            </w:pPr>
            <w:r>
              <w:rPr>
                <w:rFonts w:ascii="Times New Roman" w:hAnsi="Times New Roman" w:eastAsia="宋体"/>
                <w:sz w:val="21"/>
              </w:rPr>
              <w:t>需求细化、模块选型、接口协议定义</w:t>
            </w:r>
          </w:p>
        </w:tc>
        <w:tc>
          <w:tcPr>
            <w:tcW w:type="dxa" w:w="2268"/>
            <w:vAlign w:val="center"/>
          </w:tcPr>
          <w:p>
            <w:pPr>
              <w:pStyle w:val="BGWZ"/>
              <w:keepNext/>
            </w:pPr>
            <w:r>
              <w:rPr>
                <w:rFonts w:ascii="Times New Roman" w:hAnsi="Times New Roman" w:eastAsia="宋体"/>
                <w:sz w:val="21"/>
              </w:rPr>
              <w:t>总体设计说明书、接口规范</w:t>
            </w:r>
          </w:p>
        </w:tc>
      </w:tr>
      <w:tr>
        <w:trPr>
          <w:cantSplit/>
        </w:trPr>
        <w:tc>
          <w:tcPr>
            <w:tcW w:type="dxa" w:w="1134"/>
            <w:vAlign w:val="center"/>
          </w:tcPr>
          <w:p>
            <w:pPr>
              <w:pStyle w:val="BGWZ"/>
              <w:keepNext/>
            </w:pPr>
            <w:r>
              <w:rPr>
                <w:rFonts w:ascii="Times New Roman" w:hAnsi="Times New Roman" w:eastAsia="宋体"/>
                <w:sz w:val="21"/>
              </w:rPr>
              <w:t>阶段二</w:t>
            </w:r>
          </w:p>
        </w:tc>
        <w:tc>
          <w:tcPr>
            <w:tcW w:type="dxa" w:w="1587"/>
            <w:vAlign w:val="center"/>
          </w:tcPr>
          <w:p>
            <w:pPr>
              <w:pStyle w:val="BGWZ"/>
              <w:keepNext/>
            </w:pPr>
            <w:r>
              <w:rPr>
                <w:rFonts w:ascii="Times New Roman" w:hAnsi="Times New Roman" w:eastAsia="宋体"/>
                <w:sz w:val="21"/>
              </w:rPr>
              <w:t>第 3～4 月</w:t>
            </w:r>
          </w:p>
        </w:tc>
        <w:tc>
          <w:tcPr>
            <w:tcW w:type="dxa" w:w="3855"/>
            <w:vAlign w:val="center"/>
          </w:tcPr>
          <w:p>
            <w:pPr>
              <w:pStyle w:val="BGWZ"/>
              <w:keepNext/>
            </w:pPr>
            <w:r>
              <w:rPr>
                <w:rFonts w:ascii="Times New Roman" w:hAnsi="Times New Roman" w:eastAsia="宋体"/>
                <w:sz w:val="21"/>
              </w:rPr>
              <w:t>配液与测试模块搭建、控制层与状态机实现</w:t>
            </w:r>
          </w:p>
        </w:tc>
        <w:tc>
          <w:tcPr>
            <w:tcW w:type="dxa" w:w="2268"/>
            <w:vAlign w:val="center"/>
          </w:tcPr>
          <w:p>
            <w:pPr>
              <w:pStyle w:val="BGWZ"/>
              <w:keepNext/>
            </w:pPr>
            <w:r>
              <w:rPr>
                <w:rFonts w:ascii="Times New Roman" w:hAnsi="Times New Roman" w:eastAsia="宋体"/>
                <w:sz w:val="21"/>
              </w:rPr>
              <w:t>单模块台架、控制层软件</w:t>
            </w:r>
          </w:p>
        </w:tc>
      </w:tr>
      <w:tr>
        <w:trPr>
          <w:cantSplit/>
        </w:trPr>
        <w:tc>
          <w:tcPr>
            <w:tcW w:type="dxa" w:w="1134"/>
            <w:vAlign w:val="center"/>
          </w:tcPr>
          <w:p>
            <w:pPr>
              <w:pStyle w:val="BGWZ"/>
              <w:keepNext/>
            </w:pPr>
            <w:r>
              <w:rPr>
                <w:rFonts w:ascii="Times New Roman" w:hAnsi="Times New Roman" w:eastAsia="宋体"/>
                <w:sz w:val="21"/>
              </w:rPr>
              <w:t>阶段三</w:t>
            </w:r>
          </w:p>
        </w:tc>
        <w:tc>
          <w:tcPr>
            <w:tcW w:type="dxa" w:w="1587"/>
            <w:vAlign w:val="center"/>
          </w:tcPr>
          <w:p>
            <w:pPr>
              <w:pStyle w:val="BGWZ"/>
              <w:keepNext/>
            </w:pPr>
            <w:r>
              <w:rPr>
                <w:rFonts w:ascii="Times New Roman" w:hAnsi="Times New Roman" w:eastAsia="宋体"/>
                <w:sz w:val="21"/>
              </w:rPr>
              <w:t>第 5～6 月</w:t>
            </w:r>
          </w:p>
        </w:tc>
        <w:tc>
          <w:tcPr>
            <w:tcW w:type="dxa" w:w="3855"/>
            <w:vAlign w:val="center"/>
          </w:tcPr>
          <w:p>
            <w:pPr>
              <w:pStyle w:val="BGWZ"/>
              <w:keepNext/>
            </w:pPr>
            <w:r>
              <w:rPr>
                <w:rFonts w:ascii="Times New Roman" w:hAnsi="Times New Roman" w:eastAsia="宋体"/>
                <w:sz w:val="21"/>
              </w:rPr>
              <w:t>Agent 接入、技能库与异常处置实现</w:t>
            </w:r>
          </w:p>
        </w:tc>
        <w:tc>
          <w:tcPr>
            <w:tcW w:type="dxa" w:w="2268"/>
            <w:vAlign w:val="center"/>
          </w:tcPr>
          <w:p>
            <w:pPr>
              <w:pStyle w:val="BGWZ"/>
              <w:keepNext/>
            </w:pPr>
            <w:r>
              <w:rPr>
                <w:rFonts w:ascii="Times New Roman" w:hAnsi="Times New Roman" w:eastAsia="宋体"/>
                <w:sz w:val="21"/>
              </w:rPr>
              <w:t>Agent 原型、异常处置报告</w:t>
            </w:r>
          </w:p>
        </w:tc>
      </w:tr>
      <w:tr>
        <w:trPr>
          <w:cantSplit/>
        </w:trPr>
        <w:tc>
          <w:tcPr>
            <w:tcW w:type="dxa" w:w="1134"/>
            <w:vAlign w:val="center"/>
          </w:tcPr>
          <w:p>
            <w:pPr>
              <w:pStyle w:val="BGWZ"/>
            </w:pPr>
            <w:r>
              <w:rPr>
                <w:rFonts w:ascii="Times New Roman" w:hAnsi="Times New Roman" w:eastAsia="宋体"/>
                <w:sz w:val="21"/>
              </w:rPr>
              <w:t>阶段四</w:t>
            </w:r>
          </w:p>
        </w:tc>
        <w:tc>
          <w:tcPr>
            <w:tcW w:type="dxa" w:w="1587"/>
            <w:vAlign w:val="center"/>
          </w:tcPr>
          <w:p>
            <w:pPr>
              <w:pStyle w:val="BGWZ"/>
            </w:pPr>
            <w:r>
              <w:rPr>
                <w:rFonts w:ascii="Times New Roman" w:hAnsi="Times New Roman" w:eastAsia="宋体"/>
                <w:sz w:val="21"/>
              </w:rPr>
              <w:t>第 7～8 月</w:t>
            </w:r>
          </w:p>
        </w:tc>
        <w:tc>
          <w:tcPr>
            <w:tcW w:type="dxa" w:w="3855"/>
            <w:vAlign w:val="center"/>
          </w:tcPr>
          <w:p>
            <w:pPr>
              <w:pStyle w:val="BGWZ"/>
            </w:pPr>
            <w:r>
              <w:rPr>
                <w:rFonts w:ascii="Times New Roman" w:hAnsi="Times New Roman" w:eastAsia="宋体"/>
                <w:sz w:val="21"/>
              </w:rPr>
              <w:t>闭环打通、异常注入测试、性能验证</w:t>
            </w:r>
          </w:p>
        </w:tc>
        <w:tc>
          <w:tcPr>
            <w:tcW w:type="dxa" w:w="2268"/>
            <w:vAlign w:val="center"/>
          </w:tcPr>
          <w:p>
            <w:pPr>
              <w:pStyle w:val="BGWZ"/>
            </w:pPr>
            <w:r>
              <w:rPr>
                <w:rFonts w:ascii="Times New Roman" w:hAnsi="Times New Roman" w:eastAsia="宋体"/>
                <w:sz w:val="21"/>
              </w:rPr>
              <w:t>验证报告、演示系统</w:t>
            </w:r>
          </w:p>
        </w:tc>
      </w:tr>
    </w:tbl>
    <w:p>
      <w:pPr>
        <w:pStyle w:val="ZW"/>
      </w:pPr>
    </w:p>
    <w:p>
      <w:pPr>
        <w:pStyle w:val="ZW"/>
      </w:pPr>
      <w:r>
        <w:t>计划中把异常处置与闭环验证放在后段，是因为二者依赖前段平台与数据的成熟度；同时在前段即定义接口规范，避免后期因接口变动导致返工。若进度紧张，可优先保证 L1～L3 验证，闭环验证作为持续迭代内容推进。</w:t>
      </w:r>
    </w:p>
    <w:p>
      <w:pPr>
        <w:pStyle w:val="BT2"/>
      </w:pPr>
      <w:r>
        <w:t>6.5  应用前景与转化路径</w:t>
      </w:r>
    </w:p>
    <w:p>
      <w:pPr>
        <w:pStyle w:val="ZW"/>
      </w:pPr>
      <w:r>
        <w:t>从需求侧看，析氢催化剂及更广泛的电催化材料研发普遍面临“实验量大、迭代慢”的问题，高校课题组、科研院所与氢能装备企业在材料筛选、工艺优化与失效分析环节均存在类似需求。本方案形成的模块化实验平台、实验编排软件与 AI Agent 中间件，具备较强的通用性，可通过更换工艺模块适配不同电催化体系，具备产品化基础。</w:t>
      </w:r>
    </w:p>
    <w:p>
      <w:pPr>
        <w:pStyle w:val="ZW"/>
      </w:pPr>
      <w:r>
        <w:t>转化路径可分三步推进：第一步面向校内课题组提供实验托管服务，以联合实验的方式验证价值并积累数据；第二步将平台拆分为“硬件模块 + 软件平台”两类产品，硬件面向有自建需求的实验室，软件面向已有自动化设备的实验室提供智能升级；第三步与氢能装备企业合作，将催化剂筛选能力嵌入其材料研发流程，形成长期服务关系。</w:t>
      </w:r>
    </w:p>
    <w:p>
      <w:pPr>
        <w:pStyle w:val="ZW"/>
      </w:pPr>
      <w:r>
        <w:t>从竞争格局看，国外自主实验室平台多集中于大型材料基因组计划，国内相关装备尚处于起步阶段，面向电化学湿实验的国产化智能平台存在窗口期。本方案的技术壁垒在于“装备接口标准化 + 状态感知 + 安全护栏”三者的组合，而非单一算法，这与过程装备学科的优势方向一致。当然，方案落地仍面临设备投入较高、跨品牌协议适配工作量大、用户使用习惯培养等挑战，需要通过模块化设计和分阶段实施逐步化解。</w:t>
      </w:r>
    </w:p>
    <w:p>
      <w:pPr>
        <w:pStyle w:val="BT2"/>
      </w:pPr>
      <w:r>
        <w:t>6.6  本章小结</w:t>
      </w:r>
    </w:p>
    <w:p>
      <w:pPr>
        <w:pStyle w:val="ZW"/>
      </w:pPr>
      <w:r>
        <w:t>本章从功能、可靠性、智能化与数据四个层面建立了验证指标体系，设计了单元、流程、异常、闭环四级验证用例，给出了六类异常的注入测试方法与期望响应，制定了 8 个月四阶段的实施计划，并从需求、路径与竞争三个角度分析了应用前景。验证方案强调以异常注入检验无人值守能力，以闭环优化检验智能决策价值，使方案的可信度可被量化评估。</w:t>
      </w:r>
    </w:p>
    <w:p>
      <w:pPr>
        <w:pStyle w:val="20"/>
      </w:pPr>
      <w:r>
        <w:t>支撑材料</w:t>
      </w:r>
    </w:p>
    <w:p>
      <w:pPr>
        <w:pStyle w:val="ZW"/>
      </w:pPr>
      <w:r>
        <w:t>本方案形成的支撑材料主要包括：</w:t>
      </w:r>
    </w:p>
    <w:p>
      <w:pPr>
        <w:pStyle w:val="ZW"/>
      </w:pPr>
      <w:r>
        <w:t>（1）系统总体设计方案图纸与模块接口规范；</w:t>
      </w:r>
    </w:p>
    <w:p>
      <w:pPr>
        <w:pStyle w:val="ZW"/>
      </w:pPr>
      <w:r>
        <w:t>（2）自动化实验平台控制软件与 AI Agent 原型演示；</w:t>
      </w:r>
    </w:p>
    <w:p>
      <w:pPr>
        <w:pStyle w:val="ZW"/>
      </w:pPr>
      <w:r>
        <w:t>（3）异常注入测试记录与验证报告；</w:t>
      </w:r>
    </w:p>
    <w:p>
      <w:pPr>
        <w:pStyle w:val="ZW"/>
      </w:pPr>
      <w:r>
        <w:t>（4）面向析氢催化剂实验的数据模型与结构化实验档案样例；</w:t>
      </w:r>
    </w:p>
    <w:p>
      <w:pPr>
        <w:pStyle w:val="ZW"/>
      </w:pPr>
      <w:r>
        <w:t>（5）拟申请软件著作权与发明专利的技术交底材料。</w:t>
      </w:r>
    </w:p>
    <w:p>
      <w:pPr>
        <w:pStyle w:val="ZW"/>
      </w:pPr>
      <w:r>
        <w:t>上述材料随作品报告书一并提交，具体内容以附件形式附后。</w:t>
      </w:r>
    </w:p>
    <w:p>
      <w:pPr>
        <w:pStyle w:val="20"/>
      </w:pPr>
      <w:r>
        <w:t>参考文献</w:t>
      </w:r>
    </w:p>
    <w:p>
      <w:pPr>
        <w:pStyle w:val="CKWX"/>
      </w:pPr>
      <w:r>
        <w:t>[1] Szymanski N J, Rendy B, Fei Y, et al. An autonomous laboratory for the accelerated synthesis of novel materials[J]. Nature, 2023, 624(7990): 86-91.</w:t>
      </w:r>
    </w:p>
    <w:p>
      <w:pPr>
        <w:pStyle w:val="CKWX"/>
      </w:pPr>
      <w:r>
        <w:t>[2] Boiko D A, MacKnight R, Kline B, et al. Autonomous chemical research with large language models[J]. Nature, 2023, 624(7992): 570-578.</w:t>
      </w:r>
    </w:p>
    <w:p>
      <w:pPr>
        <w:pStyle w:val="CKWX"/>
      </w:pPr>
      <w:r>
        <w:t>[3] Bran A M, Cox S, Schilter O, et al. Augmenting large language models with chemistry tools[J]. Nature Machine Intelligence, 2024, 6(5): 525-535.</w:t>
      </w:r>
    </w:p>
    <w:p>
      <w:pPr>
        <w:pStyle w:val="CKWX"/>
      </w:pPr>
      <w:r>
        <w:t>[4] Burger B, Maffettone P M, Gusev V V, et al. A mobile robotic chemist[J]. Nature, 2020, 583(7815): 237-241.</w:t>
      </w:r>
    </w:p>
    <w:p>
      <w:pPr>
        <w:pStyle w:val="CKWX"/>
      </w:pPr>
      <w:r>
        <w:t>[5] MacLeod B P, Parlane F G L, Morrissey T D, et al. Self-driving laboratory for accelerated discovery of thin-film materials[J]. Science Advances, 2020, 6(20): eaaz8867.</w:t>
      </w:r>
    </w:p>
    <w:p>
      <w:pPr>
        <w:pStyle w:val="CKWX"/>
      </w:pPr>
      <w:r>
        <w:t>[6] Seifrid M, Pollice R, Aguilar-Granda A, et al. Autonomous chemical experiments: challenges and perspectives on establishing a self-driving lab[J]. Accounts of Chemical Research, 2022, 55(17): 2454-2466.</w:t>
      </w:r>
    </w:p>
    <w:p>
      <w:pPr>
        <w:pStyle w:val="CKWX"/>
      </w:pPr>
      <w:r>
        <w:t>[7] Jablonka K M, Ai Q, Al-Feghali A, et al. 14 examples of how LLMs can transform materials science and chemistry: a reflection on a large language model hackathon[J]. Digital Discovery, 2023, 2(5): 1233-1250.</w:t>
      </w:r>
    </w:p>
    <w:p>
      <w:pPr>
        <w:pStyle w:val="CKWX"/>
      </w:pPr>
      <w:r>
        <w:t>[8] Zheng Y, Jiao Y, Vasileff A, et al. The hydrogen evolution reaction in alkaline solution: from theory, single crystal models, to practical electrocatalysts[J]. Angewandte Chemie International Edition, 2018, 57(26): 7568-7579.</w:t>
      </w:r>
    </w:p>
    <w:p>
      <w:pPr>
        <w:pStyle w:val="CKWX"/>
      </w:pPr>
      <w:r>
        <w:t>[9] Zhu J, Hu L, Zhao P, et al. Recent advances in electrocatalytic hydrogen evolution using nanoparticles[J]. Chemical Reviews, 2020, 120(2): 851-918.</w:t>
      </w:r>
    </w:p>
    <w:p>
      <w:pPr>
        <w:pStyle w:val="CKWX"/>
      </w:pPr>
      <w:r>
        <w:t>[10] Mahmood N, Yao Y, Zhang J W, et al. Electrocatalysts for hydrogen evolution in alkaline electrolytes: mechanisms, challenges, and prospective solutions[J]. Advanced Science, 2018, 5(2): 1700464.</w:t>
      </w:r>
    </w:p>
    <w:p>
      <w:pPr>
        <w:pStyle w:val="CKWX"/>
      </w:pPr>
      <w:r>
        <w:t>[11] 于文丽, 王子璇, 董斌, 等. 超细铂纳米颗粒/MOF载体电子相互作用增强的全pH析氢反应性能[J]. 高等学校化学学报, 2024, 45(12): 20240408.</w:t>
      </w:r>
    </w:p>
    <w:p>
      <w:pPr>
        <w:pStyle w:val="CKWX"/>
      </w:pPr>
      <w:r>
        <w:t>[12] 华秋茹, 顾一鸣, 郭显斌, 等. 人工智能开发和优化燃料电池催化剂的初步探索[J]. 中国科学: 化学, 2024, 54(11): 2055-2070.</w:t>
      </w:r>
    </w:p>
    <w:p>
      <w:pPr>
        <w:pStyle w:val="CKWX"/>
      </w:pPr>
      <w:r>
        <w:t>[13] 伍昊, 李凤麒, 石欣伟, 等. 机器学习指导筛选多主元合金作为析氢反应电催化剂[J]. 物理化学学报, 2026, 42(8): 100227.</w:t>
      </w:r>
    </w:p>
    <w:p>
      <w:pPr>
        <w:pStyle w:val="CKWX"/>
      </w:pPr>
      <w:r>
        <w:t>[14] 阮见, 李双, 温正慧. 自动化与智能化在流动化学中的应用[J]. 化工学报, 2024, 75(11): 4120-4140.</w:t>
      </w:r>
    </w:p>
    <w:p>
      <w:pPr>
        <w:pStyle w:val="20"/>
      </w:pPr>
      <w:r>
        <w:t>致谢</w:t>
      </w:r>
    </w:p>
    <w:p>
      <w:pPr>
        <w:pStyle w:val="ZW"/>
      </w:pPr>
      <w:r>
        <w:t>本方案的选题与思路得到施建峰老师、李洋老师的悉心指导。两位老师在特种装备与氢能技术方向的经验，帮助团队厘清了“装备—流程—智能”的关系，也在系统架构取舍上给出了关键建议。感谢课题组在实验流程梳理阶段提供的现场支持，感谢团队成员在资料调研、图表绘制与文稿整理中的分工协作。报告中引用的研究成果均已在参考文献中标注，谨向各位作者致谢。</w:t>
      </w:r>
    </w:p>
    <w:sectPr>
      <w:footerReference r:id="rId16" w:type="first"/>
      <w:footerReference r:id="rId15" w:type="default"/>
      <w:pgSz w:w="11906" w:h="16838"/>
      <w:pgMar w:top="1418" w:right="1418" w:bottom="1418" w:left="1418" w:header="851" w:footer="992" w:gutter="0"/>
      <w:pgNumType w:fmt="decimal"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2416133"/>
      <w:docPartObj>
        <w:docPartGallery w:val="autotext"/>
      </w:docPartObj>
    </w:sdtPr>
    <w:sdtEndPr>
      <w:rPr>
        <w:rFonts w:ascii="Times New Roman" w:hAnsi="Times New Roman" w:cs="Times New Roman"/>
        <w:sz w:val="21"/>
      </w:rPr>
    </w:sdtEndPr>
    <w:sdtContent>
      <w:p w14:paraId="1854B666">
        <w:pPr>
          <w:pStyle w:val="4"/>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iv</w:t>
        </w:r>
        <w:r>
          <w:rPr>
            <w:rFonts w:ascii="Times New Roman" w:hAnsi="Times New Roman" w:cs="Times New Roman"/>
            <w:sz w:val="21"/>
          </w:rPr>
          <w:fldChar w:fldCharType="end"/>
        </w:r>
      </w:p>
    </w:sdtContent>
  </w:sdt>
  <w:p w14:paraId="1817C0AE">
    <w:pPr>
      <w:pStyle w:val="4"/>
      <w:spacing w:before="60" w:after="6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A4C0C">
    <w:pPr>
      <w:pStyle w:val="4"/>
      <w:spacing w:before="60" w:after="60"/>
    </w:pPr>
    <w:r>
      <w:fldChar w:fldCharType="begin"/>
    </w:r>
    <w:r>
      <w:instrText xml:space="preserve"> PAGE   \* MERGEFORMAT </w:instrText>
    </w:r>
    <w:r>
      <w:fldChar w:fldCharType="separate"/>
    </w:r>
    <w:r>
      <w:rPr>
        <w:lang w:val="zh-CN"/>
      </w:rP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F1692">
    <w:pPr>
      <w:pStyle w:val="4"/>
      <w:spacing w:before="60" w:after="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E7E62">
    <w:pPr>
      <w:pStyle w:val="4"/>
      <w:jc w:val="center"/>
      <w:rPr>
        <w:rFonts w:ascii="Times New Roman" w:hAnsi="Times New Roman" w:cs="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629"/>
                            <w:docPartObj>
                              <w:docPartGallery w:val="autotext"/>
                            </w:docPartObj>
                          </w:sdtPr>
                          <w:sdtEndPr>
                            <w:rPr>
                              <w:rFonts w:ascii="Times New Roman" w:hAnsi="Times New Roman" w:cs="Times New Roman"/>
                              <w:sz w:val="21"/>
                              <w:szCs w:val="21"/>
                            </w:rPr>
                          </w:sdtEndPr>
                          <w:sdtContent>
                            <w:p w14:paraId="52C4E48D">
                              <w:pPr>
                                <w:pStyle w:val="4"/>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sdtContent>
                        </w:sdt>
                        <w:p w14:paraId="2DF200DC">
                          <w:pPr>
                            <w:rPr>
                              <w:rFonts w:ascii="Times New Roman" w:hAnsi="Times New Roman" w:cs="Times New Roman"/>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0629"/>
                      <w:docPartObj>
                        <w:docPartGallery w:val="autotext"/>
                      </w:docPartObj>
                    </w:sdtPr>
                    <w:sdtEndPr>
                      <w:rPr>
                        <w:rFonts w:ascii="Times New Roman" w:hAnsi="Times New Roman" w:cs="Times New Roman"/>
                        <w:sz w:val="21"/>
                        <w:szCs w:val="21"/>
                      </w:rPr>
                    </w:sdtEndPr>
                    <w:sdtContent>
                      <w:p w14:paraId="52C4E48D">
                        <w:pPr>
                          <w:pStyle w:val="4"/>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sdtContent>
                  </w:sdt>
                  <w:p w14:paraId="2DF200DC">
                    <w:pPr>
                      <w:rPr>
                        <w:rFonts w:ascii="Times New Roman" w:hAnsi="Times New Roman" w:cs="Times New Roman"/>
                        <w:sz w:val="21"/>
                        <w:szCs w:val="21"/>
                      </w:rPr>
                    </w:pPr>
                  </w:p>
                </w:txbxContent>
              </v:textbox>
            </v:shape>
          </w:pict>
        </mc:Fallback>
      </mc:AlternateContent>
    </w:r>
  </w:p>
  <w:p w14:paraId="1C021F72">
    <w:pPr>
      <w:pStyle w:val="4"/>
      <w:spacing w:before="60" w:after="60"/>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1CBF1">
    <w:pPr>
      <w:pStyle w:val="4"/>
      <w:spacing w:before="60" w:after="60"/>
    </w:pPr>
    <w:r>
      <w:fldChar w:fldCharType="begin"/>
    </w:r>
    <w:r>
      <w:instrText xml:space="preserve"> PAGE   \* MERGEFORMAT </w:instrText>
    </w:r>
    <w:r>
      <w:fldChar w:fldCharType="separate"/>
    </w:r>
    <w:r>
      <w:rPr>
        <w:lang w:val="zh-CN"/>
      </w:rPr>
      <w:t>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F8FA9">
    <w:pPr>
      <w:pStyle w:val="4"/>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321"/>
                            <w:docPartObj>
                              <w:docPartGallery w:val="autotext"/>
                            </w:docPartObj>
                          </w:sdtPr>
                          <w:sdtContent>
                            <w:p w14:paraId="60771BCE">
                              <w:pPr>
                                <w:pStyle w:val="4"/>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w:t>
                              </w:r>
                              <w:r>
                                <w:rPr>
                                  <w:rFonts w:ascii="Times New Roman" w:hAnsi="Times New Roman" w:cs="Times New Roman"/>
                                  <w:sz w:val="21"/>
                                  <w:szCs w:val="21"/>
                                </w:rPr>
                                <w:fldChar w:fldCharType="end"/>
                              </w:r>
                            </w:p>
                          </w:sdtContent>
                        </w:sdt>
                        <w:p w14:paraId="7355ECB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sdt>
                    <w:sdtPr>
                      <w:id w:val="147473321"/>
                      <w:docPartObj>
                        <w:docPartGallery w:val="autotext"/>
                      </w:docPartObj>
                    </w:sdtPr>
                    <w:sdtContent>
                      <w:p w14:paraId="60771BCE">
                        <w:pPr>
                          <w:pStyle w:val="4"/>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w:t>
                        </w:r>
                        <w:r>
                          <w:rPr>
                            <w:rFonts w:ascii="Times New Roman" w:hAnsi="Times New Roman" w:cs="Times New Roman"/>
                            <w:sz w:val="21"/>
                            <w:szCs w:val="21"/>
                          </w:rPr>
                          <w:fldChar w:fldCharType="end"/>
                        </w:r>
                      </w:p>
                    </w:sdtContent>
                  </w:sdt>
                  <w:p w14:paraId="7355ECBD"/>
                </w:txbxContent>
              </v:textbox>
            </v:shape>
          </w:pict>
        </mc:Fallback>
      </mc:AlternateContent>
    </w:r>
  </w:p>
  <w:p w14:paraId="661BA72E">
    <w:pPr>
      <w:pStyle w:val="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0B34D">
    <w:pPr>
      <w:pStyle w:val="4"/>
      <w:jc w:val="center"/>
      <w:rPr>
        <w:rFonts w:ascii="Times New Roman" w:hAnsi="Times New Roman" w:cs="Times New Roman"/>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4285"/>
                            <w:docPartObj>
                              <w:docPartGallery w:val="autotext"/>
                            </w:docPartObj>
                          </w:sdtPr>
                          <w:sdtEndPr>
                            <w:rPr>
                              <w:rFonts w:ascii="Times New Roman" w:hAnsi="Times New Roman" w:cs="Times New Roman"/>
                              <w:sz w:val="21"/>
                              <w:szCs w:val="21"/>
                            </w:rPr>
                          </w:sdtEndPr>
                          <w:sdtContent>
                            <w:p w14:paraId="6EB64C7C">
                              <w:pPr>
                                <w:pStyle w:val="4"/>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sdtContent>
                        </w:sdt>
                        <w:p w14:paraId="31D64EE5">
                          <w:pPr>
                            <w:rPr>
                              <w:rFonts w:ascii="Times New Roman" w:hAnsi="Times New Roman" w:cs="Times New Roman"/>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id w:val="147454285"/>
                      <w:docPartObj>
                        <w:docPartGallery w:val="autotext"/>
                      </w:docPartObj>
                    </w:sdtPr>
                    <w:sdtEndPr>
                      <w:rPr>
                        <w:rFonts w:ascii="Times New Roman" w:hAnsi="Times New Roman" w:cs="Times New Roman"/>
                        <w:sz w:val="21"/>
                        <w:szCs w:val="21"/>
                      </w:rPr>
                    </w:sdtEndPr>
                    <w:sdtContent>
                      <w:p w14:paraId="6EB64C7C">
                        <w:pPr>
                          <w:pStyle w:val="4"/>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ii</w:t>
                        </w:r>
                        <w:r>
                          <w:rPr>
                            <w:rFonts w:ascii="Times New Roman" w:hAnsi="Times New Roman" w:cs="Times New Roman"/>
                            <w:sz w:val="21"/>
                            <w:szCs w:val="21"/>
                          </w:rPr>
                          <w:fldChar w:fldCharType="end"/>
                        </w:r>
                      </w:p>
                    </w:sdtContent>
                  </w:sdt>
                  <w:p w14:paraId="31D64EE5">
                    <w:pPr>
                      <w:rPr>
                        <w:rFonts w:ascii="Times New Roman" w:hAnsi="Times New Roman" w:cs="Times New Roman"/>
                        <w:sz w:val="21"/>
                        <w:szCs w:val="21"/>
                      </w:rPr>
                    </w:pPr>
                  </w:p>
                </w:txbxContent>
              </v:textbox>
            </v:shape>
          </w:pict>
        </mc:Fallback>
      </mc:AlternateContent>
    </w:r>
  </w:p>
  <w:p w14:paraId="0711C3D4">
    <w:pPr>
      <w:pStyle w:val="4"/>
      <w:spacing w:before="60" w:after="60"/>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CAEA3">
    <w:pPr>
      <w:pStyle w:val="4"/>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511"/>
                            <w:docPartObj>
                              <w:docPartGallery w:val="autotext"/>
                            </w:docPartObj>
                          </w:sdtPr>
                          <w:sdtContent>
                            <w:p w14:paraId="406835E8">
                              <w:pPr>
                                <w:pStyle w:val="4"/>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w:t>
                              </w:r>
                              <w:r>
                                <w:rPr>
                                  <w:rFonts w:ascii="Times New Roman" w:hAnsi="Times New Roman" w:cs="Times New Roman"/>
                                  <w:sz w:val="21"/>
                                  <w:szCs w:val="21"/>
                                </w:rPr>
                                <w:fldChar w:fldCharType="end"/>
                              </w:r>
                            </w:p>
                          </w:sdtContent>
                        </w:sdt>
                        <w:p w14:paraId="466948E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sdt>
                    <w:sdtPr>
                      <w:id w:val="147480511"/>
                      <w:docPartObj>
                        <w:docPartGallery w:val="autotext"/>
                      </w:docPartObj>
                    </w:sdtPr>
                    <w:sdtContent>
                      <w:p w14:paraId="406835E8">
                        <w:pPr>
                          <w:pStyle w:val="4"/>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w:t>
                        </w:r>
                        <w:r>
                          <w:rPr>
                            <w:rFonts w:ascii="Times New Roman" w:hAnsi="Times New Roman" w:cs="Times New Roman"/>
                            <w:sz w:val="21"/>
                            <w:szCs w:val="21"/>
                          </w:rPr>
                          <w:fldChar w:fldCharType="end"/>
                        </w:r>
                      </w:p>
                    </w:sdtContent>
                  </w:sdt>
                  <w:p w14:paraId="466948E3"/>
                </w:txbxContent>
              </v:textbox>
            </v:shape>
          </w:pict>
        </mc:Fallback>
      </mc:AlternateContent>
    </w:r>
  </w:p>
  <w:p w14:paraId="2E4848B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6347">
    <w:pPr>
      <w:pStyle w:val="5"/>
      <w:tabs>
        <w:tab w:val="right" w:pos="9000"/>
        <w:tab w:val="clear" w:pos="4153"/>
        <w:tab w:val="clear" w:pos="8306"/>
      </w:tabs>
      <w:spacing w:before="60" w:after="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A1DA">
    <w:pPr>
      <w:pStyle w:val="5"/>
      <w:tabs>
        <w:tab w:val="left" w:pos="5832"/>
        <w:tab w:val="right" w:pos="9000"/>
        <w:tab w:val="clear" w:pos="4153"/>
        <w:tab w:val="clear" w:pos="8306"/>
      </w:tabs>
      <w:spacing w:before="60" w:after="60"/>
      <w:jc w:val="both"/>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DF987">
    <w:pPr>
      <w:spacing w:before="60" w:after="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597F2">
    <w:pPr>
      <w:pStyle w:val="5"/>
    </w:pPr>
    <w:r>
      <w:rPr>
        <w:rFonts w:hint="eastAsia" w:ascii="仿宋" w:hAnsi="仿宋" w:eastAsia="仿宋"/>
        <w:sz w:val="21"/>
      </w:rPr>
      <w:t>“启真问创·重器领航”智能过程装备学生创新创业大赛</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96901">
    <w:pPr>
      <w:pStyle w:val="5"/>
      <w:tabs>
        <w:tab w:val="left" w:pos="5832"/>
        <w:tab w:val="right" w:pos="9000"/>
        <w:tab w:val="clear" w:pos="4153"/>
        <w:tab w:val="clear" w:pos="8306"/>
      </w:tabs>
      <w:spacing w:before="60" w:after="60"/>
      <w:jc w:val="both"/>
    </w:pPr>
    <w: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A5E3A">
    <w:pPr>
      <w:pStyle w:val="5"/>
      <w:rPr>
        <w:rFonts w:hint="eastAsia" w:ascii="仿宋" w:hAnsi="仿宋" w:eastAsia="仿宋"/>
        <w:sz w:val="21"/>
      </w:rPr>
    </w:pPr>
    <w:r>
      <w:rPr>
        <w:rFonts w:hint="eastAsia" w:ascii="仿宋" w:hAnsi="仿宋" w:eastAsia="仿宋"/>
        <w:sz w:val="21"/>
      </w:rPr>
      <w:t>“启真问创·重器领航”智能过程装备</w:t>
    </w:r>
    <w:bookmarkStart w:id="8" w:name="_GoBack"/>
    <w:bookmarkEnd w:id="8"/>
    <w:r>
      <w:rPr>
        <w:rFonts w:hint="eastAsia" w:ascii="仿宋" w:hAnsi="仿宋" w:eastAsia="仿宋"/>
        <w:sz w:val="21"/>
      </w:rPr>
      <w:t>创新创业大赛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F1A"/>
    <w:rsid w:val="000261F9"/>
    <w:rsid w:val="0004688A"/>
    <w:rsid w:val="00047373"/>
    <w:rsid w:val="000574F0"/>
    <w:rsid w:val="00070C95"/>
    <w:rsid w:val="000857B4"/>
    <w:rsid w:val="00092A3D"/>
    <w:rsid w:val="00096076"/>
    <w:rsid w:val="000A4C9D"/>
    <w:rsid w:val="000B1ED4"/>
    <w:rsid w:val="000C0412"/>
    <w:rsid w:val="000D17F1"/>
    <w:rsid w:val="000E2BCE"/>
    <w:rsid w:val="000E3BFF"/>
    <w:rsid w:val="000F6A4C"/>
    <w:rsid w:val="00100BEF"/>
    <w:rsid w:val="001023FA"/>
    <w:rsid w:val="001032BC"/>
    <w:rsid w:val="00112844"/>
    <w:rsid w:val="00132CB1"/>
    <w:rsid w:val="00153397"/>
    <w:rsid w:val="00171776"/>
    <w:rsid w:val="00174767"/>
    <w:rsid w:val="00186C69"/>
    <w:rsid w:val="00193BE9"/>
    <w:rsid w:val="001A281A"/>
    <w:rsid w:val="001B77DA"/>
    <w:rsid w:val="001C395F"/>
    <w:rsid w:val="001C5AFD"/>
    <w:rsid w:val="001C71AD"/>
    <w:rsid w:val="001E5866"/>
    <w:rsid w:val="00200A26"/>
    <w:rsid w:val="00211C0A"/>
    <w:rsid w:val="0021433F"/>
    <w:rsid w:val="00214B56"/>
    <w:rsid w:val="0022447B"/>
    <w:rsid w:val="00227DAB"/>
    <w:rsid w:val="0024079F"/>
    <w:rsid w:val="0025049D"/>
    <w:rsid w:val="002747FC"/>
    <w:rsid w:val="00276117"/>
    <w:rsid w:val="00285FBE"/>
    <w:rsid w:val="00293C7D"/>
    <w:rsid w:val="002A05C0"/>
    <w:rsid w:val="002A080C"/>
    <w:rsid w:val="002D7A28"/>
    <w:rsid w:val="002E42B6"/>
    <w:rsid w:val="00301430"/>
    <w:rsid w:val="003030EC"/>
    <w:rsid w:val="00336329"/>
    <w:rsid w:val="00350671"/>
    <w:rsid w:val="00355E48"/>
    <w:rsid w:val="00364E87"/>
    <w:rsid w:val="00370E43"/>
    <w:rsid w:val="00371CF0"/>
    <w:rsid w:val="00376BFC"/>
    <w:rsid w:val="003825E8"/>
    <w:rsid w:val="00387D21"/>
    <w:rsid w:val="00393AB0"/>
    <w:rsid w:val="003A38DE"/>
    <w:rsid w:val="003B1248"/>
    <w:rsid w:val="003C1791"/>
    <w:rsid w:val="003C66E3"/>
    <w:rsid w:val="003D0CF6"/>
    <w:rsid w:val="003E011D"/>
    <w:rsid w:val="003E35BC"/>
    <w:rsid w:val="003E682D"/>
    <w:rsid w:val="003F759A"/>
    <w:rsid w:val="004158D5"/>
    <w:rsid w:val="00423229"/>
    <w:rsid w:val="00453184"/>
    <w:rsid w:val="004532CA"/>
    <w:rsid w:val="00457F97"/>
    <w:rsid w:val="0046228E"/>
    <w:rsid w:val="0048095F"/>
    <w:rsid w:val="00491B5A"/>
    <w:rsid w:val="004A08DA"/>
    <w:rsid w:val="004B3D95"/>
    <w:rsid w:val="004B43E9"/>
    <w:rsid w:val="004C1AD7"/>
    <w:rsid w:val="005126F5"/>
    <w:rsid w:val="005141CC"/>
    <w:rsid w:val="00514D67"/>
    <w:rsid w:val="00525977"/>
    <w:rsid w:val="0053793C"/>
    <w:rsid w:val="00541CF7"/>
    <w:rsid w:val="005464E8"/>
    <w:rsid w:val="005529E4"/>
    <w:rsid w:val="00566D97"/>
    <w:rsid w:val="00582C51"/>
    <w:rsid w:val="00587087"/>
    <w:rsid w:val="00595F1A"/>
    <w:rsid w:val="005A4058"/>
    <w:rsid w:val="005C0BFB"/>
    <w:rsid w:val="005C6BBB"/>
    <w:rsid w:val="005D1F91"/>
    <w:rsid w:val="005E07EF"/>
    <w:rsid w:val="005E1918"/>
    <w:rsid w:val="005E6B8C"/>
    <w:rsid w:val="005F3155"/>
    <w:rsid w:val="00612F3E"/>
    <w:rsid w:val="00613272"/>
    <w:rsid w:val="00631222"/>
    <w:rsid w:val="0063364F"/>
    <w:rsid w:val="00641E58"/>
    <w:rsid w:val="006614ED"/>
    <w:rsid w:val="00675DBB"/>
    <w:rsid w:val="0069469D"/>
    <w:rsid w:val="006A01ED"/>
    <w:rsid w:val="006B5BFF"/>
    <w:rsid w:val="006B7104"/>
    <w:rsid w:val="006C16B0"/>
    <w:rsid w:val="006C21ED"/>
    <w:rsid w:val="006D2297"/>
    <w:rsid w:val="006E37B1"/>
    <w:rsid w:val="006F7BAD"/>
    <w:rsid w:val="00717683"/>
    <w:rsid w:val="007328C7"/>
    <w:rsid w:val="00733482"/>
    <w:rsid w:val="00735868"/>
    <w:rsid w:val="00764D65"/>
    <w:rsid w:val="00771DBB"/>
    <w:rsid w:val="00784870"/>
    <w:rsid w:val="007A5C73"/>
    <w:rsid w:val="007B60DC"/>
    <w:rsid w:val="007C1E68"/>
    <w:rsid w:val="007C2C16"/>
    <w:rsid w:val="007F4383"/>
    <w:rsid w:val="008032AC"/>
    <w:rsid w:val="008120E7"/>
    <w:rsid w:val="00817A1B"/>
    <w:rsid w:val="008300BC"/>
    <w:rsid w:val="008405CD"/>
    <w:rsid w:val="00850CCF"/>
    <w:rsid w:val="00852BE9"/>
    <w:rsid w:val="0086046F"/>
    <w:rsid w:val="00864A8B"/>
    <w:rsid w:val="008721AE"/>
    <w:rsid w:val="00880616"/>
    <w:rsid w:val="00883AA5"/>
    <w:rsid w:val="008A051F"/>
    <w:rsid w:val="008A21A8"/>
    <w:rsid w:val="008A2AE4"/>
    <w:rsid w:val="008A7DF7"/>
    <w:rsid w:val="008C5478"/>
    <w:rsid w:val="008C6F37"/>
    <w:rsid w:val="008D0495"/>
    <w:rsid w:val="008F4969"/>
    <w:rsid w:val="00902E78"/>
    <w:rsid w:val="00914699"/>
    <w:rsid w:val="009253F5"/>
    <w:rsid w:val="00927E90"/>
    <w:rsid w:val="009419C7"/>
    <w:rsid w:val="00952518"/>
    <w:rsid w:val="00953CD6"/>
    <w:rsid w:val="00956BC0"/>
    <w:rsid w:val="00966F8E"/>
    <w:rsid w:val="00976C45"/>
    <w:rsid w:val="00982BCB"/>
    <w:rsid w:val="00984956"/>
    <w:rsid w:val="00987C16"/>
    <w:rsid w:val="00993C66"/>
    <w:rsid w:val="009B4A26"/>
    <w:rsid w:val="009B7B2F"/>
    <w:rsid w:val="009C03CC"/>
    <w:rsid w:val="009C057B"/>
    <w:rsid w:val="009C322A"/>
    <w:rsid w:val="009D3DAB"/>
    <w:rsid w:val="009E2D37"/>
    <w:rsid w:val="009E3F19"/>
    <w:rsid w:val="009E4F1C"/>
    <w:rsid w:val="009F7640"/>
    <w:rsid w:val="009F7F57"/>
    <w:rsid w:val="00A06894"/>
    <w:rsid w:val="00A1735A"/>
    <w:rsid w:val="00A2714A"/>
    <w:rsid w:val="00A3033E"/>
    <w:rsid w:val="00A4127B"/>
    <w:rsid w:val="00A57CB9"/>
    <w:rsid w:val="00A61F6A"/>
    <w:rsid w:val="00A62045"/>
    <w:rsid w:val="00A66EDF"/>
    <w:rsid w:val="00A67CD6"/>
    <w:rsid w:val="00A7388B"/>
    <w:rsid w:val="00A833C8"/>
    <w:rsid w:val="00A91574"/>
    <w:rsid w:val="00AC07F4"/>
    <w:rsid w:val="00AC7960"/>
    <w:rsid w:val="00AD6C9A"/>
    <w:rsid w:val="00AE2C63"/>
    <w:rsid w:val="00AE39A3"/>
    <w:rsid w:val="00AE7032"/>
    <w:rsid w:val="00AF335A"/>
    <w:rsid w:val="00B11599"/>
    <w:rsid w:val="00B248C0"/>
    <w:rsid w:val="00B37396"/>
    <w:rsid w:val="00B44F88"/>
    <w:rsid w:val="00B530B8"/>
    <w:rsid w:val="00B5385B"/>
    <w:rsid w:val="00B777FC"/>
    <w:rsid w:val="00B95202"/>
    <w:rsid w:val="00B95A3B"/>
    <w:rsid w:val="00B968A9"/>
    <w:rsid w:val="00BD3292"/>
    <w:rsid w:val="00BD4525"/>
    <w:rsid w:val="00BD589C"/>
    <w:rsid w:val="00BD749D"/>
    <w:rsid w:val="00BD79ED"/>
    <w:rsid w:val="00BE7DD8"/>
    <w:rsid w:val="00BF4025"/>
    <w:rsid w:val="00C115FC"/>
    <w:rsid w:val="00C1257C"/>
    <w:rsid w:val="00C16D2F"/>
    <w:rsid w:val="00C27C5A"/>
    <w:rsid w:val="00C400C4"/>
    <w:rsid w:val="00C4175C"/>
    <w:rsid w:val="00C50C99"/>
    <w:rsid w:val="00C571F7"/>
    <w:rsid w:val="00C61EE9"/>
    <w:rsid w:val="00C65CA0"/>
    <w:rsid w:val="00C7218F"/>
    <w:rsid w:val="00C82DE9"/>
    <w:rsid w:val="00CA19A0"/>
    <w:rsid w:val="00D13CCE"/>
    <w:rsid w:val="00D30464"/>
    <w:rsid w:val="00D56CBE"/>
    <w:rsid w:val="00D8411B"/>
    <w:rsid w:val="00D96071"/>
    <w:rsid w:val="00DA3EB4"/>
    <w:rsid w:val="00DA49E3"/>
    <w:rsid w:val="00DA6EAA"/>
    <w:rsid w:val="00DE59D7"/>
    <w:rsid w:val="00DF7D58"/>
    <w:rsid w:val="00E146B7"/>
    <w:rsid w:val="00E255CE"/>
    <w:rsid w:val="00E32800"/>
    <w:rsid w:val="00E4798B"/>
    <w:rsid w:val="00E53550"/>
    <w:rsid w:val="00E54FC1"/>
    <w:rsid w:val="00E5717A"/>
    <w:rsid w:val="00E65F6C"/>
    <w:rsid w:val="00E907B4"/>
    <w:rsid w:val="00EA4A28"/>
    <w:rsid w:val="00EB024E"/>
    <w:rsid w:val="00EB49BE"/>
    <w:rsid w:val="00EC56FA"/>
    <w:rsid w:val="00ED3835"/>
    <w:rsid w:val="00EE2771"/>
    <w:rsid w:val="00EE37B8"/>
    <w:rsid w:val="00EE4027"/>
    <w:rsid w:val="00EF3EDC"/>
    <w:rsid w:val="00F2495A"/>
    <w:rsid w:val="00F44CBD"/>
    <w:rsid w:val="00F57538"/>
    <w:rsid w:val="00F74A09"/>
    <w:rsid w:val="00F85493"/>
    <w:rsid w:val="00F8720E"/>
    <w:rsid w:val="00FA1E18"/>
    <w:rsid w:val="00FA3FFF"/>
    <w:rsid w:val="00FB70F6"/>
    <w:rsid w:val="00FC7217"/>
    <w:rsid w:val="00FE02A9"/>
    <w:rsid w:val="00FF0008"/>
    <w:rsid w:val="00FF7E8F"/>
    <w:rsid w:val="080E7C35"/>
    <w:rsid w:val="0A421CD8"/>
    <w:rsid w:val="0D162709"/>
    <w:rsid w:val="182B0C11"/>
    <w:rsid w:val="21B0692B"/>
    <w:rsid w:val="22796BD4"/>
    <w:rsid w:val="298221A9"/>
    <w:rsid w:val="344B0102"/>
    <w:rsid w:val="3ABC7A6A"/>
    <w:rsid w:val="50013410"/>
    <w:rsid w:val="56C0290C"/>
    <w:rsid w:val="5C67730C"/>
    <w:rsid w:val="5FC31BCA"/>
    <w:rsid w:val="630E086F"/>
    <w:rsid w:val="6FD44A65"/>
    <w:rsid w:val="70672630"/>
    <w:rsid w:val="74087FBF"/>
    <w:rsid w:val="7C061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after="150"/>
      <w:jc w:val="left"/>
    </w:pPr>
    <w:rPr>
      <w:rFonts w:ascii="宋体" w:hAnsi="宋体" w:eastAsia="宋体" w:cs="宋体"/>
      <w:kern w:val="0"/>
      <w:sz w:val="24"/>
      <w:szCs w:val="24"/>
    </w:rPr>
  </w:style>
  <w:style w:type="paragraph" w:styleId="7">
    <w:name w:val="annotation subject"/>
    <w:basedOn w:val="2"/>
    <w:next w:val="2"/>
    <w:link w:val="18"/>
    <w:semiHidden/>
    <w:unhideWhenUsed/>
    <w:qFormat/>
    <w:uiPriority w:val="99"/>
    <w:rPr>
      <w:b/>
      <w:bCs/>
    </w:rPr>
  </w:style>
  <w:style w:type="character" w:styleId="10">
    <w:name w:val="page number"/>
    <w:basedOn w:val="9"/>
    <w:qFormat/>
    <w:uiPriority w:val="0"/>
  </w:style>
  <w:style w:type="character" w:styleId="11">
    <w:name w:val="Hyperlink"/>
    <w:basedOn w:val="9"/>
    <w:unhideWhenUsed/>
    <w:qFormat/>
    <w:uiPriority w:val="99"/>
    <w:rPr>
      <w:color w:val="1890FF"/>
      <w:u w:val="none"/>
      <w:shd w:val="clear" w:color="auto" w:fill="auto"/>
    </w:rPr>
  </w:style>
  <w:style w:type="character" w:styleId="12">
    <w:name w:val="annotation reference"/>
    <w:basedOn w:val="9"/>
    <w:semiHidden/>
    <w:unhideWhenUsed/>
    <w:qFormat/>
    <w:uiPriority w:val="99"/>
    <w:rPr>
      <w:sz w:val="21"/>
      <w:szCs w:val="21"/>
    </w:rPr>
  </w:style>
  <w:style w:type="character" w:customStyle="1" w:styleId="13">
    <w:name w:val="页眉 字符"/>
    <w:basedOn w:val="9"/>
    <w:link w:val="5"/>
    <w:qFormat/>
    <w:uiPriority w:val="99"/>
    <w:rPr>
      <w:sz w:val="18"/>
      <w:szCs w:val="18"/>
    </w:rPr>
  </w:style>
  <w:style w:type="character" w:customStyle="1" w:styleId="14">
    <w:name w:val="页脚 字符"/>
    <w:basedOn w:val="9"/>
    <w:link w:val="4"/>
    <w:uiPriority w:val="99"/>
    <w:rPr>
      <w:sz w:val="18"/>
      <w:szCs w:val="18"/>
    </w:rPr>
  </w:style>
  <w:style w:type="character" w:customStyle="1" w:styleId="15">
    <w:name w:val="未处理的提及1"/>
    <w:basedOn w:val="9"/>
    <w:semiHidden/>
    <w:unhideWhenUsed/>
    <w:qFormat/>
    <w:uiPriority w:val="99"/>
    <w:rPr>
      <w:color w:val="605E5C"/>
      <w:shd w:val="clear" w:color="auto" w:fill="E1DFDD"/>
    </w:rPr>
  </w:style>
  <w:style w:type="paragraph" w:styleId="16">
    <w:name w:val="List Paragraph"/>
    <w:basedOn w:val="1"/>
    <w:qFormat/>
    <w:uiPriority w:val="34"/>
    <w:pPr>
      <w:ind w:firstLine="420" w:firstLineChars="200"/>
    </w:pPr>
  </w:style>
  <w:style w:type="character" w:customStyle="1" w:styleId="17">
    <w:name w:val="批注文字 字符"/>
    <w:basedOn w:val="9"/>
    <w:link w:val="2"/>
    <w:semiHidden/>
    <w:qFormat/>
    <w:uiPriority w:val="99"/>
  </w:style>
  <w:style w:type="character" w:customStyle="1" w:styleId="18">
    <w:name w:val="批注主题 字符"/>
    <w:basedOn w:val="17"/>
    <w:link w:val="7"/>
    <w:semiHidden/>
    <w:qFormat/>
    <w:uiPriority w:val="99"/>
    <w:rPr>
      <w:b/>
      <w:bCs/>
    </w:rPr>
  </w:style>
  <w:style w:type="character" w:customStyle="1" w:styleId="19">
    <w:name w:val="批注框文本 字符"/>
    <w:basedOn w:val="9"/>
    <w:link w:val="3"/>
    <w:semiHidden/>
    <w:qFormat/>
    <w:uiPriority w:val="99"/>
    <w:rPr>
      <w:sz w:val="18"/>
      <w:szCs w:val="18"/>
    </w:rPr>
  </w:style>
  <w:style w:type="paragraph" w:customStyle="1" w:styleId="20">
    <w:name w:val="标题1"/>
    <w:qFormat/>
    <w:uiPriority w:val="0"/>
    <w:pPr>
      <w:keepNext/>
      <w:widowControl w:val="0"/>
      <w:snapToGrid w:val="0"/>
      <w:spacing w:beforeLines="100" w:afterLines="100" w:line="300" w:lineRule="auto"/>
      <w:ind w:firstLine="0"/>
      <w:jc w:val="center"/>
      <w:outlineLvl w:val="0"/>
    </w:pPr>
    <w:rPr>
      <w:rFonts w:ascii="Times New Roman" w:hAnsi="Times New Roman" w:eastAsia="黑体" w:cs="Times New Roman"/>
      <w:b w:val="0"/>
      <w:kern w:val="2"/>
      <w:sz w:val="28"/>
      <w:szCs w:val="28"/>
      <w:lang w:val="en-US" w:eastAsia="zh-CN"/>
    </w:rPr>
  </w:style>
  <w:style w:type="paragraph" w:customStyle="1" w:styleId="ZW">
    <w:name w:val="正文"/>
    <w:basedOn w:val="1"/>
    <w:qFormat/>
    <w:pPr>
      <w:widowControl w:val="0"/>
      <w:snapToGrid w:val="0"/>
      <w:spacing w:beforeLines="25" w:afterLines="25" w:line="300" w:lineRule="auto"/>
      <w:ind w:firstLineChars="200" w:firstLine="480"/>
      <w:jc w:val="both"/>
    </w:pPr>
    <w:rPr>
      <w:rFonts w:ascii="Times New Roman" w:hAnsi="Times New Roman" w:eastAsia="宋体" w:cs="Times New Roman"/>
      <w:b w:val="0"/>
      <w:kern w:val="2"/>
      <w:sz w:val="24"/>
      <w:szCs w:val="24"/>
      <w:lang w:val="en-US" w:eastAsia="zh-CN"/>
    </w:rPr>
  </w:style>
  <w:style w:type="paragraph" w:customStyle="1" w:styleId="BT2">
    <w:name w:val="标题2"/>
    <w:basedOn w:val="1"/>
    <w:qFormat/>
    <w:pPr>
      <w:keepNext/>
      <w:widowControl w:val="0"/>
      <w:snapToGrid w:val="0"/>
      <w:spacing w:beforeLines="50" w:afterLines="50" w:line="300" w:lineRule="auto"/>
      <w:ind w:left="0" w:firstLine="0"/>
      <w:jc w:val="left"/>
      <w:outlineLvl w:val="1"/>
    </w:pPr>
    <w:rPr>
      <w:rFonts w:ascii="Times New Roman" w:hAnsi="Times New Roman" w:eastAsia="宋体" w:cs="Times New Roman"/>
      <w:b/>
      <w:kern w:val="2"/>
      <w:sz w:val="24"/>
      <w:szCs w:val="24"/>
      <w:lang w:val="en-US" w:eastAsia="zh-CN"/>
    </w:rPr>
  </w:style>
  <w:style w:type="paragraph" w:customStyle="1" w:styleId="BT3">
    <w:name w:val="标题3"/>
    <w:basedOn w:val="1"/>
    <w:qFormat/>
    <w:pPr>
      <w:keepNext/>
      <w:widowControl w:val="0"/>
      <w:snapToGrid w:val="0"/>
      <w:spacing w:beforeLines="25" w:afterLines="25" w:line="300" w:lineRule="auto"/>
      <w:ind w:left="0" w:firstLine="0"/>
      <w:jc w:val="left"/>
      <w:outlineLvl w:val="2"/>
    </w:pPr>
    <w:rPr>
      <w:rFonts w:ascii="Times New Roman" w:hAnsi="Times New Roman" w:eastAsia="宋体" w:cs="Times New Roman"/>
      <w:b w:val="0"/>
      <w:kern w:val="2"/>
      <w:sz w:val="24"/>
      <w:szCs w:val="24"/>
      <w:lang w:val="en-US" w:eastAsia="zh-CN"/>
    </w:rPr>
  </w:style>
  <w:style w:type="paragraph" w:customStyle="1" w:styleId="BTTC">
    <w:name w:val="表图题"/>
    <w:basedOn w:val="1"/>
    <w:qFormat/>
    <w:pPr>
      <w:keepNext/>
      <w:widowControl w:val="0"/>
      <w:snapToGrid w:val="0"/>
      <w:spacing w:beforeLines="50" w:afterLines="25" w:line="240" w:lineRule="auto"/>
      <w:ind w:firstLine="0"/>
      <w:jc w:val="center"/>
    </w:pPr>
    <w:rPr>
      <w:rFonts w:ascii="Times New Roman" w:hAnsi="Times New Roman" w:eastAsia="黑体" w:cs="Times New Roman"/>
      <w:b w:val="0"/>
      <w:kern w:val="2"/>
      <w:sz w:val="21"/>
      <w:szCs w:val="21"/>
      <w:lang w:val="en-US" w:eastAsia="zh-CN"/>
    </w:rPr>
  </w:style>
  <w:style w:type="paragraph" w:customStyle="1" w:styleId="CT">
    <w:name w:val="插图"/>
    <w:basedOn w:val="1"/>
    <w:qFormat/>
    <w:pPr>
      <w:widowControl w:val="0"/>
      <w:snapToGrid w:val="0"/>
      <w:spacing w:beforeLines="25" w:afterLines="25" w:line="240" w:lineRule="auto"/>
      <w:ind w:firstLine="0"/>
      <w:jc w:val="center"/>
      <w:keepNext/>
    </w:pPr>
    <w:rPr>
      <w:rFonts w:ascii="Times New Roman" w:hAnsi="Times New Roman" w:eastAsia="宋体" w:cs="Times New Roman"/>
      <w:b w:val="0"/>
      <w:kern w:val="2"/>
      <w:sz w:val="21"/>
      <w:szCs w:val="21"/>
      <w:lang w:val="en-US" w:eastAsia="zh-CN"/>
    </w:rPr>
  </w:style>
  <w:style w:type="paragraph" w:customStyle="1" w:styleId="BGWZ">
    <w:name w:val="表格文字"/>
    <w:basedOn w:val="1"/>
    <w:qFormat/>
    <w:pPr>
      <w:widowControl w:val="0"/>
      <w:snapToGrid w:val="0"/>
      <w:spacing w:before="0" w:after="0" w:line="240" w:lineRule="auto"/>
      <w:ind w:firstLine="0"/>
      <w:jc w:val="center"/>
    </w:pPr>
    <w:rPr>
      <w:rFonts w:ascii="Times New Roman" w:hAnsi="Times New Roman" w:eastAsia="宋体" w:cs="Times New Roman"/>
      <w:b w:val="0"/>
      <w:kern w:val="2"/>
      <w:sz w:val="21"/>
      <w:szCs w:val="21"/>
      <w:lang w:val="en-US" w:eastAsia="zh-CN"/>
    </w:rPr>
  </w:style>
  <w:style w:type="paragraph" w:customStyle="1" w:styleId="CKWX">
    <w:name w:val="参考文献条目"/>
    <w:basedOn w:val="1"/>
    <w:qFormat/>
    <w:pPr>
      <w:keepLines/>
      <w:widowControl w:val="0"/>
      <w:snapToGrid w:val="0"/>
      <w:spacing w:beforeLines="0" w:afterLines="0" w:line="300" w:lineRule="auto"/>
      <w:ind w:left="420" w:hanging="420"/>
      <w:jc w:val="both"/>
    </w:pPr>
    <w:rPr>
      <w:rFonts w:ascii="Times New Roman" w:hAnsi="Times New Roman" w:eastAsia="宋体" w:cs="Times New Roman"/>
      <w:b w:val="0"/>
      <w:kern w:val="2"/>
      <w:sz w:val="21"/>
      <w:szCs w:val="21"/>
      <w:lang w:val="en-US" w:eastAsia="zh-CN"/>
    </w:rPr>
  </w:style>
  <w:style w:type="paragraph" w:customStyle="1" w:styleId="ZY">
    <w:name w:val="摘要正文"/>
    <w:basedOn w:val="1"/>
    <w:qFormat/>
    <w:pPr>
      <w:widowControl w:val="0"/>
      <w:snapToGrid w:val="0"/>
      <w:spacing w:beforeLines="50" w:afterLines="50" w:line="300" w:lineRule="auto"/>
      <w:ind w:firstLineChars="200" w:firstLine="480"/>
      <w:jc w:val="both"/>
    </w:pPr>
    <w:rPr>
      <w:rFonts w:ascii="Times New Roman" w:hAnsi="Times New Roman" w:eastAsia="宋体" w:cs="Times New Roman"/>
      <w:b w:val="0"/>
      <w:kern w:val="2"/>
      <w:sz w:val="24"/>
      <w:szCs w:val="24"/>
      <w:lang w:val="en-US" w:eastAsia="zh-CN"/>
    </w:rPr>
  </w:style>
  <w:style w:type="paragraph" w:customStyle="1" w:styleId="FMBT">
    <w:name w:val="封面主标题"/>
    <w:basedOn w:val="1"/>
    <w:qFormat/>
    <w:pPr>
      <w:spacing w:before="120" w:after="120"/>
      <w:jc w:val="center"/>
    </w:pPr>
    <w:rPr>
      <w:rFonts w:ascii="微软雅黑" w:hAnsi="微软雅黑" w:eastAsia="微软雅黑" w:cs="微软雅黑"/>
      <w:b/>
      <w:kern w:val="2"/>
      <w:sz w:val="36"/>
      <w:szCs w:val="3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FC5347-A840-4C9C-B2E4-262CFDF5B67E}">
  <ds:schemaRefs/>
</ds:datastoreItem>
</file>

<file path=docProps/app.xml><?xml version="1.0" encoding="utf-8"?>
<Properties xmlns="http://schemas.openxmlformats.org/officeDocument/2006/extended-properties" xmlns:vt="http://schemas.openxmlformats.org/officeDocument/2006/docPropsVTypes">
  <Template>Normal</Template>
  <Pages>7</Pages>
  <Words>1741</Words>
  <Characters>2090</Characters>
  <Lines>21</Lines>
  <Paragraphs>6</Paragraphs>
  <TotalTime>3</TotalTime>
  <ScaleCrop>false</ScaleCrop>
  <LinksUpToDate>false</LinksUpToDate>
  <CharactersWithSpaces>2427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2022-06-10T00:57:00Z</dcterms:created>
  <dc:creator>锴</dc:creator>
  <cp:lastModifiedBy>朱薇</cp:lastModifiedBy>
  <dcterms:modified xsi:type="dcterms:W3CDTF">2026-09-07T07:44:59Z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eyJoZGlkIjoiZWRmOWZlYjJjNjg5MTU1NDE4MjJiNGUzNTNiZTgyNjAiLCJ1c2VySWQiOiIxNjM3MTI3ODM0In0=</vt:lpwstr>
  </property>
  <property fmtid="{D5CDD505-2E9C-101B-9397-08002B2CF9AE}" pid="3" name="KSOProductBuildVer">
    <vt:lpwstr>2052-12.1.0.28043</vt:lpwstr>
  </property>
  <property fmtid="{D5CDD505-2E9C-101B-9397-08002B2CF9AE}" pid="4" name="ICV">
    <vt:lpwstr>2F4CE01661E0415B8FEEF3F3A0E04850_12</vt:lpwstr>
  </property>
</Properties>
</file>