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FA386">
      <w:pPr>
        <w:rPr>
          <w:rFonts w:hint="eastAsia"/>
        </w:rPr>
      </w:pPr>
    </w:p>
    <w:p w14:paraId="15A40E5B">
      <w:pPr>
        <w:pStyle w:val="3"/>
        <w:widowControl/>
        <w:spacing w:beforeAutospacing="0" w:afterAutospacing="0" w:line="360" w:lineRule="atLeast"/>
        <w:rPr>
          <w:rFonts w:hint="default" w:ascii="Times New Roman" w:hAnsi="Times New Roman" w:eastAsia="仿宋"/>
          <w:color w:val="000000"/>
          <w:sz w:val="24"/>
          <w:szCs w:val="24"/>
        </w:rPr>
      </w:pPr>
      <w:r>
        <w:rPr>
          <w:rFonts w:ascii="Times New Roman" w:hAnsi="Times New Roman" w:eastAsia="仿宋"/>
          <w:color w:val="000000"/>
          <w:sz w:val="24"/>
          <w:szCs w:val="24"/>
        </w:rPr>
        <w:t>题目：基于 AI Agent 的析氢催化剂智能优化系统开发</w:t>
      </w:r>
    </w:p>
    <w:p w14:paraId="51C77620">
      <w:pPr>
        <w:widowControl/>
        <w:spacing w:line="360" w:lineRule="atLeast"/>
        <w:jc w:val="left"/>
        <w:rPr>
          <w:rStyle w:val="17"/>
          <w:rFonts w:eastAsia="仿宋" w:cs="宋体"/>
          <w:color w:val="000000"/>
          <w:kern w:val="0"/>
          <w:sz w:val="24"/>
          <w:lang w:bidi="ar"/>
        </w:rPr>
      </w:pPr>
      <w:r>
        <w:rPr>
          <w:rStyle w:val="17"/>
          <w:rFonts w:eastAsia="仿宋" w:cs="宋体"/>
          <w:color w:val="000000"/>
          <w:kern w:val="0"/>
          <w:sz w:val="24"/>
          <w:lang w:bidi="ar"/>
        </w:rPr>
        <w:t>指导导师： 施建峰（特种装备研究所）、李洋（氢能研究院）</w:t>
      </w:r>
    </w:p>
    <w:p w14:paraId="6C0B84E3">
      <w:pPr>
        <w:widowControl/>
        <w:spacing w:line="360" w:lineRule="atLeast"/>
        <w:jc w:val="left"/>
        <w:rPr>
          <w:rStyle w:val="17"/>
          <w:rFonts w:eastAsia="仿宋" w:cs="宋体"/>
          <w:color w:val="000000"/>
          <w:kern w:val="0"/>
          <w:sz w:val="24"/>
          <w:lang w:bidi="ar"/>
        </w:rPr>
      </w:pPr>
      <w:r>
        <w:rPr>
          <w:rStyle w:val="17"/>
          <w:rFonts w:eastAsia="仿宋" w:cs="宋体"/>
          <w:color w:val="000000"/>
          <w:kern w:val="0"/>
          <w:sz w:val="24"/>
          <w:lang w:bidi="ar"/>
        </w:rPr>
        <w:t>项目背景</w:t>
      </w:r>
      <w:bookmarkStart w:id="0" w:name="_GoBack"/>
      <w:bookmarkEnd w:id="0"/>
    </w:p>
    <w:p w14:paraId="10F5DB73">
      <w:pPr>
        <w:widowControl/>
        <w:spacing w:line="360" w:lineRule="atLeast"/>
        <w:jc w:val="left"/>
        <w:rPr>
          <w:rFonts w:cs="宋体"/>
          <w:color w:val="000000"/>
          <w:kern w:val="0"/>
          <w:sz w:val="24"/>
          <w:lang w:bidi="ar"/>
        </w:rPr>
      </w:pPr>
      <w:r>
        <w:rPr>
          <w:rFonts w:cs="宋体"/>
          <w:color w:val="000000"/>
          <w:kern w:val="0"/>
          <w:sz w:val="24"/>
          <w:lang w:bidi="ar"/>
        </w:rPr>
        <w:t>析氢催化剂研发通常需要经历溶液配制、材料制备、电化学测试、结果分析及方案调整等多轮实验过程，重复性操作多、实验周期长，材料制备和性能测试仍较多依赖人工完成。随着候选材料数量增加，依靠人工逐一完成实验操作、持续监督实验过程并制定后续方案，难以满足材料快速筛选和连续优化需求。自动化实验平台可将典型实验操作转化为可程序控制的实验流程，在此基础上进一步引入AI Agent，利用其自然语言理解、状态感知、工具调用和任务规划能力，对实验过程进行持续托管，并结合实验结果辅助后续实验设计，从而实现析氢催化剂实验由自动执行向连续智能优化进一步发展。</w:t>
      </w:r>
    </w:p>
    <w:p w14:paraId="42F07C4E">
      <w:pPr>
        <w:pStyle w:val="3"/>
        <w:widowControl/>
        <w:spacing w:beforeAutospacing="0" w:afterAutospacing="0" w:line="360" w:lineRule="atLeast"/>
        <w:rPr>
          <w:rFonts w:hint="default" w:ascii="Times New Roman" w:hAnsi="Times New Roman" w:eastAsia="仿宋"/>
          <w:color w:val="000000"/>
          <w:sz w:val="24"/>
          <w:szCs w:val="24"/>
        </w:rPr>
      </w:pPr>
      <w:r>
        <w:rPr>
          <w:rFonts w:ascii="Times New Roman" w:hAnsi="Times New Roman" w:eastAsia="仿宋"/>
          <w:color w:val="000000"/>
          <w:sz w:val="24"/>
          <w:szCs w:val="24"/>
        </w:rPr>
        <w:t>技术痛点</w:t>
      </w:r>
    </w:p>
    <w:p w14:paraId="1EDD98A6">
      <w:pPr>
        <w:pStyle w:val="14"/>
        <w:widowControl/>
        <w:numPr>
          <w:ilvl w:val="0"/>
          <w:numId w:val="2"/>
        </w:numPr>
        <w:spacing w:before="100" w:after="100" w:line="360" w:lineRule="exact"/>
        <w:ind w:left="357" w:firstLine="0"/>
        <w:rPr>
          <w:rFonts w:cstheme="minorBidi"/>
          <w:color w:val="000000"/>
          <w:kern w:val="2"/>
        </w:rPr>
      </w:pPr>
      <w:r>
        <w:rPr>
          <w:rFonts w:cstheme="minorBidi"/>
          <w:b/>
          <w:bCs/>
          <w:color w:val="000000"/>
          <w:kern w:val="2"/>
        </w:rPr>
        <w:t xml:space="preserve">重复实验操作的自动化执行： </w:t>
      </w:r>
      <w:r>
        <w:rPr>
          <w:rFonts w:cstheme="minorBidi"/>
          <w:color w:val="000000"/>
          <w:kern w:val="2"/>
        </w:rPr>
        <w:t>析氢催化剂实验包含溶液配制、材料制备和性能测试等多个重复环节，人工操作工作量大、实验周期长，如何将典型实验流程进行模块化和程序化，实现实验任务的稳定自动执行；</w:t>
      </w:r>
    </w:p>
    <w:p w14:paraId="3635E9C1">
      <w:pPr>
        <w:pStyle w:val="14"/>
        <w:widowControl/>
        <w:numPr>
          <w:ilvl w:val="0"/>
          <w:numId w:val="2"/>
        </w:numPr>
        <w:spacing w:before="100" w:after="100" w:line="360" w:lineRule="exact"/>
        <w:ind w:left="357" w:firstLine="0"/>
        <w:rPr>
          <w:rFonts w:cstheme="minorBidi"/>
          <w:color w:val="000000"/>
          <w:kern w:val="2"/>
        </w:rPr>
      </w:pPr>
      <w:r>
        <w:rPr>
          <w:rFonts w:cstheme="minorBidi"/>
          <w:b/>
          <w:bCs/>
          <w:color w:val="000000"/>
          <w:kern w:val="2"/>
        </w:rPr>
        <w:t>自动化实验连续运行的无人值守能力不足：</w:t>
      </w:r>
      <w:r>
        <w:rPr>
          <w:rFonts w:cstheme="minorBidi"/>
          <w:color w:val="000000"/>
          <w:kern w:val="2"/>
        </w:rPr>
        <w:t xml:space="preserve"> 现有自动化实验能够按照预设流程完成实验操作，但长时间连续运行过程中仍需要人员持续关注实验进度和设备状态。当出现通信异常、操作中断或设备故障时，往往需要人工判断异常发生的位置及当前实验状态，并完成后续处理和恢复，难以实现实验过程的长期自主运行；</w:t>
      </w:r>
    </w:p>
    <w:p w14:paraId="4D555599">
      <w:pPr>
        <w:pStyle w:val="14"/>
        <w:widowControl/>
        <w:numPr>
          <w:ilvl w:val="0"/>
          <w:numId w:val="2"/>
        </w:numPr>
        <w:spacing w:before="100" w:after="100" w:line="360" w:lineRule="exact"/>
        <w:ind w:left="357" w:firstLine="0"/>
        <w:rPr>
          <w:rFonts w:cstheme="minorBidi"/>
          <w:color w:val="000000"/>
          <w:kern w:val="2"/>
        </w:rPr>
      </w:pPr>
      <w:r>
        <w:rPr>
          <w:rFonts w:cstheme="minorBidi"/>
          <w:b/>
          <w:bCs/>
          <w:color w:val="000000"/>
          <w:kern w:val="2"/>
        </w:rPr>
        <w:t xml:space="preserve">实验结果与后续实验设计缺少连续衔接： </w:t>
      </w:r>
      <w:r>
        <w:rPr>
          <w:rFonts w:cstheme="minorBidi"/>
          <w:color w:val="000000"/>
          <w:kern w:val="2"/>
        </w:rPr>
        <w:t>单轮实验完成后，通常仍需要研究人员结合已有实验结果和相关文献重新分析材料性能并制定后续方案，实验执行与下一轮实验设计之间缺少连续衔接，难以形成持续迭代的材料优化过程。</w:t>
      </w:r>
    </w:p>
    <w:p w14:paraId="5FD3D79B">
      <w:pPr>
        <w:pStyle w:val="3"/>
        <w:widowControl/>
        <w:spacing w:beforeAutospacing="0" w:afterAutospacing="0" w:line="360" w:lineRule="atLeast"/>
        <w:rPr>
          <w:rFonts w:hint="default" w:ascii="Times New Roman" w:hAnsi="Times New Roman" w:eastAsia="仿宋"/>
          <w:color w:val="000000"/>
          <w:sz w:val="24"/>
          <w:szCs w:val="24"/>
        </w:rPr>
      </w:pPr>
      <w:r>
        <w:rPr>
          <w:rFonts w:ascii="Times New Roman" w:hAnsi="Times New Roman" w:eastAsia="仿宋"/>
          <w:color w:val="000000"/>
          <w:sz w:val="24"/>
          <w:szCs w:val="24"/>
        </w:rPr>
        <w:t>研究内容（方案类）</w:t>
      </w:r>
    </w:p>
    <w:p w14:paraId="024D6006">
      <w:pPr>
        <w:widowControl/>
        <w:numPr>
          <w:ilvl w:val="0"/>
          <w:numId w:val="3"/>
        </w:numPr>
        <w:spacing w:line="360" w:lineRule="atLeast"/>
        <w:ind w:left="0"/>
        <w:rPr>
          <w:color w:val="000000"/>
          <w:sz w:val="24"/>
        </w:rPr>
      </w:pPr>
      <w:r>
        <w:rPr>
          <w:rFonts w:hint="eastAsia"/>
          <w:color w:val="000000"/>
          <w:sz w:val="24"/>
        </w:rPr>
        <w:t>面向析氢催化剂典型湿实验流程，设计自动化实验平台总体方案，对溶液处理、材料制备、电化学测试等实验环节进行功能划分与模块化设计，并研究不同实验模块之间的接口与协同方式。</w:t>
      </w:r>
    </w:p>
    <w:p w14:paraId="4B93708E">
      <w:pPr>
        <w:widowControl/>
        <w:numPr>
          <w:ilvl w:val="0"/>
          <w:numId w:val="3"/>
        </w:numPr>
        <w:spacing w:line="360" w:lineRule="atLeast"/>
        <w:ind w:left="0"/>
        <w:rPr>
          <w:color w:val="000000"/>
          <w:sz w:val="24"/>
        </w:rPr>
      </w:pPr>
      <w:r>
        <w:rPr>
          <w:rFonts w:hint="eastAsia"/>
          <w:color w:val="000000"/>
          <w:sz w:val="24"/>
        </w:rPr>
        <w:t>设计面向实验过程的AI Agent系统，使其具备实验任务理解、实验状态感知、设备操控及异常处置能力，能够结合当前实验状态、设备信息、通信协议和相关技术文档，对实验过程进行持续监督，并在异常情况下辅助完成故障排查和实验恢复。调研自动化实验、AI Agent及自主实验室在催化材料研发中的应用现状，梳理实验自动执行、实验过程智能托管及闭环实验设计等相关技术。</w:t>
      </w:r>
    </w:p>
    <w:p w14:paraId="652B6C44">
      <w:pPr>
        <w:widowControl/>
        <w:numPr>
          <w:ilvl w:val="0"/>
          <w:numId w:val="3"/>
        </w:numPr>
        <w:spacing w:line="360" w:lineRule="atLeast"/>
        <w:ind w:left="0"/>
        <w:rPr>
          <w:color w:val="000000"/>
          <w:sz w:val="24"/>
        </w:rPr>
      </w:pPr>
    </w:p>
    <w:p w14:paraId="67638C72">
      <w:pPr>
        <w:widowControl/>
        <w:numPr>
          <w:ilvl w:val="0"/>
          <w:numId w:val="3"/>
        </w:numPr>
        <w:spacing w:line="360" w:lineRule="atLeast"/>
        <w:ind w:left="0"/>
        <w:rPr>
          <w:color w:val="000000"/>
          <w:sz w:val="24"/>
        </w:rPr>
      </w:pPr>
      <w:r>
        <w:rPr>
          <w:rFonts w:hint="eastAsia"/>
          <w:color w:val="000000"/>
          <w:sz w:val="24"/>
        </w:rPr>
        <w:t>设计实验反馈驱动的材料优化机制，综合已有实验结果和相关文献信息辅助形成后续实验方案，并与自动化实验执行过程相衔接，形成“实验设计—自动执行—状态反馈—结果分析—再设计”的连续优化流程。</w:t>
      </w:r>
    </w:p>
    <w:p w14:paraId="710FE16E">
      <w:pPr>
        <w:pStyle w:val="3"/>
        <w:widowControl/>
        <w:spacing w:beforeAutospacing="0" w:afterAutospacing="0" w:line="360" w:lineRule="atLeast"/>
        <w:rPr>
          <w:rFonts w:hint="default" w:ascii="Times New Roman" w:hAnsi="Times New Roman" w:eastAsia="仿宋"/>
          <w:color w:val="000000"/>
          <w:sz w:val="24"/>
          <w:szCs w:val="24"/>
        </w:rPr>
      </w:pPr>
      <w:r>
        <w:rPr>
          <w:rFonts w:ascii="Times New Roman" w:hAnsi="Times New Roman" w:eastAsia="仿宋"/>
          <w:color w:val="000000"/>
          <w:sz w:val="24"/>
          <w:szCs w:val="24"/>
        </w:rPr>
        <w:t>预期成果</w:t>
      </w:r>
    </w:p>
    <w:p w14:paraId="09482802">
      <w:pPr>
        <w:pStyle w:val="14"/>
      </w:pPr>
      <w:r>
        <w:t>析氢催化剂自动化实验与AI Agent智能优化系统总体设计方案 + 系统功能与技术路线验证方案 + 创业计划书</w:t>
      </w:r>
    </w:p>
    <w:p w14:paraId="33481DCB">
      <w:pPr>
        <w:pStyle w:val="3"/>
        <w:widowControl/>
        <w:spacing w:beforeAutospacing="0" w:afterAutospacing="0" w:line="360" w:lineRule="atLeast"/>
        <w:rPr>
          <w:rFonts w:hint="default" w:ascii="Times New Roman" w:hAnsi="Times New Roman" w:eastAsia="仿宋"/>
          <w:color w:val="000000"/>
          <w:sz w:val="24"/>
          <w:szCs w:val="24"/>
        </w:rPr>
      </w:pPr>
      <w:r>
        <w:rPr>
          <w:rFonts w:ascii="Times New Roman" w:hAnsi="Times New Roman" w:eastAsia="仿宋"/>
          <w:color w:val="000000"/>
          <w:sz w:val="24"/>
          <w:szCs w:val="24"/>
        </w:rPr>
        <w:t>适合专业</w:t>
      </w:r>
    </w:p>
    <w:p w14:paraId="70ABC943">
      <w:pPr>
        <w:pStyle w:val="14"/>
      </w:pPr>
      <w:r>
        <w:t>过程装备与控制工程、计算机科学与技术、人工智能、软件工程</w:t>
      </w:r>
    </w:p>
    <w:p w14:paraId="09550B5A">
      <w:pPr>
        <w:pStyle w:val="14"/>
      </w:pPr>
      <w:r>
        <w:t>（至少含1名2026级智慧能源本科生）</w:t>
      </w:r>
    </w:p>
    <w:p w14:paraId="3634452E"/>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44">
      <wne:acd wne:acdName="acd4"/>
    </wne:keymap>
    <wne:keymap wne:kcmPrimary="02DE">
      <wne:acd wne:acdName="acd5"/>
    </wne:keymap>
  </wne:keymaps>
  <wne:acds>
    <wne:acd wne:argValue="AQAAAAEA" wne:acdName="acd0" wne:fciIndexBasedOn="0065"/>
    <wne:acd wne:argValue="AQAAAAIA" wne:acdName="acd1" wne:fciIndexBasedOn="0065"/>
    <wne:acd wne:argValue="AQAAAAMA" wne:acdName="acd2" wne:fciIndexBasedOn="0065"/>
    <wne:acd wne:argValue="AQAAAEIA" wne:acdName="acd3" wne:fciIndexBasedOn="0065"/>
    <wne:acd wne:argValue="AQAAAAAA" wne:acdName="acd4" wne:fciIndexBasedOn="0065"/>
    <wne:acd wne:argValue="AQAAAFcA" wne:acdName="acd5"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D224F6"/>
    <w:multiLevelType w:val="multilevel"/>
    <w:tmpl w:val="BAD224F6"/>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5243310"/>
    <w:multiLevelType w:val="multilevel"/>
    <w:tmpl w:val="05243310"/>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1E850B9"/>
    <w:multiLevelType w:val="multilevel"/>
    <w:tmpl w:val="61E850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0E8A"/>
    <w:rsid w:val="001F1988"/>
    <w:rsid w:val="002439CF"/>
    <w:rsid w:val="00610E8A"/>
    <w:rsid w:val="006632BD"/>
    <w:rsid w:val="007611D8"/>
    <w:rsid w:val="009157A6"/>
    <w:rsid w:val="00A165A4"/>
    <w:rsid w:val="00D37C68"/>
    <w:rsid w:val="00FD6A7D"/>
    <w:rsid w:val="01221327"/>
    <w:rsid w:val="018A14B9"/>
    <w:rsid w:val="018D5F3C"/>
    <w:rsid w:val="037D7615"/>
    <w:rsid w:val="03B31EF7"/>
    <w:rsid w:val="03D96696"/>
    <w:rsid w:val="08B13F3F"/>
    <w:rsid w:val="0B0E4E77"/>
    <w:rsid w:val="0BFE4EEC"/>
    <w:rsid w:val="0C3D2A89"/>
    <w:rsid w:val="0F4E1CA3"/>
    <w:rsid w:val="0FD77A64"/>
    <w:rsid w:val="108D4D08"/>
    <w:rsid w:val="109866AA"/>
    <w:rsid w:val="155D1A9A"/>
    <w:rsid w:val="156D4E90"/>
    <w:rsid w:val="17150B10"/>
    <w:rsid w:val="1A2613C9"/>
    <w:rsid w:val="1A8074B4"/>
    <w:rsid w:val="1EA6149C"/>
    <w:rsid w:val="20796DDF"/>
    <w:rsid w:val="24942E74"/>
    <w:rsid w:val="26CD6506"/>
    <w:rsid w:val="276A6CDC"/>
    <w:rsid w:val="28153BB7"/>
    <w:rsid w:val="28A767C5"/>
    <w:rsid w:val="2BED1797"/>
    <w:rsid w:val="2CCA7504"/>
    <w:rsid w:val="2E2F7AF5"/>
    <w:rsid w:val="30B359F5"/>
    <w:rsid w:val="35137050"/>
    <w:rsid w:val="36A6523A"/>
    <w:rsid w:val="371A20CB"/>
    <w:rsid w:val="37A748AF"/>
    <w:rsid w:val="38433B03"/>
    <w:rsid w:val="39E2187D"/>
    <w:rsid w:val="3C3E73E9"/>
    <w:rsid w:val="3EAF3CA0"/>
    <w:rsid w:val="3EB017C6"/>
    <w:rsid w:val="4518401D"/>
    <w:rsid w:val="47E30E5E"/>
    <w:rsid w:val="48B67AEB"/>
    <w:rsid w:val="49743E64"/>
    <w:rsid w:val="4B6865FA"/>
    <w:rsid w:val="4EA9672F"/>
    <w:rsid w:val="50E10864"/>
    <w:rsid w:val="52BA7E5F"/>
    <w:rsid w:val="533B7582"/>
    <w:rsid w:val="56B7303F"/>
    <w:rsid w:val="5CBF356E"/>
    <w:rsid w:val="5ED7628F"/>
    <w:rsid w:val="60524B81"/>
    <w:rsid w:val="60FE54EA"/>
    <w:rsid w:val="62E5399A"/>
    <w:rsid w:val="664F7F38"/>
    <w:rsid w:val="6BD0693A"/>
    <w:rsid w:val="6E3E7CE2"/>
    <w:rsid w:val="6F2031C0"/>
    <w:rsid w:val="73F13E37"/>
    <w:rsid w:val="788743EE"/>
    <w:rsid w:val="789D4721"/>
    <w:rsid w:val="79552B2F"/>
    <w:rsid w:val="7D8D0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line="360" w:lineRule="auto"/>
      <w:jc w:val="left"/>
      <w:outlineLvl w:val="0"/>
    </w:pPr>
    <w:rPr>
      <w:rFonts w:asciiTheme="minorHAnsi" w:hAnsiTheme="minorHAnsi"/>
      <w:b/>
      <w:kern w:val="44"/>
      <w:sz w:val="30"/>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link w:val="19"/>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keepNext/>
      <w:keepLines/>
      <w:numPr>
        <w:ilvl w:val="3"/>
        <w:numId w:val="1"/>
      </w:numPr>
      <w:outlineLvl w:val="3"/>
    </w:pPr>
    <w:rPr>
      <w:sz w:val="24"/>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Body Text"/>
    <w:basedOn w:val="1"/>
    <w:qFormat/>
    <w:uiPriority w:val="0"/>
    <w:pPr>
      <w:spacing w:after="120"/>
      <w:ind w:firstLine="723" w:firstLineChars="200"/>
    </w:pPr>
  </w:style>
  <w:style w:type="paragraph" w:styleId="12">
    <w:name w:val="footer"/>
    <w:basedOn w:val="1"/>
    <w:link w:val="21"/>
    <w:qFormat/>
    <w:uiPriority w:val="0"/>
    <w:pPr>
      <w:tabs>
        <w:tab w:val="center" w:pos="4153"/>
        <w:tab w:val="right" w:pos="8306"/>
      </w:tabs>
      <w:snapToGrid w:val="0"/>
      <w:jc w:val="left"/>
    </w:pPr>
    <w:rPr>
      <w:sz w:val="18"/>
      <w:szCs w:val="18"/>
    </w:rPr>
  </w:style>
  <w:style w:type="paragraph" w:styleId="13">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4">
    <w:name w:val="Normal (Web)"/>
    <w:basedOn w:val="1"/>
    <w:uiPriority w:val="99"/>
    <w:pPr>
      <w:spacing w:beforeAutospacing="1" w:afterAutospacing="1"/>
      <w:jc w:val="left"/>
    </w:pPr>
    <w:rPr>
      <w:rFonts w:cs="Times New Roman"/>
      <w:kern w:val="0"/>
      <w:sz w:val="24"/>
    </w:rPr>
  </w:style>
  <w:style w:type="character" w:styleId="17">
    <w:name w:val="Strong"/>
    <w:basedOn w:val="16"/>
    <w:qFormat/>
    <w:uiPriority w:val="22"/>
    <w:rPr>
      <w:rFonts w:ascii="Times New Roman" w:hAnsi="Times New Roman" w:eastAsia="黑体"/>
      <w:b/>
      <w:color w:val="0000FF"/>
      <w:sz w:val="21"/>
    </w:rPr>
  </w:style>
  <w:style w:type="paragraph" w:customStyle="1" w:styleId="18">
    <w:name w:val="句首"/>
    <w:basedOn w:val="11"/>
    <w:next w:val="11"/>
    <w:qFormat/>
    <w:uiPriority w:val="0"/>
    <w:pPr>
      <w:keepNext/>
      <w:keepLines/>
      <w:outlineLvl w:val="2"/>
    </w:pPr>
    <w:rPr>
      <w:rFonts w:hint="eastAsia" w:eastAsia="楷体"/>
      <w:i/>
      <w:sz w:val="28"/>
    </w:rPr>
  </w:style>
  <w:style w:type="character" w:customStyle="1" w:styleId="19">
    <w:name w:val="标题 3 字符"/>
    <w:link w:val="4"/>
    <w:qFormat/>
    <w:uiPriority w:val="0"/>
    <w:rPr>
      <w:rFonts w:hint="eastAsia" w:ascii="Times New Roman" w:hAnsi="Times New Roman" w:eastAsia="仿宋" w:cs="宋体"/>
      <w:kern w:val="0"/>
      <w:sz w:val="24"/>
      <w:szCs w:val="24"/>
      <w:lang w:val="en-US" w:eastAsia="zh-CN" w:bidi="ar"/>
    </w:rPr>
  </w:style>
  <w:style w:type="character" w:customStyle="1" w:styleId="20">
    <w:name w:val="页眉 字符"/>
    <w:basedOn w:val="16"/>
    <w:link w:val="13"/>
    <w:qFormat/>
    <w:uiPriority w:val="0"/>
    <w:rPr>
      <w:rFonts w:eastAsia="仿宋" w:cstheme="minorBidi"/>
      <w:kern w:val="2"/>
      <w:sz w:val="18"/>
      <w:szCs w:val="18"/>
    </w:rPr>
  </w:style>
  <w:style w:type="character" w:customStyle="1" w:styleId="21">
    <w:name w:val="页脚 字符"/>
    <w:basedOn w:val="16"/>
    <w:link w:val="12"/>
    <w:qFormat/>
    <w:uiPriority w:val="0"/>
    <w:rPr>
      <w:rFonts w:eastAsia="仿宋"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1097</Words>
  <Characters>1125</Characters>
  <Lines>8</Lines>
  <Paragraphs>2</Paragraphs>
  <TotalTime>177</TotalTime>
  <ScaleCrop>false</ScaleCrop>
  <LinksUpToDate>false</LinksUpToDate>
  <CharactersWithSpaces>1140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2025-05-15T07:53:00Z</dcterms:created>
  <dc:creator>Jeff</dc:creator>
  <cp:lastModifiedBy>潘文博</cp:lastModifiedBy>
  <dcterms:modified xsi:type="dcterms:W3CDTF">2026-10-25T10:01:46Z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D6D58057D0C34F669F79A76CFB9BE0FE_13</vt:lpwstr>
  </property>
  <property fmtid="{D5CDD505-2E9C-101B-9397-08002B2CF9AE}" pid="4" name="KSOTemplateDocerSaveRecord">
    <vt:lpwstr>eyJoZGlkIjoiZmE0YzgyOWQ3MGQ1Y2JiN2M3YzYxMGNlMTE1MDQwYTgiLCJ1c2VySWQiOiIxNjQzMDEyMzgwIn0=</vt:lpwstr>
  </property>
</Properties>
</file>