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0"/>
        <w:jc w:val="center"/>
      </w:pPr>
      <w:r>
        <w:rPr>
          <w:rFonts w:ascii="Times New Roman" w:cs="Times New Roman" w:eastAsia="Microsoft YaHei" w:hAnsi="Times New Roman"/>
          <w:b/>
          <w:bCs/>
          <w:color w:val="1E5C46"/>
          <w:sz w:val="44"/>
          <w:szCs w:val="44"/>
        </w:rPr>
        <w:t xml:space="preserve">木叶义齿设计平台 · 项目说明书</w:t>
      </w:r>
    </w:p>
    <w:p>
      <w:pPr>
        <w:spacing w:after="2000"/>
        <w:jc w:val="center"/>
      </w:pPr>
      <w:r>
        <w:rPr>
          <w:rFonts w:ascii="Times New Roman" w:cs="Times New Roman" w:eastAsia="Microsoft YaHei" w:hAnsi="Times New Roman"/>
          <w:color w:val="6B8F80"/>
          <w:sz w:val="26"/>
          <w:szCs w:val="26"/>
        </w:rPr>
        <w:t xml:space="preserve">连接医院 / 加工厂与远程设计师的数字化建模协作平台</w:t>
      </w:r>
    </w:p>
    <w:p>
      <w:pPr>
        <w:spacing w:after="160" w:line="300"/>
        <w:jc w:val="center"/>
      </w:pPr>
      <w:r>
        <w:rPr>
          <w:rFonts w:ascii="Times New Roman" w:cs="Times New Roman" w:eastAsia="Microsoft YaHei" w:hAnsi="Times New Roman"/>
          <w:color w:val="6B8F80"/>
          <w:sz w:val="22"/>
          <w:szCs w:val="22"/>
        </w:rPr>
        <w:t xml:space="preserve">版本 V1.2 ｜ 编制日期：2026 年 8 月 5 日</w:t>
      </w:r>
    </w:p>
    <w:p>
      <w:pPr>
        <w:spacing w:after="160" w:line="300"/>
        <w:jc w:val="center"/>
      </w:pPr>
      <w:r>
        <w:rPr>
          <w:rFonts w:ascii="Times New Roman" w:cs="Times New Roman" w:eastAsia="Microsoft YaHei" w:hAnsi="Times New Roman"/>
          <w:color w:val="6B8F80"/>
          <w:sz w:val="20"/>
          <w:szCs w:val="20"/>
        </w:rPr>
        <w:t xml:space="preserve">平台仅提供数字化建模技术服务，不对最终义齿临床效果及医疗器械质量承担责任。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Microsoft YaHei" w:hAnsi="Times New Roman"/>
          <w:i/>
          <w:iCs/>
          <w:color w:val="6B8F80"/>
          <w:sz w:val="20"/>
          <w:szCs w:val="20"/>
        </w:rPr>
        <w:t xml:space="preserve">右键目录，选择"更新域"刷新页码。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一、项目概述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二、端口与角色权限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三、设计类型与积分价格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四、积分体系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五、订单全流程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六、功能实现清单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6.1 医院 / 加工厂端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6.2 设计师端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6.3 管理端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七、数据与隐私规则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八、技术架构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九、项目进度与上线规划</w:t>
          </w:r>
          <w:r>
            <w:tab/>
          </w:r>
          <w:r>
            <w:t>10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一、项目概述</w:t>
      </w:r>
    </w:p>
    <w:p>
      <w:pPr>
        <w:spacing w:after="160" w:line="300"/>
        <w:ind w:firstLine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木叶义齿设计平台是一套连接医院、义齿加工厂与远程设计师的数字化建模协作系统。医院或加工厂在平台上下单（上传口扫文件与患者照片），远程设计师在线抢单完成义齿设计并回传设计文件，管理方负责账号、积分、分组派单与返工仲裁。</w:t>
      </w:r>
    </w:p>
    <w:p>
      <w:pPr>
        <w:spacing w:after="160" w:line="300"/>
        <w:ind w:firstLine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平台的商业模式为积分制：客户通过微信转账向管理方充值积分，提交订单时按设计类型与颗数预扣积分，订单完成即结算；退回、撤回、返工等异常流程均有明确的积分退还规则，每笔变动保留流水。</w:t>
      </w:r>
    </w:p>
    <w:p>
      <w:pPr>
        <w:spacing w:after="160" w:line="300"/>
        <w:ind w:firstLine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平台定位的关键边界：平台只是提供订单交接与数字化建模技术服务的环境，不对最终义齿的临床效果与医疗器械质量承担责任（该声明已固定在网页底部）。积分的解释权归管理方所有。</w:t>
      </w:r>
    </w:p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二、端口与角色权限</w:t>
      </w:r>
    </w:p>
    <w:p>
      <w:pPr>
        <w:spacing w:after="160" w:line="300"/>
        <w:ind w:firstLine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平台共三个端口，登录页仅输入账号密码，系统按账号自动识别端口。所有账号均由管理端统一创建，无自助注册。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端口</w:t>
            </w:r>
          </w:p>
        </w:tc>
        <w:tc>
          <w:tcPr>
            <w:tcW w:type="dxa" w:w="36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使用者</w:t>
            </w:r>
          </w:p>
        </w:tc>
        <w:tc>
          <w:tcPr>
            <w:tcW w:type="dxa" w:w="36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核心权限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医院 / 加工厂端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口腔医院、门诊部、义齿加工厂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提交订单、查看积分与明细、撤回订单、申请返工、下载设计文件、查看消息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设计师端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远程义齿设计师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在分组匹配范围内抢单、提交设计稿、退回问题订单、下载口扫文件与照片；不可见积分价格与医院信息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管理端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平台管理方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创建账号、修改密码、增减积分、分组与派单规则、查看全部订单与文件、返工审核、设计参数配置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三、设计类型与积分价格</w:t>
      </w:r>
    </w:p>
    <w:p>
      <w:pPr>
        <w:spacing w:after="160" w:line="300"/>
        <w:ind w:firstLine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积分价格为提交订单时的预扣标准，马龙桥按件计费，其余按颗计费；加急件每颗加收 5 积分（仅贴面/嵌体支持加急），加急件在订单列表中明显标注。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400"/>
      </w:tblGrid>
      <w:tr>
        <w:tc>
          <w:tcPr>
            <w:tcW w:type="dxa" w:w="34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设计类型</w:t>
            </w:r>
          </w:p>
        </w:tc>
        <w:tc>
          <w:tcPr>
            <w:tcW w:type="dxa" w:w="22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积分标准</w:t>
            </w:r>
          </w:p>
        </w:tc>
        <w:tc>
          <w:tcPr>
            <w:tcW w:type="dxa" w:w="34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即刻设计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8 积分 / 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常规单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全瓷冠 / 基台上部冠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5 积分 / 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常规单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贴面 / 嵌体设计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10 积分 / 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支持加急，加急 +5 积分 / 颗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马龙桥设计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80 积分 / 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按件计费，需选择上颌 / 下颌 / 全口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基台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5 积分 / 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常规单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四、积分体系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充值：客户微信转账给管理方后，由管理端在"积分管理"中手动增加积分，每笔均记录流水（含变动数量、余额、原因、时间）。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预扣：提交订单时按价格预扣积分；积分不足时无法下单，界面提示"积分不足，请联系管理方充值"。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多退少补：被退回的订单修改后重新提交，按新的牙位/颗数重算积分，差额多退少补。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撤回退还：订单在没有设计师接单前（待接单/未分配状态）可一键撤回，预扣积分全额退回。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返工退还：返工申请经管理端审核通过后，该单积分全额退回，订单作为返工单重新进入接单大厅（返工单不再扣费）。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医院端可直观看到积分余额与全部积分明细；设计师端不显示任何积分信息。积分无时间限制，解释权归管理方所有。</w:t>
      </w:r>
    </w:p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五、订单全流程</w:t>
      </w:r>
    </w:p>
    <w:p>
      <w:pPr>
        <w:spacing w:after="160" w:line="300"/>
        <w:ind w:firstLine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订单主流程为"提交订单 → 设计师接单 → 设计完成"。订单卡片内置流程时间线，一眼可见订单卡在哪个环节；管理端订单详情底部另有操作时间线，记录谁在何时做了什么，全程可追溯。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状态</w:t>
            </w:r>
          </w:p>
        </w:tc>
        <w:tc>
          <w:tcPr>
            <w:tcW w:type="dxa" w:w="50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含义与流转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待接单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订单进入接单大厅，匹配分组内的设计师可抢单；超过 24 小时未接在管理端标红"超时未接"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未分配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客户分组尚未匹配任何设计师组，订单暂不可见；管理端配置匹配后可重新派发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设计中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设计师已抢单（原子锁保证一单一主），正在设计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已完成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设计师提交设计文件，医院可下载；医院可就此单申请返工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已退回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设计师认为信息不全或数据有问题而退回；医院修改后重新提交（积分多退少补）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返工中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医院已申请返工，等待管理端审核；审核前医院可修改或撤销申请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已撤回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医院在无人接单时撤回订单，积分全额退回，订单从接单大厅消失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六、功能实现清单</w:t>
      </w:r>
    </w:p>
    <w:p>
      <w:pPr>
        <w:spacing w:after="160" w:line="300"/>
        <w:ind w:firstLine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以下功能均已在当前版本中实现并通过构建验证与全流程测试。</w:t>
      </w:r>
    </w:p>
    <w:p>
      <w:pPr>
        <w:pStyle w:val="Heading2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26"/>
          <w:szCs w:val="26"/>
        </w:rPr>
        <w:t xml:space="preserve">6.1 医院 / 加工厂端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提交订单：FDI 牙位图点选（上颌/下颌分左右显示，符合临床习惯）；支持自定义颗数模式，可一次性提交 20～30 颗并附十余张照片；马龙桥按件并选择上/下颌/全口；加急件明显标注。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必填校验：口扫文件必传（不限格式与数量）、照片至少 1 张（单张不超 10MB）、设计要求必填；扫描文件显示文件名与大小（蓝色系），照片缩略图带大小角标（绿色系），两类文件颜色区分防混淆。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患者字段：可填写患者姓名/病历号，同一患者再次下单时订单内自动显示该患者的历史订单，方便病例追溯。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积分拦截：提交时实时显示本单预扣积分；积分不足无法下单并提示联系管理方充值。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我的订单：按单号/患者姓名搜索、日期筛选、排序切换（最新/最早/积分高/按状态）；每张订单带流程时间线；无人接单时可撤回（积分全退）；完成后可下载设计文件、批量下载照片、申请返工。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用户服务：被退回订单在此修改后重新提交；返工申请在管理端审核前可修改内容或撤销。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积分页：余额大字展示（低于 50 闪烁提醒）、积分明细流水、月度账单。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消息页：订单完成、被退回、返工审核结果自动推送提醒，支持全部已读。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AI 设计：入口已预留，页面显示"功能正在开发，敬请期待"。</w:t>
      </w:r>
    </w:p>
    <w:p>
      <w:pPr>
        <w:pStyle w:val="Heading2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26"/>
          <w:szCs w:val="26"/>
        </w:rPr>
        <w:t xml:space="preserve">6.2 设计师端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接单大厅：只显示所在设计师组匹配到的客户组订单（未分组看不到任何订单）；顶部显示"我的待处理 N 单"；抢单由服务端原子锁保证同一订单只有一人接到。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接单体验：抢单成功后自动跳转"我的订单"，立即可开始工作。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设计作业：可下载医院上传的口扫文件与照片；查看管理端配置的设计参数（内冠间隙、咬合切、邻接切）；提交设计文件后订单完成并自动通知医院。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退回机制：对信息不全或数据有问题的订单可一键退回并填写原因，订单退回医院端修改。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隐私边界：设计师可见患者姓名/编号，但看不到医院/加工厂的任何信息，也看不到积分价格。</w:t>
      </w:r>
    </w:p>
    <w:p>
      <w:pPr>
        <w:pStyle w:val="Heading2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26"/>
          <w:szCs w:val="26"/>
        </w:rPr>
        <w:t xml:space="preserve">6.3 管理端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账号管理：管理账号独立置顶区块；医院/加工厂与设计师分两类展示；支持账号搜索、每 15 条分页；创建账号（可同时新建客户/设计师档案）、重置密码、删除账号（admin 不可删）。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积分管理：按客户充值/扣减积分，全部留痕流水。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订单总览：全平台订单一览，支持状态筛选（含已撤回/未分配）、单号/患者搜索、日期筛选、按客户筛选、超时未接一键筛选、排序切换；展开可查看照片与扫描/设计文件并下载；底部操作时间线记录全部动作；一键导出 CSV（含患者列）。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订单概览：总订单/本月新增/已完成/返工/退回/超时未接六张统计卡片，点击卡片直达订单总览并自动套好筛选。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超时治理：超过 24 小时未接的待接订单标红"超时未接"，概览页显示超时数量。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分组管理：设计师分组（新建/改名/设组长/备注）、客户分组、客户组↔设计师组匹配规则；未匹配导致的"未分配"订单有黄色横幅提醒并可重新派发。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返工审核：通过后自动退还积分、订单转返工单回大厅并通知客户；驳回则订单恢复已完成并通知；审核结果有 Toast 弹窗反馈。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设计参数：按客户配置内冠间隙/咬合切/邻接切，设计师端可见。</w:t>
      </w:r>
    </w:p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七、数据与隐私规则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积分信息仅医院端与管理端可见，设计师端完全不显示积分与价格。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设计师可见订单的患者姓名/编号与口扫资料，不可见医院/加工厂的名称、联系方式等任何信息。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医院之间互不可见：每个客户只能看到自己的订单、积分与消息。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管理端可查看全部订单的上传照片与文件，用于争议仲裁与质量抽查。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网页底部固定声明：平台仅提供数字化建模技术服务，不对最终义齿临床效果及医疗器械质量承担责任。</w:t>
      </w:r>
    </w:p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八、技术架构</w:t>
      </w:r>
    </w:p>
    <w:p>
      <w:pPr>
        <w:spacing w:after="160" w:line="300"/>
        <w:ind w:firstLine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项目分前后端两部分，均已在本机跑通；正式上线方案见《服务器部署整改方案.md》。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c>
          <w:tcPr>
            <w:tcW w:type="dxa" w:w="22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模块</w:t>
            </w:r>
          </w:p>
        </w:tc>
        <w:tc>
          <w:tcPr>
            <w:tcW w:type="dxa" w:w="36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3400"/>
            <w:shd w:fill="ED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前端 website/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React 19 + TypeScript + Vite 7 + Tailwind CSS + shadcn/ui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三端单页应用；当前演示版数据存浏览器 localStorage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后端 server/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Node.js 24 + Express + SQLite（内置）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12 张表；密码 scrypt 加密；登录令牌；积分事务；抢单原子锁；角色数据隔离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数据库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SQLite（muye.db 单文件）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订单/积分/流水/消息/分组等 12 张表，量大可平迁 MySQL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部署规划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云服务器 + 域名 + HTTPS + ICP 备案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Microsoft YaHei" w:hAnsi="Times New Roman"/>
                <w:sz w:val="24"/>
                <w:szCs w:val="24"/>
              </w:rPr>
              <w:t xml:space="preserve">对象存储承载口扫大文件；数据库每日自动备份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Microsoft YaHei" w:hAnsi="Times New Roman"/>
          <w:b/>
          <w:bCs/>
          <w:color w:val="1E3A2F"/>
          <w:sz w:val="30"/>
          <w:szCs w:val="30"/>
        </w:rPr>
        <w:t xml:space="preserve">九、项目进度与上线规划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UI/UX 优化清单（20 项）已收口：15 项完成、4 项经评估不实施、1 项待定（复用上次订单）。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后端骨架已完成并通过全流程烟测（下单→抢单锁→交稿→撤回退分→充值→流水核对，余额分毫不差）。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下一步为部署整改第 2 步：前端数据源从浏览器切换为后端 API（页面零改动，预计 1～2 天）。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随后依次完成：文件上云（对象存储）→ 购买服务器/域名/ICP 备案（备案需 2～3 周，建议最先启动）→ HTTPS 上线与自动备份。</w:t>
      </w:r>
    </w:p>
    <w:p>
      <w:pPr>
        <w:spacing w:after="80" w:line="300"/>
        <w:ind w:left="475"/>
      </w:pPr>
      <w:r>
        <w:rPr>
          <w:rFonts w:ascii="Times New Roman" w:cs="Times New Roman" w:eastAsia="Microsoft YaHei" w:hAnsi="Times New Roman"/>
          <w:sz w:val="24"/>
          <w:szCs w:val="24"/>
        </w:rPr>
        <w:t xml:space="preserve">· 试运行期费用量级约 100～200 元/月（云服务器 + 域名 + 对象存储，以厂商官网价格为准）。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Microsoft YaHei" w:hAnsi="Times New Roman"/>
        <w:b/>
        <w:bCs/>
        <w:color w:val="1E5C46"/>
        <w:sz w:val="24"/>
        <w:szCs w:val="24"/>
      </w:rPr>
      <w:t xml:space="preserve">木叶义齿设计平台 · 项目说明书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2026-08-05T12:40:52.341Z</dcterms:created>
  <dcterms:modified xsi:type="dcterms:W3CDTF">2026-08-05T12:40:52.342Z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