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line="240" w:lineRule="auto"/>
      </w:pPr>
      <w:r>
        <w:rPr>
          <w:rFonts w:ascii="Calibri" w:hAnsi="Calibri" w:eastAsia="Calibri"/>
          <w:b/>
          <w:color w:val="2E74B5"/>
          <w:sz w:val="20"/>
        </w:rPr>
        <w:t>BÁO CÁO TỔNG HỢP</w:t>
      </w:r>
    </w:p>
    <w:p>
      <w:pPr>
        <w:spacing w:before="0" w:after="100" w:line="240" w:lineRule="auto"/>
        <w:jc w:val="left"/>
      </w:pPr>
      <w:r>
        <w:rPr>
          <w:rFonts w:ascii="Calibri" w:hAnsi="Calibri" w:eastAsia="Calibri"/>
          <w:b/>
          <w:color w:val="17365D"/>
          <w:sz w:val="46"/>
        </w:rPr>
        <w:t>Tiến độ reproduce Puppeteer và kế hoạch thực nghiệm generalization</w:t>
      </w:r>
    </w:p>
    <w:p>
      <w:pPr>
        <w:spacing w:before="0" w:after="320" w:line="264" w:lineRule="auto"/>
      </w:pPr>
      <w:r>
        <w:rPr>
          <w:rFonts w:ascii="Calibri" w:hAnsi="Calibri" w:eastAsia="Calibri"/>
          <w:i/>
          <w:color w:val="5B6573"/>
          <w:sz w:val="25"/>
        </w:rPr>
        <w:t>GSM-Hard | Capability-Aware Orchestration | Unseen-Teammate Generalization</w:t>
      </w:r>
    </w:p>
    <w:tbl>
      <w:tblPr>
        <w:tblStyle w:val="TableGrid"/>
        <w:tblW w:type="dxa" w:w="9360"/>
        <w:jc w:val="left"/>
        <w:tblLook w:firstColumn="1" w:firstRow="1" w:lastColumn="0" w:lastRow="0" w:noHBand="0" w:noVBand="1" w:val="04A0"/>
        <w:tblInd w:w="90" w:type="dxa"/>
        <w:tblLayout w:type="fixed"/>
      </w:tblPr>
      <w:tblGrid>
        <w:gridCol w:w="1656"/>
        <w:gridCol w:w="1944"/>
        <w:gridCol w:w="2952"/>
        <w:gridCol w:w="2808"/>
      </w:tblGrid>
      <w:tr>
        <w:tc>
          <w:tcPr>
            <w:tcW w:type="dxa" w:w="1656"/>
            <w:tcMar>
              <w:top w:w="110" w:type="dxa"/>
              <w:start w:w="90" w:type="dxa"/>
              <w:bottom w:w="110" w:type="dxa"/>
              <w:end w:w="90" w:type="dxa"/>
            </w:tcMar>
            <w:shd w:fill="FFF6E3"/>
          </w:tcPr>
          <w:p>
            <w:pPr>
              <w:spacing w:before="0" w:after="40" w:line="240" w:lineRule="auto"/>
              <w:jc w:val="center"/>
            </w:pPr>
            <w:r/>
            <w:r>
              <w:rPr>
                <w:rFonts w:ascii="Calibri" w:hAnsi="Calibri" w:eastAsia="Calibri"/>
                <w:b/>
                <w:color w:val="17365D"/>
                <w:sz w:val="30"/>
              </w:rPr>
              <w:t>38</w:t>
            </w:r>
          </w:p>
          <w:p>
            <w:pPr>
              <w:spacing w:before="0" w:after="0" w:line="240" w:lineRule="auto"/>
              <w:jc w:val="center"/>
            </w:pPr>
            <w:r>
              <w:rPr>
                <w:rFonts w:ascii="Calibri" w:hAnsi="Calibri" w:eastAsia="Calibri"/>
                <w:color w:val="5B6573"/>
                <w:sz w:val="17"/>
              </w:rPr>
              <w:t>sample GSM-Hard đã train</w:t>
            </w:r>
          </w:p>
        </w:tc>
        <w:tc>
          <w:tcPr>
            <w:tcW w:type="dxa" w:w="1944"/>
            <w:tcMar>
              <w:top w:w="110" w:type="dxa"/>
              <w:start w:w="90" w:type="dxa"/>
              <w:bottom w:w="110" w:type="dxa"/>
              <w:end w:w="90" w:type="dxa"/>
            </w:tcMar>
            <w:shd w:fill="FFF6E3"/>
          </w:tcPr>
          <w:p>
            <w:pPr>
              <w:spacing w:before="0" w:after="40" w:line="240" w:lineRule="auto"/>
              <w:jc w:val="center"/>
            </w:pPr>
            <w:r/>
            <w:r>
              <w:rPr>
                <w:rFonts w:ascii="Calibri" w:hAnsi="Calibri" w:eastAsia="Calibri"/>
                <w:b/>
                <w:color w:val="17365D"/>
                <w:sz w:val="30"/>
              </w:rPr>
              <w:t>38</w:t>
            </w:r>
          </w:p>
          <w:p>
            <w:pPr>
              <w:spacing w:before="0" w:after="0" w:line="240" w:lineRule="auto"/>
              <w:jc w:val="center"/>
            </w:pPr>
            <w:r>
              <w:rPr>
                <w:rFonts w:ascii="Calibri" w:hAnsi="Calibri" w:eastAsia="Calibri"/>
                <w:color w:val="5B6573"/>
                <w:sz w:val="17"/>
              </w:rPr>
              <w:t>sample được đánh giá lại</w:t>
            </w:r>
          </w:p>
        </w:tc>
        <w:tc>
          <w:tcPr>
            <w:tcW w:type="dxa" w:w="2952"/>
            <w:tcMar>
              <w:top w:w="110" w:type="dxa"/>
              <w:start w:w="90" w:type="dxa"/>
              <w:bottom w:w="110" w:type="dxa"/>
              <w:end w:w="90" w:type="dxa"/>
            </w:tcMar>
            <w:shd w:fill="FFF6E3"/>
          </w:tcPr>
          <w:p>
            <w:pPr>
              <w:spacing w:before="0" w:after="40" w:line="240" w:lineRule="auto"/>
              <w:jc w:val="center"/>
            </w:pPr>
            <w:r/>
            <w:r>
              <w:rPr>
                <w:rFonts w:ascii="Calibri" w:hAnsi="Calibri" w:eastAsia="Calibri"/>
                <w:b/>
                <w:color w:val="17365D"/>
                <w:sz w:val="30"/>
              </w:rPr>
              <w:t>0,35 → 0,56</w:t>
            </w:r>
          </w:p>
          <w:p>
            <w:pPr>
              <w:spacing w:before="0" w:after="0" w:line="240" w:lineRule="auto"/>
              <w:jc w:val="center"/>
            </w:pPr>
            <w:r>
              <w:rPr>
                <w:rFonts w:ascii="Calibri" w:hAnsi="Calibri" w:eastAsia="Calibri"/>
                <w:color w:val="5B6573"/>
                <w:sz w:val="17"/>
              </w:rPr>
              <w:t>accuracy nội bộ: initialized → checkpoint</w:t>
            </w:r>
          </w:p>
        </w:tc>
        <w:tc>
          <w:tcPr>
            <w:tcW w:type="dxa" w:w="2808"/>
            <w:tcMar>
              <w:top w:w="110" w:type="dxa"/>
              <w:start w:w="90" w:type="dxa"/>
              <w:bottom w:w="110" w:type="dxa"/>
              <w:end w:w="90" w:type="dxa"/>
            </w:tcMar>
            <w:shd w:fill="FFF6E3"/>
          </w:tcPr>
          <w:p>
            <w:pPr>
              <w:spacing w:before="0" w:after="40" w:line="240" w:lineRule="auto"/>
              <w:jc w:val="center"/>
            </w:pPr>
            <w:r/>
            <w:r>
              <w:rPr>
                <w:rFonts w:ascii="Calibri" w:hAnsi="Calibri" w:eastAsia="Calibri"/>
                <w:b/>
                <w:color w:val="17365D"/>
                <w:sz w:val="30"/>
              </w:rPr>
              <w:t>A100</w:t>
            </w:r>
          </w:p>
          <w:p>
            <w:pPr>
              <w:spacing w:before="0" w:after="0" w:line="240" w:lineRule="auto"/>
              <w:jc w:val="center"/>
            </w:pPr>
            <w:r>
              <w:rPr>
                <w:rFonts w:ascii="Calibri" w:hAnsi="Calibri" w:eastAsia="Calibri"/>
                <w:color w:val="5B6573"/>
                <w:sz w:val="17"/>
              </w:rPr>
              <w:t>đang chờ tài nguyên để mở rộng</w:t>
            </w:r>
          </w:p>
        </w:tc>
      </w:tr>
    </w:tbl>
    <w:p>
      <w:pPr>
        <w:spacing w:before="0" w:after="160" w:line="276" w:lineRule="auto"/>
      </w:pPr>
    </w:p>
    <w:tbl>
      <w:tblPr>
        <w:tblStyle w:val="TableGrid"/>
        <w:tblW w:type="dxa" w:w="9360"/>
        <w:jc w:val="left"/>
        <w:tblLook w:firstColumn="1" w:firstRow="1" w:lastColumn="0" w:lastRow="0" w:noHBand="0" w:noVBand="1" w:val="04A0"/>
        <w:tblInd w:w="180" w:type="dxa"/>
        <w:tblLayout w:type="fixed"/>
      </w:tblPr>
      <w:tblGrid>
        <w:gridCol w:w="9360"/>
      </w:tblGrid>
      <w:tr>
        <w:tc>
          <w:tcPr>
            <w:tcW w:type="dxa" w:w="9360"/>
            <w:tcMar>
              <w:top w:w="130" w:type="dxa"/>
              <w:start w:w="180" w:type="dxa"/>
              <w:bottom w:w="130" w:type="dxa"/>
              <w:end w:w="180" w:type="dxa"/>
            </w:tcMar>
            <w:shd w:fill="FFF6E3"/>
          </w:tcPr>
          <w:p>
            <w:pPr>
              <w:spacing w:before="0" w:after="60" w:line="264" w:lineRule="auto"/>
            </w:pPr>
            <w:r/>
            <w:r>
              <w:rPr>
                <w:rFonts w:ascii="Calibri" w:hAnsi="Calibri" w:eastAsia="Calibri"/>
                <w:b/>
                <w:color w:val="17365D"/>
                <w:sz w:val="22"/>
              </w:rPr>
              <w:t>Kết luận hiện tại</w:t>
            </w:r>
          </w:p>
          <w:p>
            <w:pPr>
              <w:spacing w:before="0" w:after="0" w:line="276" w:lineRule="auto"/>
            </w:pPr>
            <w:r>
              <w:rPr>
                <w:rFonts w:ascii="Calibri" w:hAnsi="Calibri" w:eastAsia="Calibri"/>
                <w:color w:val="1F2933"/>
                <w:sz w:val="20"/>
              </w:rPr>
              <w:t>Pipeline Puppeteer đã chạy được ở quy mô pilot và checkpoint sau khi train 38 sample có accuracy nội bộ cao hơn baseline. Tuy nhiên, đây chưa phải replication có thể so sánh trực tiếp với paper: evaluation đang trùng với tập train, token cost chưa được thống kê đầy đủ, và reward model/agent pool/LLM đã thay đổi.</w:t>
            </w:r>
          </w:p>
        </w:tc>
      </w:tr>
    </w:tbl>
    <w:p>
      <w:pPr>
        <w:spacing w:before="0" w:after="20" w:line="276" w:lineRule="auto"/>
      </w:pPr>
    </w:p>
    <w:p>
      <w:pPr>
        <w:pStyle w:val="Heading1"/>
        <w:keepNext/>
      </w:pPr>
      <w:r>
        <w:t>1. Mục tiêu và phạm vi</w:t>
      </w:r>
    </w:p>
    <w:p>
      <w:pPr>
        <w:spacing w:before="0" w:after="160" w:line="276" w:lineRule="auto"/>
      </w:pPr>
      <w:r>
        <w:rPr>
          <w:rFonts w:ascii="Calibri" w:hAnsi="Calibri" w:eastAsia="Calibri"/>
          <w:b w:val="0"/>
          <w:i w:val="0"/>
          <w:color w:val="1F2933"/>
        </w:rPr>
        <w:t>Báo cáo tổng hợp tiến độ reproduce Puppeteer của Dang et al. (2025), kết quả pilot trên GSM-Hard và kế hoạch thực nghiệm tiếp theo. Trọng tâm nghiên cứu được kế thừa từ proposal là unseen-teammate generalization: policy điều phối cần phối hợp được khi model backbone, reasoning role, tool hoặc tổ hợp agent thay đổi.</w:t>
      </w:r>
    </w:p>
    <w:p>
      <w:pPr>
        <w:pStyle w:val="ListBullet"/>
        <w:spacing w:before="0" w:after="80" w:line="276" w:lineRule="auto"/>
      </w:pPr>
      <w:r>
        <w:t>Tái hiện Puppeteer như baseline điều phối động cho LLM-based multi-agent system.</w:t>
      </w:r>
    </w:p>
    <w:p>
      <w:pPr>
        <w:pStyle w:val="ListBullet"/>
        <w:spacing w:before="0" w:after="80" w:line="276" w:lineRule="auto"/>
      </w:pPr>
      <w:r>
        <w:t>Xác định điểm phụ thuộc vào agent pool cố định trong implementation hiện tại.</w:t>
      </w:r>
    </w:p>
    <w:p>
      <w:pPr>
        <w:pStyle w:val="ListBullet"/>
        <w:spacing w:before="0" w:after="80" w:line="276" w:lineRule="auto"/>
      </w:pPr>
      <w:r>
        <w:t>Phát triển và kiểm chứng capability-aware orchestration, Answer Gate và MAS-aware prompts.</w:t>
      </w:r>
    </w:p>
    <w:p>
      <w:pPr>
        <w:pStyle w:val="ListBullet"/>
        <w:spacing w:before="0" w:after="80" w:line="276" w:lineRule="auto"/>
      </w:pPr>
      <w:r>
        <w:t>Đánh giá riêng hiệu năng trên seen và unseen teammates, cùng chi phí suy luận.</w:t>
      </w:r>
    </w:p>
    <w:p>
      <w:pPr>
        <w:pStyle w:val="Heading1"/>
        <w:keepNext/>
      </w:pPr>
      <w:r>
        <w:t>2. Tiến độ reproduce và kết quả hiện có</w:t>
      </w:r>
    </w:p>
    <w:p>
      <w:pPr>
        <w:pStyle w:val="Heading2"/>
        <w:keepNext/>
      </w:pPr>
      <w:r>
        <w:t>2.1. Những thành phần đã chạy</w:t>
      </w:r>
    </w:p>
    <w:p>
      <w:pPr>
        <w:spacing w:before="0" w:after="160" w:line="276" w:lineRule="auto"/>
      </w:pPr>
      <w:r>
        <w:rPr>
          <w:rFonts w:ascii="Calibri" w:hAnsi="Calibri" w:eastAsia="Calibri"/>
          <w:b w:val="0"/>
          <w:i w:val="0"/>
          <w:color w:val="1F2933"/>
        </w:rPr>
        <w:t>Pipeline đã được cấu hình và chạy ổn định trên GSM-Hard ở cả chế độ initialized và evolved/checkpoint. Training loop, logging, checkpoint và embedding-based state representation đều đã hoạt động trong môi trường hiện tại.</w:t>
      </w:r>
    </w:p>
    <w:p>
      <w:pPr>
        <w:pStyle w:val="ListBullet"/>
        <w:spacing w:before="0" w:after="80" w:line="276" w:lineRule="auto"/>
      </w:pPr>
      <w:r>
        <w:t>Đã train thử nghiệm 38 sample GSM-Hard.</w:t>
      </w:r>
    </w:p>
    <w:p>
      <w:pPr>
        <w:pStyle w:val="ListBullet"/>
        <w:spacing w:before="0" w:after="80" w:line="276" w:lineRule="auto"/>
      </w:pPr>
      <w:r>
        <w:t>Đã đánh giá lại checkpoint trên chính 38 sample đã train.</w:t>
      </w:r>
    </w:p>
    <w:p>
      <w:pPr>
        <w:pStyle w:val="ListBullet"/>
        <w:spacing w:before="0" w:after="80" w:line="276" w:lineRule="auto"/>
      </w:pPr>
      <w:r>
        <w:t>Đã quan sát accuracy tăng từ 0,35 ở initialized lên 0,56 ở checkpoint trong pilot nội bộ.</w:t>
      </w:r>
    </w:p>
    <w:p>
      <w:pPr>
        <w:pStyle w:val="ListBullet"/>
        <w:spacing w:before="0" w:after="80" w:line="276" w:lineRule="auto"/>
      </w:pPr>
      <w:r>
        <w:t>Đang xin quyền sử dụng A100 để tăng quy mô chạy và rút ngắn thời gian thực nghiệm.</w:t>
      </w:r>
    </w:p>
    <w:p>
      <w:pPr>
        <w:pStyle w:val="Heading2"/>
        <w:keepNext/>
      </w:pPr>
      <w:r>
        <w:t>2.2. Khác biệt giữa reproduction hiện tại và setup của paper</w:t>
      </w:r>
    </w:p>
    <w:tbl>
      <w:tblPr>
        <w:tblStyle w:val="TableGrid"/>
        <w:tblW w:type="dxa" w:w="9360"/>
        <w:jc w:val="left"/>
        <w:tblLook w:firstColumn="1" w:firstRow="1" w:lastColumn="0" w:lastRow="0" w:noHBand="0" w:noVBand="1" w:val="04A0"/>
        <w:tblInd w:w="120" w:type="dxa"/>
        <w:tblLayout w:type="fixed"/>
      </w:tblPr>
      <w:tblGrid>
        <w:gridCol w:w="1656"/>
        <w:gridCol w:w="2448"/>
        <w:gridCol w:w="2448"/>
        <w:gridCol w:w="2808"/>
      </w:tblGrid>
      <w:tr>
        <w:trPr>
          <w:tblHeader w:val="true"/>
        </w:trPr>
        <w:tc>
          <w:tcPr>
            <w:tcW w:type="dxa" w:w="1656"/>
            <w:tcMar>
              <w:top w:w="80" w:type="dxa"/>
              <w:start w:w="120" w:type="dxa"/>
              <w:bottom w:w="80" w:type="dxa"/>
              <w:end w:w="120" w:type="dxa"/>
            </w:tcMar>
            <w:shd w:fill="17365D"/>
            <w:vAlign w:val="center"/>
          </w:tcPr>
          <w:p>
            <w:pPr>
              <w:spacing w:before="0" w:after="0" w:line="240" w:lineRule="auto"/>
              <w:jc w:val="center"/>
            </w:pPr>
            <w:r/>
            <w:r>
              <w:rPr>
                <w:rFonts w:ascii="Calibri" w:hAnsi="Calibri" w:eastAsia="Calibri"/>
                <w:b/>
                <w:color w:val="FFFFFF"/>
                <w:sz w:val="17"/>
              </w:rPr>
              <w:t>Thành phần</w:t>
            </w:r>
          </w:p>
        </w:tc>
        <w:tc>
          <w:tcPr>
            <w:tcW w:type="dxa" w:w="2448"/>
            <w:tcMar>
              <w:top w:w="80" w:type="dxa"/>
              <w:start w:w="120" w:type="dxa"/>
              <w:bottom w:w="80" w:type="dxa"/>
              <w:end w:w="120" w:type="dxa"/>
            </w:tcMar>
            <w:shd w:fill="17365D"/>
            <w:vAlign w:val="center"/>
          </w:tcPr>
          <w:p>
            <w:pPr>
              <w:spacing w:before="0" w:after="0" w:line="240" w:lineRule="auto"/>
              <w:jc w:val="center"/>
            </w:pPr>
            <w:r/>
            <w:r>
              <w:rPr>
                <w:rFonts w:ascii="Calibri" w:hAnsi="Calibri" w:eastAsia="Calibri"/>
                <w:b/>
                <w:color w:val="FFFFFF"/>
                <w:sz w:val="17"/>
              </w:rPr>
              <w:t>Paper gốc</w:t>
            </w:r>
          </w:p>
        </w:tc>
        <w:tc>
          <w:tcPr>
            <w:tcW w:type="dxa" w:w="2448"/>
            <w:tcMar>
              <w:top w:w="80" w:type="dxa"/>
              <w:start w:w="120" w:type="dxa"/>
              <w:bottom w:w="80" w:type="dxa"/>
              <w:end w:w="120" w:type="dxa"/>
            </w:tcMar>
            <w:shd w:fill="17365D"/>
            <w:vAlign w:val="center"/>
          </w:tcPr>
          <w:p>
            <w:pPr>
              <w:spacing w:before="0" w:after="0" w:line="240" w:lineRule="auto"/>
              <w:jc w:val="center"/>
            </w:pPr>
            <w:r/>
            <w:r>
              <w:rPr>
                <w:rFonts w:ascii="Calibri" w:hAnsi="Calibri" w:eastAsia="Calibri"/>
                <w:b/>
                <w:color w:val="FFFFFF"/>
                <w:sz w:val="17"/>
              </w:rPr>
              <w:t>Thiết lập hiện tại</w:t>
            </w:r>
          </w:p>
        </w:tc>
        <w:tc>
          <w:tcPr>
            <w:tcW w:type="dxa" w:w="2808"/>
            <w:tcMar>
              <w:top w:w="80" w:type="dxa"/>
              <w:start w:w="120" w:type="dxa"/>
              <w:bottom w:w="80" w:type="dxa"/>
              <w:end w:w="120" w:type="dxa"/>
            </w:tcMar>
            <w:shd w:fill="17365D"/>
            <w:vAlign w:val="center"/>
          </w:tcPr>
          <w:p>
            <w:pPr>
              <w:spacing w:before="0" w:after="0" w:line="240" w:lineRule="auto"/>
              <w:jc w:val="center"/>
            </w:pPr>
            <w:r/>
            <w:r>
              <w:rPr>
                <w:rFonts w:ascii="Calibri" w:hAnsi="Calibri" w:eastAsia="Calibri"/>
                <w:b/>
                <w:color w:val="FFFFFF"/>
                <w:sz w:val="17"/>
              </w:rPr>
              <w:t>Hệ quả khi diễn giải</w:t>
            </w:r>
          </w:p>
        </w:tc>
      </w:tr>
      <w:tr>
        <w:tc>
          <w:tcPr>
            <w:tcW w:type="dxa" w:w="1656"/>
            <w:vAlign w:val="center"/>
          </w:tcPr>
          <w:p>
            <w:pPr>
              <w:spacing w:before="0" w:after="0" w:line="240" w:lineRule="auto"/>
              <w:jc w:val="left"/>
            </w:pPr>
            <w:r/>
            <w:r>
              <w:rPr>
                <w:rFonts w:ascii="Calibri" w:hAnsi="Calibri" w:eastAsia="Calibri"/>
                <w:b w:val="0"/>
                <w:color w:val="1F2933"/>
                <w:sz w:val="17"/>
              </w:rPr>
              <w:t>State / reward model</w:t>
            </w:r>
          </w:p>
        </w:tc>
        <w:tc>
          <w:tcPr>
            <w:tcW w:type="dxa" w:w="2448"/>
            <w:vAlign w:val="center"/>
          </w:tcPr>
          <w:p>
            <w:pPr>
              <w:spacing w:before="0" w:after="0" w:line="240" w:lineRule="auto"/>
              <w:jc w:val="left"/>
            </w:pPr>
            <w:r/>
            <w:r>
              <w:rPr>
                <w:rFonts w:ascii="Calibri" w:hAnsi="Calibri" w:eastAsia="Calibri"/>
                <w:b w:val="0"/>
                <w:color w:val="1F2933"/>
                <w:sz w:val="17"/>
              </w:rPr>
              <w:t>nvidia/Llama-3.1-Nemotron-70B-Reward-HF</w:t>
            </w:r>
          </w:p>
        </w:tc>
        <w:tc>
          <w:tcPr>
            <w:tcW w:type="dxa" w:w="2448"/>
            <w:vAlign w:val="center"/>
          </w:tcPr>
          <w:p>
            <w:pPr>
              <w:spacing w:before="0" w:after="0" w:line="240" w:lineRule="auto"/>
              <w:jc w:val="left"/>
            </w:pPr>
            <w:r/>
            <w:r>
              <w:rPr>
                <w:rFonts w:ascii="Calibri" w:hAnsi="Calibri" w:eastAsia="Calibri"/>
                <w:b w:val="0"/>
                <w:color w:val="1F2933"/>
                <w:sz w:val="17"/>
              </w:rPr>
              <w:t>Skywork/Skywork-Reward-V2-Llama-3.1-8B</w:t>
            </w:r>
          </w:p>
        </w:tc>
        <w:tc>
          <w:tcPr>
            <w:tcW w:type="dxa" w:w="2808"/>
            <w:vAlign w:val="center"/>
          </w:tcPr>
          <w:p>
            <w:pPr>
              <w:spacing w:before="0" w:after="0" w:line="240" w:lineRule="auto"/>
              <w:jc w:val="left"/>
            </w:pPr>
            <w:r/>
            <w:r>
              <w:rPr>
                <w:rFonts w:ascii="Calibri" w:hAnsi="Calibri" w:eastAsia="Calibri"/>
                <w:b w:val="0"/>
                <w:color w:val="1F2933"/>
                <w:sz w:val="17"/>
              </w:rPr>
              <w:t>Reward signal không còn tương đương hoàn toàn.</w:t>
            </w:r>
          </w:p>
        </w:tc>
      </w:tr>
      <w:tr>
        <w:tc>
          <w:tcPr>
            <w:tcW w:type="dxa" w:w="1656"/>
            <w:shd w:fill="EEF4FA"/>
            <w:vAlign w:val="center"/>
          </w:tcPr>
          <w:p>
            <w:pPr>
              <w:spacing w:before="0" w:after="0" w:line="240" w:lineRule="auto"/>
              <w:jc w:val="left"/>
            </w:pPr>
            <w:r/>
            <w:r>
              <w:rPr>
                <w:rFonts w:ascii="Calibri" w:hAnsi="Calibri" w:eastAsia="Calibri"/>
                <w:b w:val="0"/>
                <w:color w:val="1F2933"/>
                <w:sz w:val="17"/>
              </w:rPr>
              <w:t>Agent pool và LLM</w:t>
            </w:r>
          </w:p>
        </w:tc>
        <w:tc>
          <w:tcPr>
            <w:tcW w:type="dxa" w:w="2448"/>
            <w:shd w:fill="EEF4FA"/>
            <w:vAlign w:val="center"/>
          </w:tcPr>
          <w:p>
            <w:pPr>
              <w:spacing w:before="0" w:after="0" w:line="240" w:lineRule="auto"/>
              <w:jc w:val="left"/>
            </w:pPr>
            <w:r/>
            <w:r>
              <w:rPr>
                <w:rFonts w:ascii="Calibri" w:hAnsi="Calibri" w:eastAsia="Calibri"/>
                <w:b w:val="0"/>
                <w:color w:val="1F2933"/>
                <w:sz w:val="17"/>
              </w:rPr>
              <w:t>Mimas/Titan; 14 agent và 6 LLM</w:t>
            </w:r>
          </w:p>
        </w:tc>
        <w:tc>
          <w:tcPr>
            <w:tcW w:type="dxa" w:w="2448"/>
            <w:shd w:fill="EEF4FA"/>
            <w:vAlign w:val="center"/>
          </w:tcPr>
          <w:p>
            <w:pPr>
              <w:spacing w:before="0" w:after="0" w:line="240" w:lineRule="auto"/>
              <w:jc w:val="left"/>
            </w:pPr>
            <w:r/>
            <w:r>
              <w:rPr>
                <w:rFonts w:ascii="Calibri" w:hAnsi="Calibri" w:eastAsia="Calibri"/>
                <w:b w:val="0"/>
                <w:color w:val="1F2933"/>
                <w:sz w:val="17"/>
              </w:rPr>
              <w:t>Custom pool; 14 agent và 4 LLM</w:t>
            </w:r>
          </w:p>
        </w:tc>
        <w:tc>
          <w:tcPr>
            <w:tcW w:type="dxa" w:w="2808"/>
            <w:shd w:fill="EEF4FA"/>
            <w:vAlign w:val="center"/>
          </w:tcPr>
          <w:p>
            <w:pPr>
              <w:spacing w:before="0" w:after="0" w:line="240" w:lineRule="auto"/>
              <w:jc w:val="left"/>
            </w:pPr>
            <w:r/>
            <w:r>
              <w:rPr>
                <w:rFonts w:ascii="Calibri" w:hAnsi="Calibri" w:eastAsia="Calibri"/>
                <w:b w:val="0"/>
                <w:color w:val="1F2933"/>
                <w:sz w:val="17"/>
              </w:rPr>
              <w:t>Capability distribution và action space đã thay đổi.</w:t>
            </w:r>
          </w:p>
        </w:tc>
      </w:tr>
      <w:tr>
        <w:tc>
          <w:tcPr>
            <w:tcW w:type="dxa" w:w="1656"/>
            <w:vAlign w:val="center"/>
          </w:tcPr>
          <w:p>
            <w:pPr>
              <w:spacing w:before="0" w:after="0" w:line="240" w:lineRule="auto"/>
              <w:jc w:val="left"/>
            </w:pPr>
            <w:r/>
            <w:r>
              <w:rPr>
                <w:rFonts w:ascii="Calibri" w:hAnsi="Calibri" w:eastAsia="Calibri"/>
                <w:b w:val="0"/>
                <w:color w:val="1F2933"/>
                <w:sz w:val="17"/>
              </w:rPr>
              <w:t>Benchmark / quy mô</w:t>
            </w:r>
          </w:p>
        </w:tc>
        <w:tc>
          <w:tcPr>
            <w:tcW w:type="dxa" w:w="2448"/>
            <w:vAlign w:val="center"/>
          </w:tcPr>
          <w:p>
            <w:pPr>
              <w:spacing w:before="0" w:after="0" w:line="240" w:lineRule="auto"/>
              <w:jc w:val="left"/>
            </w:pPr>
            <w:r/>
            <w:r>
              <w:rPr>
                <w:rFonts w:ascii="Calibri" w:hAnsi="Calibri" w:eastAsia="Calibri"/>
                <w:b w:val="0"/>
                <w:color w:val="1F2933"/>
                <w:sz w:val="17"/>
              </w:rPr>
              <w:t>GSM-Hard, MMLU-Pro, SRDD, CommonGen-Hard</w:t>
            </w:r>
          </w:p>
        </w:tc>
        <w:tc>
          <w:tcPr>
            <w:tcW w:type="dxa" w:w="2448"/>
            <w:vAlign w:val="center"/>
          </w:tcPr>
          <w:p>
            <w:pPr>
              <w:spacing w:before="0" w:after="0" w:line="240" w:lineRule="auto"/>
              <w:jc w:val="left"/>
            </w:pPr>
            <w:r/>
            <w:r>
              <w:rPr>
                <w:rFonts w:ascii="Calibri" w:hAnsi="Calibri" w:eastAsia="Calibri"/>
                <w:b w:val="0"/>
                <w:color w:val="1F2933"/>
                <w:sz w:val="17"/>
              </w:rPr>
              <w:t>Pilot 38 sample GSM-Hard</w:t>
            </w:r>
          </w:p>
        </w:tc>
        <w:tc>
          <w:tcPr>
            <w:tcW w:type="dxa" w:w="2808"/>
            <w:vAlign w:val="center"/>
          </w:tcPr>
          <w:p>
            <w:pPr>
              <w:spacing w:before="0" w:after="0" w:line="240" w:lineRule="auto"/>
              <w:jc w:val="left"/>
            </w:pPr>
            <w:r/>
            <w:r>
              <w:rPr>
                <w:rFonts w:ascii="Calibri" w:hAnsi="Calibri" w:eastAsia="Calibri"/>
                <w:b w:val="0"/>
                <w:color w:val="1F2933"/>
                <w:sz w:val="17"/>
              </w:rPr>
              <w:t>Mới xác nhận pipeline, chưa đủ để kết luận replication.</w:t>
            </w:r>
          </w:p>
        </w:tc>
      </w:tr>
    </w:tbl>
    <w:p>
      <w:pPr>
        <w:spacing w:before="0" w:after="80" w:line="276" w:lineRule="auto"/>
      </w:pPr>
    </w:p>
    <w:p>
      <w:pPr>
        <w:spacing w:before="0" w:after="160" w:line="276" w:lineRule="auto"/>
      </w:pPr>
      <w:r>
        <w:rPr>
          <w:rFonts w:ascii="Calibri" w:hAnsi="Calibri" w:eastAsia="Calibri"/>
          <w:b w:val="0"/>
          <w:i/>
          <w:color w:val="5B6573"/>
          <w:sz w:val="18"/>
        </w:rPr>
        <w:t>Bảng 1. Các khác biệt cần được nêu rõ trong mọi so sánh với kết quả paper.</w:t>
      </w:r>
    </w:p>
    <w:p>
      <w:pPr>
        <w:pStyle w:val="Heading2"/>
        <w:keepNext/>
      </w:pPr>
      <w:r>
        <w:t>2.3. Bảng kết quả hiện có và cách diễn giải đúng</w:t>
      </w:r>
    </w:p>
    <w:tbl>
      <w:tblPr>
        <w:tblStyle w:val="TableGrid"/>
        <w:tblW w:type="dxa" w:w="9360"/>
        <w:jc w:val="left"/>
        <w:tblLook w:firstColumn="1" w:firstRow="1" w:lastColumn="0" w:lastRow="0" w:noHBand="0" w:noVBand="1" w:val="04A0"/>
        <w:tblInd w:w="120" w:type="dxa"/>
        <w:tblLayout w:type="fixed"/>
      </w:tblPr>
      <w:tblGrid>
        <w:gridCol w:w="2376"/>
        <w:gridCol w:w="1224"/>
        <w:gridCol w:w="1008"/>
        <w:gridCol w:w="1008"/>
        <w:gridCol w:w="1152"/>
        <w:gridCol w:w="2592"/>
      </w:tblGrid>
      <w:tr>
        <w:trPr>
          <w:tblHeader w:val="true"/>
        </w:trPr>
        <w:tc>
          <w:tcPr>
            <w:tcW w:type="dxa" w:w="2376"/>
            <w:tcMar>
              <w:top w:w="80" w:type="dxa"/>
              <w:start w:w="120" w:type="dxa"/>
              <w:bottom w:w="80" w:type="dxa"/>
              <w:end w:w="120" w:type="dxa"/>
            </w:tcMar>
            <w:shd w:fill="17365D"/>
            <w:vAlign w:val="center"/>
          </w:tcPr>
          <w:p>
            <w:pPr>
              <w:spacing w:before="0" w:after="0" w:line="240" w:lineRule="auto"/>
              <w:jc w:val="center"/>
            </w:pPr>
            <w:r/>
            <w:r>
              <w:rPr>
                <w:rFonts w:ascii="Calibri" w:hAnsi="Calibri" w:eastAsia="Calibri"/>
                <w:b/>
                <w:color w:val="FFFFFF"/>
                <w:sz w:val="18"/>
              </w:rPr>
              <w:t>Setting</w:t>
            </w:r>
          </w:p>
        </w:tc>
        <w:tc>
          <w:tcPr>
            <w:tcW w:type="dxa" w:w="1224"/>
            <w:tcMar>
              <w:top w:w="80" w:type="dxa"/>
              <w:start w:w="120" w:type="dxa"/>
              <w:bottom w:w="80" w:type="dxa"/>
              <w:end w:w="120" w:type="dxa"/>
            </w:tcMar>
            <w:shd w:fill="17365D"/>
            <w:vAlign w:val="center"/>
          </w:tcPr>
          <w:p>
            <w:pPr>
              <w:spacing w:before="0" w:after="0" w:line="240" w:lineRule="auto"/>
              <w:jc w:val="center"/>
            </w:pPr>
            <w:r/>
            <w:r>
              <w:rPr>
                <w:rFonts w:ascii="Calibri" w:hAnsi="Calibri" w:eastAsia="Calibri"/>
                <w:b/>
                <w:color w:val="FFFFFF"/>
                <w:sz w:val="18"/>
              </w:rPr>
              <w:t>Policy</w:t>
            </w:r>
          </w:p>
        </w:tc>
        <w:tc>
          <w:tcPr>
            <w:tcW w:type="dxa" w:w="1008"/>
            <w:tcMar>
              <w:top w:w="80" w:type="dxa"/>
              <w:start w:w="120" w:type="dxa"/>
              <w:bottom w:w="80" w:type="dxa"/>
              <w:end w:w="120" w:type="dxa"/>
            </w:tcMar>
            <w:shd w:fill="17365D"/>
            <w:vAlign w:val="center"/>
          </w:tcPr>
          <w:p>
            <w:pPr>
              <w:spacing w:before="0" w:after="0" w:line="240" w:lineRule="auto"/>
              <w:jc w:val="center"/>
            </w:pPr>
            <w:r/>
            <w:r>
              <w:rPr>
                <w:rFonts w:ascii="Calibri" w:hAnsi="Calibri" w:eastAsia="Calibri"/>
                <w:b/>
                <w:color w:val="FFFFFF"/>
                <w:sz w:val="18"/>
              </w:rPr>
              <w:t># Train</w:t>
            </w:r>
          </w:p>
        </w:tc>
        <w:tc>
          <w:tcPr>
            <w:tcW w:type="dxa" w:w="1008"/>
            <w:tcMar>
              <w:top w:w="80" w:type="dxa"/>
              <w:start w:w="120" w:type="dxa"/>
              <w:bottom w:w="80" w:type="dxa"/>
              <w:end w:w="120" w:type="dxa"/>
            </w:tcMar>
            <w:shd w:fill="17365D"/>
            <w:vAlign w:val="center"/>
          </w:tcPr>
          <w:p>
            <w:pPr>
              <w:spacing w:before="0" w:after="0" w:line="240" w:lineRule="auto"/>
              <w:jc w:val="center"/>
            </w:pPr>
            <w:r/>
            <w:r>
              <w:rPr>
                <w:rFonts w:ascii="Calibri" w:hAnsi="Calibri" w:eastAsia="Calibri"/>
                <w:b/>
                <w:color w:val="FFFFFF"/>
                <w:sz w:val="18"/>
              </w:rPr>
              <w:t># Eval</w:t>
            </w:r>
          </w:p>
        </w:tc>
        <w:tc>
          <w:tcPr>
            <w:tcW w:type="dxa" w:w="1152"/>
            <w:tcMar>
              <w:top w:w="80" w:type="dxa"/>
              <w:start w:w="120" w:type="dxa"/>
              <w:bottom w:w="80" w:type="dxa"/>
              <w:end w:w="120" w:type="dxa"/>
            </w:tcMar>
            <w:shd w:fill="17365D"/>
            <w:vAlign w:val="center"/>
          </w:tcPr>
          <w:p>
            <w:pPr>
              <w:spacing w:before="0" w:after="0" w:line="240" w:lineRule="auto"/>
              <w:jc w:val="center"/>
            </w:pPr>
            <w:r/>
            <w:r>
              <w:rPr>
                <w:rFonts w:ascii="Calibri" w:hAnsi="Calibri" w:eastAsia="Calibri"/>
                <w:b/>
                <w:color w:val="FFFFFF"/>
                <w:sz w:val="18"/>
              </w:rPr>
              <w:t>Accuracy</w:t>
            </w:r>
          </w:p>
        </w:tc>
        <w:tc>
          <w:tcPr>
            <w:tcW w:type="dxa" w:w="2592"/>
            <w:tcMar>
              <w:top w:w="80" w:type="dxa"/>
              <w:start w:w="120" w:type="dxa"/>
              <w:bottom w:w="80" w:type="dxa"/>
              <w:end w:w="120" w:type="dxa"/>
            </w:tcMar>
            <w:shd w:fill="17365D"/>
            <w:vAlign w:val="center"/>
          </w:tcPr>
          <w:p>
            <w:pPr>
              <w:spacing w:before="0" w:after="0" w:line="240" w:lineRule="auto"/>
              <w:jc w:val="center"/>
            </w:pPr>
            <w:r/>
            <w:r>
              <w:rPr>
                <w:rFonts w:ascii="Calibri" w:hAnsi="Calibri" w:eastAsia="Calibri"/>
                <w:b/>
                <w:color w:val="FFFFFF"/>
                <w:sz w:val="18"/>
              </w:rPr>
              <w:t>Avg. token cost</w:t>
            </w:r>
          </w:p>
        </w:tc>
      </w:tr>
      <w:tr>
        <w:tc>
          <w:tcPr>
            <w:tcW w:type="dxa" w:w="2376"/>
            <w:vAlign w:val="center"/>
          </w:tcPr>
          <w:p>
            <w:pPr>
              <w:spacing w:before="0" w:after="0" w:line="240" w:lineRule="auto"/>
              <w:jc w:val="left"/>
            </w:pPr>
            <w:r/>
            <w:r>
              <w:rPr>
                <w:rFonts w:ascii="Calibri" w:hAnsi="Calibri" w:eastAsia="Calibri"/>
                <w:b w:val="0"/>
                <w:color w:val="1F2933"/>
                <w:sz w:val="18"/>
              </w:rPr>
              <w:t>Paper - Puppeteer</w:t>
            </w:r>
          </w:p>
        </w:tc>
        <w:tc>
          <w:tcPr>
            <w:tcW w:type="dxa" w:w="1224"/>
            <w:vAlign w:val="center"/>
          </w:tcPr>
          <w:p>
            <w:pPr>
              <w:spacing w:before="0" w:after="0" w:line="240" w:lineRule="auto"/>
              <w:jc w:val="left"/>
            </w:pPr>
            <w:r/>
            <w:r>
              <w:rPr>
                <w:rFonts w:ascii="Calibri" w:hAnsi="Calibri" w:eastAsia="Calibri"/>
                <w:b w:val="0"/>
                <w:color w:val="1F2933"/>
                <w:sz w:val="18"/>
              </w:rPr>
              <w:t>Initialized</w:t>
            </w:r>
          </w:p>
        </w:tc>
        <w:tc>
          <w:tcPr>
            <w:tcW w:type="dxa" w:w="1008"/>
            <w:vAlign w:val="center"/>
          </w:tcPr>
          <w:p>
            <w:pPr>
              <w:spacing w:before="0" w:after="0" w:line="240" w:lineRule="auto"/>
              <w:jc w:val="left"/>
            </w:pPr>
            <w:r/>
            <w:r>
              <w:rPr>
                <w:rFonts w:ascii="Calibri" w:hAnsi="Calibri" w:eastAsia="Calibri"/>
                <w:b w:val="0"/>
                <w:color w:val="1F2933"/>
                <w:sz w:val="18"/>
              </w:rPr>
              <w:t>-</w:t>
            </w:r>
          </w:p>
        </w:tc>
        <w:tc>
          <w:tcPr>
            <w:tcW w:type="dxa" w:w="1008"/>
            <w:vAlign w:val="center"/>
          </w:tcPr>
          <w:p>
            <w:pPr>
              <w:spacing w:before="0" w:after="0" w:line="240" w:lineRule="auto"/>
              <w:jc w:val="left"/>
            </w:pPr>
            <w:r/>
            <w:r>
              <w:rPr>
                <w:rFonts w:ascii="Calibri" w:hAnsi="Calibri" w:eastAsia="Calibri"/>
                <w:b w:val="0"/>
                <w:color w:val="1F2933"/>
                <w:sz w:val="18"/>
              </w:rPr>
              <w:t>-</w:t>
            </w:r>
          </w:p>
        </w:tc>
        <w:tc>
          <w:tcPr>
            <w:tcW w:type="dxa" w:w="1152"/>
            <w:vAlign w:val="center"/>
          </w:tcPr>
          <w:p>
            <w:pPr>
              <w:spacing w:before="0" w:after="0" w:line="240" w:lineRule="auto"/>
              <w:jc w:val="left"/>
            </w:pPr>
            <w:r/>
            <w:r>
              <w:rPr>
                <w:rFonts w:ascii="Calibri" w:hAnsi="Calibri" w:eastAsia="Calibri"/>
                <w:b w:val="0"/>
                <w:color w:val="1F2933"/>
                <w:sz w:val="18"/>
              </w:rPr>
              <w:t>0,5600</w:t>
            </w:r>
          </w:p>
        </w:tc>
        <w:tc>
          <w:tcPr>
            <w:tcW w:type="dxa" w:w="2592"/>
            <w:vAlign w:val="center"/>
          </w:tcPr>
          <w:p>
            <w:pPr>
              <w:spacing w:before="0" w:after="0" w:line="240" w:lineRule="auto"/>
              <w:jc w:val="left"/>
            </w:pPr>
            <w:r/>
            <w:r>
              <w:rPr>
                <w:rFonts w:ascii="Calibri" w:hAnsi="Calibri" w:eastAsia="Calibri"/>
                <w:b w:val="0"/>
                <w:color w:val="1F2933"/>
                <w:sz w:val="18"/>
              </w:rPr>
              <w:t>Chưa đối chiếu</w:t>
            </w:r>
          </w:p>
        </w:tc>
      </w:tr>
      <w:tr>
        <w:tc>
          <w:tcPr>
            <w:tcW w:type="dxa" w:w="2376"/>
            <w:shd w:fill="EEF4FA"/>
            <w:vAlign w:val="center"/>
          </w:tcPr>
          <w:p>
            <w:pPr>
              <w:spacing w:before="0" w:after="0" w:line="240" w:lineRule="auto"/>
              <w:jc w:val="left"/>
            </w:pPr>
            <w:r/>
            <w:r>
              <w:rPr>
                <w:rFonts w:ascii="Calibri" w:hAnsi="Calibri" w:eastAsia="Calibri"/>
                <w:b w:val="0"/>
                <w:color w:val="1F2933"/>
                <w:sz w:val="18"/>
              </w:rPr>
              <w:t>Paper - Puppeteer</w:t>
            </w:r>
          </w:p>
        </w:tc>
        <w:tc>
          <w:tcPr>
            <w:tcW w:type="dxa" w:w="1224"/>
            <w:shd w:fill="EEF4FA"/>
            <w:vAlign w:val="center"/>
          </w:tcPr>
          <w:p>
            <w:pPr>
              <w:spacing w:before="0" w:after="0" w:line="240" w:lineRule="auto"/>
              <w:jc w:val="left"/>
            </w:pPr>
            <w:r/>
            <w:r>
              <w:rPr>
                <w:rFonts w:ascii="Calibri" w:hAnsi="Calibri" w:eastAsia="Calibri"/>
                <w:b w:val="0"/>
                <w:color w:val="1F2933"/>
                <w:sz w:val="18"/>
              </w:rPr>
              <w:t>Evolved</w:t>
            </w:r>
          </w:p>
        </w:tc>
        <w:tc>
          <w:tcPr>
            <w:tcW w:type="dxa" w:w="1008"/>
            <w:shd w:fill="EEF4FA"/>
            <w:vAlign w:val="center"/>
          </w:tcPr>
          <w:p>
            <w:pPr>
              <w:spacing w:before="0" w:after="0" w:line="240" w:lineRule="auto"/>
              <w:jc w:val="left"/>
            </w:pPr>
            <w:r/>
            <w:r>
              <w:rPr>
                <w:rFonts w:ascii="Calibri" w:hAnsi="Calibri" w:eastAsia="Calibri"/>
                <w:b w:val="0"/>
                <w:color w:val="1F2933"/>
                <w:sz w:val="18"/>
              </w:rPr>
              <w:t>-</w:t>
            </w:r>
          </w:p>
        </w:tc>
        <w:tc>
          <w:tcPr>
            <w:tcW w:type="dxa" w:w="1008"/>
            <w:shd w:fill="EEF4FA"/>
            <w:vAlign w:val="center"/>
          </w:tcPr>
          <w:p>
            <w:pPr>
              <w:spacing w:before="0" w:after="0" w:line="240" w:lineRule="auto"/>
              <w:jc w:val="left"/>
            </w:pPr>
            <w:r/>
            <w:r>
              <w:rPr>
                <w:rFonts w:ascii="Calibri" w:hAnsi="Calibri" w:eastAsia="Calibri"/>
                <w:b w:val="0"/>
                <w:color w:val="1F2933"/>
                <w:sz w:val="18"/>
              </w:rPr>
              <w:t>-</w:t>
            </w:r>
          </w:p>
        </w:tc>
        <w:tc>
          <w:tcPr>
            <w:tcW w:type="dxa" w:w="1152"/>
            <w:shd w:fill="EEF4FA"/>
            <w:vAlign w:val="center"/>
          </w:tcPr>
          <w:p>
            <w:pPr>
              <w:spacing w:before="0" w:after="0" w:line="240" w:lineRule="auto"/>
              <w:jc w:val="left"/>
            </w:pPr>
            <w:r/>
            <w:r>
              <w:rPr>
                <w:rFonts w:ascii="Calibri" w:hAnsi="Calibri" w:eastAsia="Calibri"/>
                <w:b w:val="0"/>
                <w:color w:val="1F2933"/>
                <w:sz w:val="18"/>
              </w:rPr>
              <w:t>0,5400</w:t>
            </w:r>
          </w:p>
        </w:tc>
        <w:tc>
          <w:tcPr>
            <w:tcW w:type="dxa" w:w="2592"/>
            <w:shd w:fill="EEF4FA"/>
            <w:vAlign w:val="center"/>
          </w:tcPr>
          <w:p>
            <w:pPr>
              <w:spacing w:before="0" w:after="0" w:line="240" w:lineRule="auto"/>
              <w:jc w:val="left"/>
            </w:pPr>
            <w:r/>
            <w:r>
              <w:rPr>
                <w:rFonts w:ascii="Calibri" w:hAnsi="Calibri" w:eastAsia="Calibri"/>
                <w:b w:val="0"/>
                <w:color w:val="1F2933"/>
                <w:sz w:val="18"/>
              </w:rPr>
              <w:t>Chưa đối chiếu</w:t>
            </w:r>
          </w:p>
        </w:tc>
      </w:tr>
      <w:tr>
        <w:tc>
          <w:tcPr>
            <w:tcW w:type="dxa" w:w="2376"/>
            <w:vAlign w:val="center"/>
          </w:tcPr>
          <w:p>
            <w:pPr>
              <w:spacing w:before="0" w:after="0" w:line="240" w:lineRule="auto"/>
              <w:jc w:val="left"/>
            </w:pPr>
            <w:r/>
            <w:r>
              <w:rPr>
                <w:rFonts w:ascii="Calibri" w:hAnsi="Calibri" w:eastAsia="Calibri"/>
                <w:b w:val="0"/>
                <w:color w:val="1F2933"/>
                <w:sz w:val="18"/>
              </w:rPr>
              <w:t>Reproduce hiện tại</w:t>
            </w:r>
          </w:p>
        </w:tc>
        <w:tc>
          <w:tcPr>
            <w:tcW w:type="dxa" w:w="1224"/>
            <w:vAlign w:val="center"/>
          </w:tcPr>
          <w:p>
            <w:pPr>
              <w:spacing w:before="0" w:after="0" w:line="240" w:lineRule="auto"/>
              <w:jc w:val="left"/>
            </w:pPr>
            <w:r/>
            <w:r>
              <w:rPr>
                <w:rFonts w:ascii="Calibri" w:hAnsi="Calibri" w:eastAsia="Calibri"/>
                <w:b w:val="0"/>
                <w:color w:val="1F2933"/>
                <w:sz w:val="18"/>
              </w:rPr>
              <w:t>Initialized</w:t>
            </w:r>
          </w:p>
        </w:tc>
        <w:tc>
          <w:tcPr>
            <w:tcW w:type="dxa" w:w="1008"/>
            <w:vAlign w:val="center"/>
          </w:tcPr>
          <w:p>
            <w:pPr>
              <w:spacing w:before="0" w:after="0" w:line="240" w:lineRule="auto"/>
              <w:jc w:val="left"/>
            </w:pPr>
            <w:r/>
            <w:r>
              <w:rPr>
                <w:rFonts w:ascii="Calibri" w:hAnsi="Calibri" w:eastAsia="Calibri"/>
                <w:b w:val="0"/>
                <w:color w:val="1F2933"/>
                <w:sz w:val="18"/>
              </w:rPr>
              <w:t>0</w:t>
            </w:r>
          </w:p>
        </w:tc>
        <w:tc>
          <w:tcPr>
            <w:tcW w:type="dxa" w:w="1008"/>
            <w:vAlign w:val="center"/>
          </w:tcPr>
          <w:p>
            <w:pPr>
              <w:spacing w:before="0" w:after="0" w:line="240" w:lineRule="auto"/>
              <w:jc w:val="left"/>
            </w:pPr>
            <w:r/>
            <w:r>
              <w:rPr>
                <w:rFonts w:ascii="Calibri" w:hAnsi="Calibri" w:eastAsia="Calibri"/>
                <w:b w:val="0"/>
                <w:color w:val="1F2933"/>
                <w:sz w:val="18"/>
              </w:rPr>
              <w:t>38</w:t>
            </w:r>
          </w:p>
        </w:tc>
        <w:tc>
          <w:tcPr>
            <w:tcW w:type="dxa" w:w="1152"/>
            <w:vAlign w:val="center"/>
          </w:tcPr>
          <w:p>
            <w:pPr>
              <w:spacing w:before="0" w:after="0" w:line="240" w:lineRule="auto"/>
              <w:jc w:val="left"/>
            </w:pPr>
            <w:r/>
            <w:r>
              <w:rPr>
                <w:rFonts w:ascii="Calibri" w:hAnsi="Calibri" w:eastAsia="Calibri"/>
                <w:b w:val="0"/>
                <w:color w:val="1F2933"/>
                <w:sz w:val="18"/>
              </w:rPr>
              <w:t>0,35</w:t>
            </w:r>
          </w:p>
        </w:tc>
        <w:tc>
          <w:tcPr>
            <w:tcW w:type="dxa" w:w="2592"/>
            <w:vAlign w:val="center"/>
          </w:tcPr>
          <w:p>
            <w:pPr>
              <w:spacing w:before="0" w:after="0" w:line="240" w:lineRule="auto"/>
              <w:jc w:val="left"/>
            </w:pPr>
            <w:r/>
            <w:r>
              <w:rPr>
                <w:rFonts w:ascii="Calibri" w:hAnsi="Calibri" w:eastAsia="Calibri"/>
                <w:b w:val="0"/>
                <w:color w:val="1F2933"/>
                <w:sz w:val="18"/>
              </w:rPr>
              <w:t>Chưa thống kê</w:t>
            </w:r>
          </w:p>
        </w:tc>
      </w:tr>
      <w:tr>
        <w:tc>
          <w:tcPr>
            <w:tcW w:type="dxa" w:w="2376"/>
            <w:shd w:fill="EEF4FA"/>
            <w:vAlign w:val="center"/>
          </w:tcPr>
          <w:p>
            <w:pPr>
              <w:spacing w:before="0" w:after="0" w:line="240" w:lineRule="auto"/>
              <w:jc w:val="left"/>
            </w:pPr>
            <w:r/>
            <w:r>
              <w:rPr>
                <w:rFonts w:ascii="Calibri" w:hAnsi="Calibri" w:eastAsia="Calibri"/>
                <w:b w:val="0"/>
                <w:color w:val="1F2933"/>
                <w:sz w:val="18"/>
              </w:rPr>
              <w:t>Reproduce hiện tại</w:t>
            </w:r>
          </w:p>
        </w:tc>
        <w:tc>
          <w:tcPr>
            <w:tcW w:type="dxa" w:w="1224"/>
            <w:shd w:fill="EEF4FA"/>
            <w:vAlign w:val="center"/>
          </w:tcPr>
          <w:p>
            <w:pPr>
              <w:spacing w:before="0" w:after="0" w:line="240" w:lineRule="auto"/>
              <w:jc w:val="left"/>
            </w:pPr>
            <w:r/>
            <w:r>
              <w:rPr>
                <w:rFonts w:ascii="Calibri" w:hAnsi="Calibri" w:eastAsia="Calibri"/>
                <w:b w:val="0"/>
                <w:color w:val="1F2933"/>
                <w:sz w:val="18"/>
              </w:rPr>
              <w:t>Checkpoint</w:t>
            </w:r>
          </w:p>
        </w:tc>
        <w:tc>
          <w:tcPr>
            <w:tcW w:type="dxa" w:w="1008"/>
            <w:shd w:fill="EEF4FA"/>
            <w:vAlign w:val="center"/>
          </w:tcPr>
          <w:p>
            <w:pPr>
              <w:spacing w:before="0" w:after="0" w:line="240" w:lineRule="auto"/>
              <w:jc w:val="left"/>
            </w:pPr>
            <w:r/>
            <w:r>
              <w:rPr>
                <w:rFonts w:ascii="Calibri" w:hAnsi="Calibri" w:eastAsia="Calibri"/>
                <w:b w:val="0"/>
                <w:color w:val="1F2933"/>
                <w:sz w:val="18"/>
              </w:rPr>
              <w:t>38</w:t>
            </w:r>
          </w:p>
        </w:tc>
        <w:tc>
          <w:tcPr>
            <w:tcW w:type="dxa" w:w="1008"/>
            <w:shd w:fill="EEF4FA"/>
            <w:vAlign w:val="center"/>
          </w:tcPr>
          <w:p>
            <w:pPr>
              <w:spacing w:before="0" w:after="0" w:line="240" w:lineRule="auto"/>
              <w:jc w:val="left"/>
            </w:pPr>
            <w:r/>
            <w:r>
              <w:rPr>
                <w:rFonts w:ascii="Calibri" w:hAnsi="Calibri" w:eastAsia="Calibri"/>
                <w:b w:val="0"/>
                <w:color w:val="1F2933"/>
                <w:sz w:val="18"/>
              </w:rPr>
              <w:t>38</w:t>
            </w:r>
          </w:p>
        </w:tc>
        <w:tc>
          <w:tcPr>
            <w:tcW w:type="dxa" w:w="1152"/>
            <w:shd w:fill="EEF4FA"/>
            <w:vAlign w:val="center"/>
          </w:tcPr>
          <w:p>
            <w:pPr>
              <w:spacing w:before="0" w:after="0" w:line="240" w:lineRule="auto"/>
              <w:jc w:val="left"/>
            </w:pPr>
            <w:r/>
            <w:r>
              <w:rPr>
                <w:rFonts w:ascii="Calibri" w:hAnsi="Calibri" w:eastAsia="Calibri"/>
                <w:b w:val="0"/>
                <w:color w:val="1F2933"/>
                <w:sz w:val="18"/>
              </w:rPr>
              <w:t>0,56</w:t>
            </w:r>
          </w:p>
        </w:tc>
        <w:tc>
          <w:tcPr>
            <w:tcW w:type="dxa" w:w="2592"/>
            <w:shd w:fill="EEF4FA"/>
            <w:vAlign w:val="center"/>
          </w:tcPr>
          <w:p>
            <w:pPr>
              <w:spacing w:before="0" w:after="0" w:line="240" w:lineRule="auto"/>
              <w:jc w:val="left"/>
            </w:pPr>
            <w:r/>
            <w:r>
              <w:rPr>
                <w:rFonts w:ascii="Calibri" w:hAnsi="Calibri" w:eastAsia="Calibri"/>
                <w:b w:val="0"/>
                <w:color w:val="1F2933"/>
                <w:sz w:val="18"/>
              </w:rPr>
              <w:t>Chưa thống kê</w:t>
            </w:r>
          </w:p>
        </w:tc>
      </w:tr>
    </w:tbl>
    <w:p>
      <w:pPr>
        <w:spacing w:before="0" w:after="80" w:line="276" w:lineRule="auto"/>
      </w:pPr>
    </w:p>
    <w:p>
      <w:pPr>
        <w:spacing w:before="0" w:after="120" w:line="276" w:lineRule="auto"/>
      </w:pPr>
      <w:r>
        <w:rPr>
          <w:rFonts w:ascii="Calibri" w:hAnsi="Calibri" w:eastAsia="Calibri"/>
          <w:b w:val="0"/>
          <w:i/>
          <w:color w:val="5B6573"/>
          <w:sz w:val="18"/>
        </w:rPr>
        <w:t>Bảng 2. Pilot hiện tại dùng tập train để đánh giá checkpoint; vì vậy 0,56 chỉ là tín hiệu pipeline học được trên dữ liệu đã thấy, không phải ước lượng generalization.</w:t>
      </w:r>
    </w:p>
    <w:tbl>
      <w:tblPr>
        <w:tblStyle w:val="TableGrid"/>
        <w:tblW w:type="dxa" w:w="9360"/>
        <w:jc w:val="left"/>
        <w:tblLook w:firstColumn="1" w:firstRow="1" w:lastColumn="0" w:lastRow="0" w:noHBand="0" w:noVBand="1" w:val="04A0"/>
        <w:tblInd w:w="180" w:type="dxa"/>
        <w:tblLayout w:type="fixed"/>
      </w:tblPr>
      <w:tblGrid>
        <w:gridCol w:w="9360"/>
      </w:tblGrid>
      <w:tr>
        <w:tc>
          <w:tcPr>
            <w:tcW w:type="dxa" w:w="9360"/>
            <w:tcMar>
              <w:top w:w="130" w:type="dxa"/>
              <w:start w:w="180" w:type="dxa"/>
              <w:bottom w:w="130" w:type="dxa"/>
              <w:end w:w="180" w:type="dxa"/>
            </w:tcMar>
            <w:shd w:fill="FFF6E3"/>
          </w:tcPr>
          <w:p>
            <w:pPr>
              <w:spacing w:before="0" w:after="60" w:line="264" w:lineRule="auto"/>
            </w:pPr>
            <w:r/>
            <w:r>
              <w:rPr>
                <w:rFonts w:ascii="Calibri" w:hAnsi="Calibri" w:eastAsia="Calibri"/>
                <w:b/>
                <w:color w:val="17365D"/>
                <w:sz w:val="22"/>
              </w:rPr>
              <w:t>Lưu ý về so sánh với paper</w:t>
            </w:r>
          </w:p>
          <w:p>
            <w:pPr>
              <w:spacing w:before="0" w:after="0" w:line="276" w:lineRule="auto"/>
            </w:pPr>
            <w:r>
              <w:rPr>
                <w:rFonts w:ascii="Calibri" w:hAnsi="Calibri" w:eastAsia="Calibri"/>
                <w:color w:val="1F2933"/>
                <w:sz w:val="20"/>
              </w:rPr>
              <w:t>Giá trị 0,56 của checkpoint trùng mức 0,5600 được ghi cho Puppeteer initialized trong slide tổng hợp, nhưng hai số này không nên được so sánh trực tiếp. Khác biệt reward model, LLM trong agent pool, cỡ mẫu và việc eval trùng tập train đều có thể chi phối kết quả.</w:t>
            </w:r>
          </w:p>
        </w:tc>
      </w:tr>
    </w:tbl>
    <w:p>
      <w:pPr>
        <w:spacing w:before="0" w:after="20" w:line="276" w:lineRule="auto"/>
      </w:pPr>
    </w:p>
    <w:p>
      <w:pPr>
        <w:pStyle w:val="Heading1"/>
        <w:keepNext/>
      </w:pPr>
      <w:r>
        <w:t>3. Các điểm yếu kỹ thuật đã xác định</w:t>
      </w:r>
    </w:p>
    <w:p>
      <w:pPr>
        <w:pStyle w:val="Heading2"/>
        <w:keepNext/>
      </w:pPr>
      <w:r>
        <w:t>3.1. Policy phụ thuộc fixed agent slots</w:t>
      </w:r>
    </w:p>
    <w:p>
      <w:pPr>
        <w:spacing w:before="0" w:after="160" w:line="276" w:lineRule="auto"/>
      </w:pPr>
      <w:r>
        <w:rPr>
          <w:rFonts w:ascii="Calibri" w:hAnsi="Calibri" w:eastAsia="Calibri"/>
          <w:b w:val="0"/>
          <w:i w:val="0"/>
          <w:color w:val="1F2933"/>
        </w:rPr>
        <w:t>Trong implementation hiện tại, output neuron thứ i của MLP được map trực tiếp đến agent thứ i trong file personas. Thêm hoặc xóa agent làm output dimension của checkpoint không khớp; nếu chỉ đổi thứ tự personas và giữ nguyên số agent, code vẫn có thể chạy nhưng ý nghĩa của các logits bị map sang agent khác. Đây là giới hạn cốt lõi khi muốn thay đổi team composition.</w:t>
      </w:r>
    </w:p>
    <w:p>
      <w:pPr>
        <w:pStyle w:val="Heading2"/>
        <w:keepNext/>
      </w:pPr>
      <w:r>
        <w:t>3.2. Không dừng sớm khi đã có đáp án hợp lệ</w:t>
      </w:r>
    </w:p>
    <w:p>
      <w:pPr>
        <w:spacing w:before="0" w:after="160" w:line="276" w:lineRule="auto"/>
      </w:pPr>
      <w:r>
        <w:rPr>
          <w:rFonts w:ascii="Calibri" w:hAnsi="Calibri" w:eastAsia="Calibri"/>
          <w:b w:val="0"/>
          <w:i w:val="0"/>
          <w:color w:val="1F2933"/>
        </w:rPr>
        <w:t>Một non-terminator có thể sinh FINAL ANSWER nhưng path chỉ dừng khi policy chọn TerminatorAgent hoặc đạt max_step_num. Hệ quả là hệ thống vẫn gọi thêm agent, tăng token cost, tăng số step/path và có nguy cơ làm lời giải đúng bị thay đổi.</w:t>
      </w:r>
    </w:p>
    <w:p>
      <w:pPr>
        <w:pStyle w:val="Heading2"/>
        <w:keepNext/>
      </w:pPr>
      <w:r>
        <w:t>3.3. Prompt chưa thể hiện rõ cơ chế phối hợp</w:t>
      </w:r>
    </w:p>
    <w:p>
      <w:pPr>
        <w:spacing w:before="0" w:after="160" w:line="276" w:lineRule="auto"/>
      </w:pPr>
      <w:r>
        <w:rPr>
          <w:rFonts w:ascii="Calibri" w:hAnsi="Calibri" w:eastAsia="Calibri"/>
          <w:b w:val="0"/>
          <w:i w:val="0"/>
          <w:color w:val="1F2933"/>
        </w:rPr>
        <w:t>Prompt hiện nay chủ yếu cung cấp role riêng, task hiện tại và output trước đó. Agent không biết rõ agent pool còn lại, ranh giới trách nhiệm hay schema đầu ra phù hợp cho agent kế tiếp. Nhiều role như Planner, Reasoner, Reflect và Summarizer có thể cùng tự giải bài toán và trả FINAL ANSWER, gây duplicated reasoning thay vì specialization.</w:t>
      </w:r>
    </w:p>
    <w:p>
      <w:pPr>
        <w:pStyle w:val="Heading2"/>
        <w:keepNext/>
      </w:pPr>
      <w:r>
        <w:t>3.4. Measurement chưa đủ để đánh giá hiệu quả</w:t>
      </w:r>
    </w:p>
    <w:p>
      <w:pPr>
        <w:spacing w:before="0" w:after="160" w:line="276" w:lineRule="auto"/>
      </w:pPr>
      <w:r>
        <w:rPr>
          <w:rFonts w:ascii="Calibri" w:hAnsi="Calibri" w:eastAsia="Calibri"/>
          <w:b w:val="0"/>
          <w:i w:val="0"/>
          <w:color w:val="1F2933"/>
        </w:rPr>
        <w:t>Token cost, số agent kích hoạt, số reasoning step/path, latency và chất lượng trên tập held-out chưa được tổng hợp. Khi chưa có các chỉ số này, chưa thể xác định performance-cost trade-off hoặc hiệu quả thực sự của evolved policy.</w:t>
      </w:r>
    </w:p>
    <w:p>
      <w:pPr>
        <w:pStyle w:val="Heading1"/>
        <w:keepNext/>
      </w:pPr>
      <w:r>
        <w:t>4. Hướng cải tiến kỹ thuật</w:t>
      </w:r>
    </w:p>
    <w:tbl>
      <w:tblPr>
        <w:tblStyle w:val="TableGrid"/>
        <w:tblW w:type="dxa" w:w="9360"/>
        <w:jc w:val="left"/>
        <w:tblLook w:firstColumn="1" w:firstRow="1" w:lastColumn="0" w:lastRow="0" w:noHBand="0" w:noVBand="1" w:val="04A0"/>
        <w:tblInd w:w="120" w:type="dxa"/>
        <w:tblLayout w:type="fixed"/>
      </w:tblPr>
      <w:tblGrid>
        <w:gridCol w:w="2088"/>
        <w:gridCol w:w="4032"/>
        <w:gridCol w:w="3240"/>
      </w:tblGrid>
      <w:tr>
        <w:trPr>
          <w:tblHeader w:val="true"/>
        </w:trPr>
        <w:tc>
          <w:tcPr>
            <w:tcW w:type="dxa" w:w="2088"/>
            <w:tcMar>
              <w:top w:w="80" w:type="dxa"/>
              <w:start w:w="120" w:type="dxa"/>
              <w:bottom w:w="80" w:type="dxa"/>
              <w:end w:w="120" w:type="dxa"/>
            </w:tcMar>
            <w:shd w:fill="17365D"/>
            <w:vAlign w:val="center"/>
          </w:tcPr>
          <w:p>
            <w:pPr>
              <w:spacing w:before="0" w:after="0" w:line="240" w:lineRule="auto"/>
              <w:jc w:val="center"/>
            </w:pPr>
            <w:r/>
            <w:r>
              <w:rPr>
                <w:rFonts w:ascii="Calibri" w:hAnsi="Calibri" w:eastAsia="Calibri"/>
                <w:b/>
                <w:color w:val="FFFFFF"/>
                <w:sz w:val="17"/>
              </w:rPr>
              <w:t>Hướng</w:t>
            </w:r>
          </w:p>
        </w:tc>
        <w:tc>
          <w:tcPr>
            <w:tcW w:type="dxa" w:w="4032"/>
            <w:tcMar>
              <w:top w:w="80" w:type="dxa"/>
              <w:start w:w="120" w:type="dxa"/>
              <w:bottom w:w="80" w:type="dxa"/>
              <w:end w:w="120" w:type="dxa"/>
            </w:tcMar>
            <w:shd w:fill="17365D"/>
            <w:vAlign w:val="center"/>
          </w:tcPr>
          <w:p>
            <w:pPr>
              <w:spacing w:before="0" w:after="0" w:line="240" w:lineRule="auto"/>
              <w:jc w:val="center"/>
            </w:pPr>
            <w:r/>
            <w:r>
              <w:rPr>
                <w:rFonts w:ascii="Calibri" w:hAnsi="Calibri" w:eastAsia="Calibri"/>
                <w:b/>
                <w:color w:val="FFFFFF"/>
                <w:sz w:val="17"/>
              </w:rPr>
              <w:t>Thiết kế đề xuất</w:t>
            </w:r>
          </w:p>
        </w:tc>
        <w:tc>
          <w:tcPr>
            <w:tcW w:type="dxa" w:w="3240"/>
            <w:tcMar>
              <w:top w:w="80" w:type="dxa"/>
              <w:start w:w="120" w:type="dxa"/>
              <w:bottom w:w="80" w:type="dxa"/>
              <w:end w:w="120" w:type="dxa"/>
            </w:tcMar>
            <w:shd w:fill="17365D"/>
            <w:vAlign w:val="center"/>
          </w:tcPr>
          <w:p>
            <w:pPr>
              <w:spacing w:before="0" w:after="0" w:line="240" w:lineRule="auto"/>
              <w:jc w:val="center"/>
            </w:pPr>
            <w:r/>
            <w:r>
              <w:rPr>
                <w:rFonts w:ascii="Calibri" w:hAnsi="Calibri" w:eastAsia="Calibri"/>
                <w:b/>
                <w:color w:val="FFFFFF"/>
                <w:sz w:val="17"/>
              </w:rPr>
              <w:t>Giả thuyết cần kiểm chứng</w:t>
            </w:r>
          </w:p>
        </w:tc>
      </w:tr>
      <w:tr>
        <w:tc>
          <w:tcPr>
            <w:tcW w:type="dxa" w:w="2088"/>
            <w:vAlign w:val="center"/>
          </w:tcPr>
          <w:p>
            <w:pPr>
              <w:spacing w:before="0" w:after="0" w:line="240" w:lineRule="auto"/>
              <w:jc w:val="left"/>
            </w:pPr>
            <w:r/>
            <w:r>
              <w:rPr>
                <w:rFonts w:ascii="Calibri" w:hAnsi="Calibri" w:eastAsia="Calibri"/>
                <w:b w:val="0"/>
                <w:color w:val="1F2933"/>
                <w:sz w:val="17"/>
              </w:rPr>
              <w:t>Capability-aware orchestrator</w:t>
            </w:r>
          </w:p>
        </w:tc>
        <w:tc>
          <w:tcPr>
            <w:tcW w:type="dxa" w:w="4032"/>
            <w:vAlign w:val="center"/>
          </w:tcPr>
          <w:p>
            <w:pPr>
              <w:spacing w:before="0" w:after="0" w:line="240" w:lineRule="auto"/>
              <w:jc w:val="left"/>
            </w:pPr>
            <w:r/>
            <w:r>
              <w:rPr>
                <w:rFonts w:ascii="Calibri" w:hAnsi="Calibri" w:eastAsia="Calibri"/>
                <w:b w:val="0"/>
                <w:color w:val="1F2933"/>
                <w:sz w:val="17"/>
              </w:rPr>
              <w:t>Chấm điểm từng agent bằng f(state, agent embedding); profile mã hóa model, role, tools, cost, reliability và lịch sử đóng góp.</w:t>
            </w:r>
          </w:p>
        </w:tc>
        <w:tc>
          <w:tcPr>
            <w:tcW w:type="dxa" w:w="3240"/>
            <w:vAlign w:val="center"/>
          </w:tcPr>
          <w:p>
            <w:pPr>
              <w:spacing w:before="0" w:after="0" w:line="240" w:lineRule="auto"/>
              <w:jc w:val="left"/>
            </w:pPr>
            <w:r/>
            <w:r>
              <w:rPr>
                <w:rFonts w:ascii="Calibri" w:hAnsi="Calibri" w:eastAsia="Calibri"/>
                <w:b w:val="0"/>
                <w:color w:val="1F2933"/>
                <w:sz w:val="17"/>
              </w:rPr>
              <w:t>Thêm/xóa/thay agent mà không cần MLP output_dim cố định; chọn teammate phù hợp hơn.</w:t>
            </w:r>
          </w:p>
        </w:tc>
      </w:tr>
      <w:tr>
        <w:tc>
          <w:tcPr>
            <w:tcW w:type="dxa" w:w="2088"/>
            <w:shd w:fill="EEF4FA"/>
            <w:vAlign w:val="center"/>
          </w:tcPr>
          <w:p>
            <w:pPr>
              <w:spacing w:before="0" w:after="0" w:line="240" w:lineRule="auto"/>
              <w:jc w:val="left"/>
            </w:pPr>
            <w:r/>
            <w:r>
              <w:rPr>
                <w:rFonts w:ascii="Calibri" w:hAnsi="Calibri" w:eastAsia="Calibri"/>
                <w:b w:val="0"/>
                <w:color w:val="1F2933"/>
                <w:sz w:val="17"/>
              </w:rPr>
              <w:t>Online capability adaptation</w:t>
            </w:r>
          </w:p>
        </w:tc>
        <w:tc>
          <w:tcPr>
            <w:tcW w:type="dxa" w:w="4032"/>
            <w:shd w:fill="EEF4FA"/>
            <w:vAlign w:val="center"/>
          </w:tcPr>
          <w:p>
            <w:pPr>
              <w:spacing w:before="0" w:after="0" w:line="240" w:lineRule="auto"/>
              <w:jc w:val="left"/>
            </w:pPr>
            <w:r/>
            <w:r>
              <w:rPr>
                <w:rFonts w:ascii="Calibri" w:hAnsi="Calibri" w:eastAsia="Calibri"/>
                <w:b w:val="0"/>
                <w:color w:val="1F2933"/>
                <w:sz w:val="17"/>
              </w:rPr>
              <w:t>Cập nhật profile từ metadata, diagnostic task hoặc các tương tác đầu tiên với agent mới.</w:t>
            </w:r>
          </w:p>
        </w:tc>
        <w:tc>
          <w:tcPr>
            <w:tcW w:type="dxa" w:w="3240"/>
            <w:shd w:fill="EEF4FA"/>
            <w:vAlign w:val="center"/>
          </w:tcPr>
          <w:p>
            <w:pPr>
              <w:spacing w:before="0" w:after="0" w:line="240" w:lineRule="auto"/>
              <w:jc w:val="left"/>
            </w:pPr>
            <w:r/>
            <w:r>
              <w:rPr>
                <w:rFonts w:ascii="Calibri" w:hAnsi="Calibri" w:eastAsia="Calibri"/>
                <w:b w:val="0"/>
                <w:color w:val="1F2933"/>
                <w:sz w:val="17"/>
              </w:rPr>
              <w:t>Có thể khai thác unseen teammate mà không train lại toàn bộ policy.</w:t>
            </w:r>
          </w:p>
        </w:tc>
      </w:tr>
      <w:tr>
        <w:tc>
          <w:tcPr>
            <w:tcW w:type="dxa" w:w="2088"/>
            <w:vAlign w:val="center"/>
          </w:tcPr>
          <w:p>
            <w:pPr>
              <w:spacing w:before="0" w:after="0" w:line="240" w:lineRule="auto"/>
              <w:jc w:val="left"/>
            </w:pPr>
            <w:r/>
            <w:r>
              <w:rPr>
                <w:rFonts w:ascii="Calibri" w:hAnsi="Calibri" w:eastAsia="Calibri"/>
                <w:b w:val="0"/>
                <w:color w:val="1F2933"/>
                <w:sz w:val="17"/>
              </w:rPr>
              <w:t>Permutation-invariant pool encoder</w:t>
            </w:r>
          </w:p>
        </w:tc>
        <w:tc>
          <w:tcPr>
            <w:tcW w:type="dxa" w:w="4032"/>
            <w:vAlign w:val="center"/>
          </w:tcPr>
          <w:p>
            <w:pPr>
              <w:spacing w:before="0" w:after="0" w:line="240" w:lineRule="auto"/>
              <w:jc w:val="left"/>
            </w:pPr>
            <w:r/>
            <w:r>
              <w:rPr>
                <w:rFonts w:ascii="Calibri" w:hAnsi="Calibri" w:eastAsia="Calibri"/>
                <w:b w:val="0"/>
                <w:color w:val="1F2933"/>
                <w:sz w:val="17"/>
              </w:rPr>
              <w:t>Aggregate agent pool như một tập bằng attention, DeepSets hoặc GNN; không dùng vị trí trong personas làm định danh chính.</w:t>
            </w:r>
          </w:p>
        </w:tc>
        <w:tc>
          <w:tcPr>
            <w:tcW w:type="dxa" w:w="3240"/>
            <w:vAlign w:val="center"/>
          </w:tcPr>
          <w:p>
            <w:pPr>
              <w:spacing w:before="0" w:after="0" w:line="240" w:lineRule="auto"/>
              <w:jc w:val="left"/>
            </w:pPr>
            <w:r/>
            <w:r>
              <w:rPr>
                <w:rFonts w:ascii="Calibri" w:hAnsi="Calibri" w:eastAsia="Calibri"/>
                <w:b w:val="0"/>
                <w:color w:val="1F2933"/>
                <w:sz w:val="17"/>
              </w:rPr>
              <w:t>Ổn định khi shuffle personas hoặc đổi team size.</w:t>
            </w:r>
          </w:p>
        </w:tc>
      </w:tr>
      <w:tr>
        <w:tc>
          <w:tcPr>
            <w:tcW w:type="dxa" w:w="2088"/>
            <w:shd w:fill="EEF4FA"/>
            <w:vAlign w:val="center"/>
          </w:tcPr>
          <w:p>
            <w:pPr>
              <w:spacing w:before="0" w:after="0" w:line="240" w:lineRule="auto"/>
              <w:jc w:val="left"/>
            </w:pPr>
            <w:r/>
            <w:r>
              <w:rPr>
                <w:rFonts w:ascii="Calibri" w:hAnsi="Calibri" w:eastAsia="Calibri"/>
                <w:b w:val="0"/>
                <w:color w:val="1F2933"/>
                <w:sz w:val="17"/>
              </w:rPr>
              <w:t>Early-stop / Answer Gate</w:t>
            </w:r>
          </w:p>
        </w:tc>
        <w:tc>
          <w:tcPr>
            <w:tcW w:type="dxa" w:w="4032"/>
            <w:shd w:fill="EEF4FA"/>
            <w:vAlign w:val="center"/>
          </w:tcPr>
          <w:p>
            <w:pPr>
              <w:spacing w:before="0" w:after="0" w:line="240" w:lineRule="auto"/>
              <w:jc w:val="left"/>
            </w:pPr>
            <w:r/>
            <w:r>
              <w:rPr>
                <w:rFonts w:ascii="Calibri" w:hAnsi="Calibri" w:eastAsia="Calibri"/>
                <w:b w:val="0"/>
                <w:color w:val="1F2933"/>
                <w:sz w:val="17"/>
              </w:rPr>
              <w:t>Verifier kiểm tra format, tính hợp lệ và confidence của lời giải trước khi gọi bước tiếp theo.</w:t>
            </w:r>
          </w:p>
        </w:tc>
        <w:tc>
          <w:tcPr>
            <w:tcW w:type="dxa" w:w="3240"/>
            <w:shd w:fill="EEF4FA"/>
            <w:vAlign w:val="center"/>
          </w:tcPr>
          <w:p>
            <w:pPr>
              <w:spacing w:before="0" w:after="0" w:line="240" w:lineRule="auto"/>
              <w:jc w:val="left"/>
            </w:pPr>
            <w:r/>
            <w:r>
              <w:rPr>
                <w:rFonts w:ascii="Calibri" w:hAnsi="Calibri" w:eastAsia="Calibri"/>
                <w:b w:val="0"/>
                <w:color w:val="1F2933"/>
                <w:sz w:val="17"/>
              </w:rPr>
              <w:t>Giảm token/step mà không làm giảm accuracy; đo cả stop đúng và stop sai.</w:t>
            </w:r>
          </w:p>
        </w:tc>
      </w:tr>
      <w:tr>
        <w:tc>
          <w:tcPr>
            <w:tcW w:type="dxa" w:w="2088"/>
            <w:vAlign w:val="center"/>
          </w:tcPr>
          <w:p>
            <w:pPr>
              <w:spacing w:before="0" w:after="0" w:line="240" w:lineRule="auto"/>
              <w:jc w:val="left"/>
            </w:pPr>
            <w:r/>
            <w:r>
              <w:rPr>
                <w:rFonts w:ascii="Calibri" w:hAnsi="Calibri" w:eastAsia="Calibri"/>
                <w:b w:val="0"/>
                <w:color w:val="1F2933"/>
                <w:sz w:val="17"/>
              </w:rPr>
              <w:t>MAS-aware prompts</w:t>
            </w:r>
          </w:p>
        </w:tc>
        <w:tc>
          <w:tcPr>
            <w:tcW w:type="dxa" w:w="4032"/>
            <w:vAlign w:val="center"/>
          </w:tcPr>
          <w:p>
            <w:pPr>
              <w:spacing w:before="0" w:after="0" w:line="240" w:lineRule="auto"/>
              <w:jc w:val="left"/>
            </w:pPr>
            <w:r/>
            <w:r>
              <w:rPr>
                <w:rFonts w:ascii="Calibri" w:hAnsi="Calibri" w:eastAsia="Calibri"/>
                <w:b w:val="0"/>
                <w:color w:val="1F2933"/>
                <w:sz w:val="17"/>
              </w:rPr>
              <w:t>Nêu role, giới hạn nhiệm vụ, thông tin về pool cần thiết và output schema.</w:t>
            </w:r>
          </w:p>
        </w:tc>
        <w:tc>
          <w:tcPr>
            <w:tcW w:type="dxa" w:w="3240"/>
            <w:vAlign w:val="center"/>
          </w:tcPr>
          <w:p>
            <w:pPr>
              <w:spacing w:before="0" w:after="0" w:line="240" w:lineRule="auto"/>
              <w:jc w:val="left"/>
            </w:pPr>
            <w:r/>
            <w:r>
              <w:rPr>
                <w:rFonts w:ascii="Calibri" w:hAnsi="Calibri" w:eastAsia="Calibri"/>
                <w:b w:val="0"/>
                <w:color w:val="1F2933"/>
                <w:sz w:val="17"/>
              </w:rPr>
              <w:t>Tăng specialization; giảm cuộc gọi trùng lặp hoặc đóng góp thấp.</w:t>
            </w:r>
          </w:p>
        </w:tc>
      </w:tr>
      <w:tr>
        <w:tc>
          <w:tcPr>
            <w:tcW w:type="dxa" w:w="2088"/>
            <w:shd w:fill="EEF4FA"/>
            <w:vAlign w:val="center"/>
          </w:tcPr>
          <w:p>
            <w:pPr>
              <w:spacing w:before="0" w:after="0" w:line="240" w:lineRule="auto"/>
              <w:jc w:val="left"/>
            </w:pPr>
            <w:r/>
            <w:r>
              <w:rPr>
                <w:rFonts w:ascii="Calibri" w:hAnsi="Calibri" w:eastAsia="Calibri"/>
                <w:b w:val="0"/>
                <w:color w:val="1F2933"/>
                <w:sz w:val="17"/>
              </w:rPr>
              <w:t>Light topology adaptation</w:t>
            </w:r>
          </w:p>
        </w:tc>
        <w:tc>
          <w:tcPr>
            <w:tcW w:type="dxa" w:w="4032"/>
            <w:shd w:fill="EEF4FA"/>
            <w:vAlign w:val="center"/>
          </w:tcPr>
          <w:p>
            <w:pPr>
              <w:spacing w:before="0" w:after="0" w:line="240" w:lineRule="auto"/>
              <w:jc w:val="left"/>
            </w:pPr>
            <w:r/>
            <w:r>
              <w:rPr>
                <w:rFonts w:ascii="Calibri" w:hAnsi="Calibri" w:eastAsia="Calibri"/>
                <w:b w:val="0"/>
                <w:color w:val="1F2933"/>
                <w:sz w:val="17"/>
              </w:rPr>
              <w:t>Sau khi capability routing ổn định, cho phép điều chỉnh nhẹ agent/edge được kích hoạt theo state.</w:t>
            </w:r>
          </w:p>
        </w:tc>
        <w:tc>
          <w:tcPr>
            <w:tcW w:type="dxa" w:w="3240"/>
            <w:shd w:fill="EEF4FA"/>
            <w:vAlign w:val="center"/>
          </w:tcPr>
          <w:p>
            <w:pPr>
              <w:spacing w:before="0" w:after="0" w:line="240" w:lineRule="auto"/>
              <w:jc w:val="left"/>
            </w:pPr>
            <w:r/>
            <w:r>
              <w:rPr>
                <w:rFonts w:ascii="Calibri" w:hAnsi="Calibri" w:eastAsia="Calibri"/>
                <w:b w:val="0"/>
                <w:color w:val="1F2933"/>
                <w:sz w:val="17"/>
              </w:rPr>
              <w:t>Cải thiện phối hợp mà không tạo topology overfitting.</w:t>
            </w:r>
          </w:p>
        </w:tc>
      </w:tr>
    </w:tbl>
    <w:p>
      <w:pPr>
        <w:spacing w:before="0" w:after="80" w:line="276" w:lineRule="auto"/>
      </w:pPr>
    </w:p>
    <w:p>
      <w:pPr>
        <w:spacing w:before="0" w:after="160" w:line="276" w:lineRule="auto"/>
      </w:pPr>
      <w:r>
        <w:rPr>
          <w:rFonts w:ascii="Calibri" w:hAnsi="Calibri" w:eastAsia="Calibri"/>
          <w:b w:val="0"/>
          <w:i/>
          <w:color w:val="5B6573"/>
          <w:sz w:val="18"/>
        </w:rPr>
        <w:t>Bảng 3. Thứ tự ưu tiên: capability-aware scoring và protocol đánh giá trước; Answer Gate/MAS-aware prompts là các cải tiến hiệu quả chi phí; topology adaptation nên là biến thể mở rộng.</w:t>
      </w:r>
    </w:p>
    <w:p>
      <w:pPr>
        <w:pStyle w:val="Heading1"/>
        <w:keepNext/>
      </w:pPr>
      <w:r>
        <w:t>5. Kế hoạch thực nghiệm tiếp theo</w:t>
      </w:r>
    </w:p>
    <w:tbl>
      <w:tblPr>
        <w:tblStyle w:val="TableGrid"/>
        <w:tblW w:type="dxa" w:w="9360"/>
        <w:jc w:val="left"/>
        <w:tblLook w:firstColumn="1" w:firstRow="1" w:lastColumn="0" w:lastRow="0" w:noHBand="0" w:noVBand="1" w:val="04A0"/>
        <w:tblInd w:w="180" w:type="dxa"/>
        <w:tblLayout w:type="fixed"/>
      </w:tblPr>
      <w:tblGrid>
        <w:gridCol w:w="9360"/>
      </w:tblGrid>
      <w:tr>
        <w:tc>
          <w:tcPr>
            <w:tcW w:type="dxa" w:w="9360"/>
            <w:tcMar>
              <w:top w:w="130" w:type="dxa"/>
              <w:start w:w="180" w:type="dxa"/>
              <w:bottom w:w="130" w:type="dxa"/>
              <w:end w:w="180" w:type="dxa"/>
            </w:tcMar>
            <w:shd w:fill="EEF4FA"/>
          </w:tcPr>
          <w:p>
            <w:pPr>
              <w:spacing w:before="0" w:after="60" w:line="264" w:lineRule="auto"/>
            </w:pPr>
            <w:r/>
            <w:r>
              <w:rPr>
                <w:rFonts w:ascii="Calibri" w:hAnsi="Calibri" w:eastAsia="Calibri"/>
                <w:b/>
                <w:color w:val="17365D"/>
                <w:sz w:val="22"/>
              </w:rPr>
              <w:t>Nguyên tắc thiết kế</w:t>
            </w:r>
          </w:p>
          <w:p>
            <w:pPr>
              <w:spacing w:before="0" w:after="0" w:line="276" w:lineRule="auto"/>
            </w:pPr>
            <w:r>
              <w:rPr>
                <w:rFonts w:ascii="Calibri" w:hAnsi="Calibri" w:eastAsia="Calibri"/>
                <w:color w:val="1F2933"/>
                <w:sz w:val="20"/>
              </w:rPr>
              <w:t>Giữ task distribution cố định giữa train và test; chỉ thay team composition trong từng nhóm thí nghiệm. Nhờ vậy, performance gap phản ánh tốt hơn tác động của unseen teammate thay vì thay đổi độ khó của dataset.</w:t>
            </w:r>
          </w:p>
        </w:tc>
      </w:tr>
    </w:tbl>
    <w:p>
      <w:pPr>
        <w:spacing w:before="0" w:after="20" w:line="276" w:lineRule="auto"/>
      </w:pPr>
    </w:p>
    <w:p>
      <w:pPr>
        <w:pStyle w:val="Heading2"/>
        <w:keepNext/>
      </w:pPr>
      <w:r>
        <w:t>5.1. Giai đoạn 1 - Hoàn thiện baseline và measurement</w:t>
      </w:r>
    </w:p>
    <w:p>
      <w:pPr>
        <w:pStyle w:val="ListNumber"/>
        <w:spacing w:before="0" w:after="80" w:line="276" w:lineRule="auto"/>
      </w:pPr>
      <w:r>
        <w:t>Chạy lại initialized và checkpoint trên train/eval split tách biệt; lưu seed, checkpoint và danh sách sample cho từng run.</w:t>
      </w:r>
    </w:p>
    <w:p>
      <w:pPr>
        <w:pStyle w:val="ListNumber"/>
        <w:spacing w:before="0" w:after="80" w:line="276" w:lineRule="auto"/>
      </w:pPr>
      <w:r>
        <w:t>Ghi log chuẩn cho mỗi path: final answer, correctness, token input/output, cost, latency, số step, agent sequence và lý do dừng.</w:t>
      </w:r>
    </w:p>
    <w:p>
      <w:pPr>
        <w:pStyle w:val="ListNumber"/>
        <w:spacing w:before="0" w:after="80" w:line="276" w:lineRule="auto"/>
      </w:pPr>
      <w:r>
        <w:t>Mở rộng pilot theo tài nguyên A100, ít nhất có evaluation held-out và nhiều seed trước khi đối chiếu với paper.</w:t>
      </w:r>
    </w:p>
    <w:p>
      <w:pPr>
        <w:pStyle w:val="ListNumber"/>
        <w:spacing w:before="0" w:after="80" w:line="276" w:lineRule="auto"/>
      </w:pPr>
      <w:r>
        <w:t>Báo cáo accuracy cùng average token cost, số agent/path và reasoning steps; không chỉ báo cáo một final score.</w:t>
      </w:r>
    </w:p>
    <w:p>
      <w:pPr>
        <w:pStyle w:val="Heading2"/>
        <w:keepNext/>
      </w:pPr>
      <w:r>
        <w:t>5.2. Giai đoạn 2 - Protocol unseen-teammate generalization</w:t>
      </w:r>
    </w:p>
    <w:tbl>
      <w:tblPr>
        <w:tblStyle w:val="TableGrid"/>
        <w:tblW w:type="dxa" w:w="9360"/>
        <w:jc w:val="left"/>
        <w:tblLook w:firstColumn="1" w:firstRow="1" w:lastColumn="0" w:lastRow="0" w:noHBand="0" w:noVBand="1" w:val="04A0"/>
        <w:tblInd w:w="120" w:type="dxa"/>
        <w:tblLayout w:type="fixed"/>
      </w:tblPr>
      <w:tblGrid>
        <w:gridCol w:w="1800"/>
        <w:gridCol w:w="3600"/>
        <w:gridCol w:w="3960"/>
      </w:tblGrid>
      <w:tr>
        <w:trPr>
          <w:tblHeader w:val="true"/>
        </w:trPr>
        <w:tc>
          <w:tcPr>
            <w:tcW w:type="dxa" w:w="1800"/>
            <w:tcMar>
              <w:top w:w="80" w:type="dxa"/>
              <w:start w:w="120" w:type="dxa"/>
              <w:bottom w:w="80" w:type="dxa"/>
              <w:end w:w="120" w:type="dxa"/>
            </w:tcMar>
            <w:shd w:fill="17365D"/>
            <w:vAlign w:val="center"/>
          </w:tcPr>
          <w:p>
            <w:pPr>
              <w:spacing w:before="0" w:after="0" w:line="240" w:lineRule="auto"/>
              <w:jc w:val="center"/>
            </w:pPr>
            <w:r/>
            <w:r>
              <w:rPr>
                <w:rFonts w:ascii="Calibri" w:hAnsi="Calibri" w:eastAsia="Calibri"/>
                <w:b/>
                <w:color w:val="FFFFFF"/>
                <w:sz w:val="17"/>
              </w:rPr>
              <w:t>Setting</w:t>
            </w:r>
          </w:p>
        </w:tc>
        <w:tc>
          <w:tcPr>
            <w:tcW w:type="dxa" w:w="3600"/>
            <w:tcMar>
              <w:top w:w="80" w:type="dxa"/>
              <w:start w:w="120" w:type="dxa"/>
              <w:bottom w:w="80" w:type="dxa"/>
              <w:end w:w="120" w:type="dxa"/>
            </w:tcMar>
            <w:shd w:fill="17365D"/>
            <w:vAlign w:val="center"/>
          </w:tcPr>
          <w:p>
            <w:pPr>
              <w:spacing w:before="0" w:after="0" w:line="240" w:lineRule="auto"/>
              <w:jc w:val="center"/>
            </w:pPr>
            <w:r/>
            <w:r>
              <w:rPr>
                <w:rFonts w:ascii="Calibri" w:hAnsi="Calibri" w:eastAsia="Calibri"/>
                <w:b/>
                <w:color w:val="FFFFFF"/>
                <w:sz w:val="17"/>
              </w:rPr>
              <w:t>Thay đổi có chủ đích</w:t>
            </w:r>
          </w:p>
        </w:tc>
        <w:tc>
          <w:tcPr>
            <w:tcW w:type="dxa" w:w="3960"/>
            <w:tcMar>
              <w:top w:w="80" w:type="dxa"/>
              <w:start w:w="120" w:type="dxa"/>
              <w:bottom w:w="80" w:type="dxa"/>
              <w:end w:w="120" w:type="dxa"/>
            </w:tcMar>
            <w:shd w:fill="17365D"/>
            <w:vAlign w:val="center"/>
          </w:tcPr>
          <w:p>
            <w:pPr>
              <w:spacing w:before="0" w:after="0" w:line="240" w:lineRule="auto"/>
              <w:jc w:val="center"/>
            </w:pPr>
            <w:r/>
            <w:r>
              <w:rPr>
                <w:rFonts w:ascii="Calibri" w:hAnsi="Calibri" w:eastAsia="Calibri"/>
                <w:b/>
                <w:color w:val="FFFFFF"/>
                <w:sz w:val="17"/>
              </w:rPr>
              <w:t>Câu hỏi trả lời</w:t>
            </w:r>
          </w:p>
        </w:tc>
      </w:tr>
      <w:tr>
        <w:tc>
          <w:tcPr>
            <w:tcW w:type="dxa" w:w="1800"/>
            <w:vAlign w:val="center"/>
          </w:tcPr>
          <w:p>
            <w:pPr>
              <w:spacing w:before="0" w:after="0" w:line="240" w:lineRule="auto"/>
              <w:jc w:val="left"/>
            </w:pPr>
            <w:r/>
            <w:r>
              <w:rPr>
                <w:rFonts w:ascii="Calibri" w:hAnsi="Calibri" w:eastAsia="Calibri"/>
                <w:b w:val="0"/>
                <w:color w:val="1F2933"/>
                <w:sz w:val="17"/>
              </w:rPr>
              <w:t>Seen teammates</w:t>
            </w:r>
          </w:p>
        </w:tc>
        <w:tc>
          <w:tcPr>
            <w:tcW w:type="dxa" w:w="3600"/>
            <w:vAlign w:val="center"/>
          </w:tcPr>
          <w:p>
            <w:pPr>
              <w:spacing w:before="0" w:after="0" w:line="240" w:lineRule="auto"/>
              <w:jc w:val="left"/>
            </w:pPr>
            <w:r/>
            <w:r>
              <w:rPr>
                <w:rFonts w:ascii="Calibri" w:hAnsi="Calibri" w:eastAsia="Calibri"/>
                <w:b w:val="0"/>
                <w:color w:val="1F2933"/>
                <w:sz w:val="17"/>
              </w:rPr>
              <w:t>Train/test trên cùng tập model-role-tool; chỉ khác task instance.</w:t>
            </w:r>
          </w:p>
        </w:tc>
        <w:tc>
          <w:tcPr>
            <w:tcW w:type="dxa" w:w="3960"/>
            <w:vAlign w:val="center"/>
          </w:tcPr>
          <w:p>
            <w:pPr>
              <w:spacing w:before="0" w:after="0" w:line="240" w:lineRule="auto"/>
              <w:jc w:val="left"/>
            </w:pPr>
            <w:r/>
            <w:r>
              <w:rPr>
                <w:rFonts w:ascii="Calibri" w:hAnsi="Calibri" w:eastAsia="Calibri"/>
                <w:b w:val="0"/>
                <w:color w:val="1F2933"/>
                <w:sz w:val="17"/>
              </w:rPr>
              <w:t>Baseline performance khi không có partner shift.</w:t>
            </w:r>
          </w:p>
        </w:tc>
      </w:tr>
      <w:tr>
        <w:tc>
          <w:tcPr>
            <w:tcW w:type="dxa" w:w="1800"/>
            <w:shd w:fill="EEF4FA"/>
            <w:vAlign w:val="center"/>
          </w:tcPr>
          <w:p>
            <w:pPr>
              <w:spacing w:before="0" w:after="0" w:line="240" w:lineRule="auto"/>
              <w:jc w:val="left"/>
            </w:pPr>
            <w:r/>
            <w:r>
              <w:rPr>
                <w:rFonts w:ascii="Calibri" w:hAnsi="Calibri" w:eastAsia="Calibri"/>
                <w:b w:val="0"/>
                <w:color w:val="1F2933"/>
                <w:sz w:val="17"/>
              </w:rPr>
              <w:t>Unseen backbone</w:t>
            </w:r>
          </w:p>
        </w:tc>
        <w:tc>
          <w:tcPr>
            <w:tcW w:type="dxa" w:w="3600"/>
            <w:shd w:fill="EEF4FA"/>
            <w:vAlign w:val="center"/>
          </w:tcPr>
          <w:p>
            <w:pPr>
              <w:spacing w:before="0" w:after="0" w:line="240" w:lineRule="auto"/>
              <w:jc w:val="left"/>
            </w:pPr>
            <w:r/>
            <w:r>
              <w:rPr>
                <w:rFonts w:ascii="Calibri" w:hAnsi="Calibri" w:eastAsia="Calibri"/>
                <w:b w:val="0"/>
                <w:color w:val="1F2933"/>
                <w:sz w:val="17"/>
              </w:rPr>
              <w:t>Giữ lại một LLM backbone hoàn toàn khỏi train, rồi thêm ở test.</w:t>
            </w:r>
          </w:p>
        </w:tc>
        <w:tc>
          <w:tcPr>
            <w:tcW w:type="dxa" w:w="3960"/>
            <w:shd w:fill="EEF4FA"/>
            <w:vAlign w:val="center"/>
          </w:tcPr>
          <w:p>
            <w:pPr>
              <w:spacing w:before="0" w:after="0" w:line="240" w:lineRule="auto"/>
              <w:jc w:val="left"/>
            </w:pPr>
            <w:r/>
            <w:r>
              <w:rPr>
                <w:rFonts w:ascii="Calibri" w:hAnsi="Calibri" w:eastAsia="Calibri"/>
                <w:b w:val="0"/>
                <w:color w:val="1F2933"/>
                <w:sz w:val="17"/>
              </w:rPr>
              <w:t>Policy có dùng được model mới từ capability profile không?</w:t>
            </w:r>
          </w:p>
        </w:tc>
      </w:tr>
      <w:tr>
        <w:tc>
          <w:tcPr>
            <w:tcW w:type="dxa" w:w="1800"/>
            <w:vAlign w:val="center"/>
          </w:tcPr>
          <w:p>
            <w:pPr>
              <w:spacing w:before="0" w:after="0" w:line="240" w:lineRule="auto"/>
              <w:jc w:val="left"/>
            </w:pPr>
            <w:r/>
            <w:r>
              <w:rPr>
                <w:rFonts w:ascii="Calibri" w:hAnsi="Calibri" w:eastAsia="Calibri"/>
                <w:b w:val="0"/>
                <w:color w:val="1F2933"/>
                <w:sz w:val="17"/>
              </w:rPr>
              <w:t>Unseen role/tool</w:t>
            </w:r>
          </w:p>
        </w:tc>
        <w:tc>
          <w:tcPr>
            <w:tcW w:type="dxa" w:w="3600"/>
            <w:vAlign w:val="center"/>
          </w:tcPr>
          <w:p>
            <w:pPr>
              <w:spacing w:before="0" w:after="0" w:line="240" w:lineRule="auto"/>
              <w:jc w:val="left"/>
            </w:pPr>
            <w:r/>
            <w:r>
              <w:rPr>
                <w:rFonts w:ascii="Calibri" w:hAnsi="Calibri" w:eastAsia="Calibri"/>
                <w:b w:val="0"/>
                <w:color w:val="1F2933"/>
                <w:sz w:val="17"/>
              </w:rPr>
              <w:t>Giữ lại reasoning role hoặc tool configuration ở train.</w:t>
            </w:r>
          </w:p>
        </w:tc>
        <w:tc>
          <w:tcPr>
            <w:tcW w:type="dxa" w:w="3960"/>
            <w:vAlign w:val="center"/>
          </w:tcPr>
          <w:p>
            <w:pPr>
              <w:spacing w:before="0" w:after="0" w:line="240" w:lineRule="auto"/>
              <w:jc w:val="left"/>
            </w:pPr>
            <w:r/>
            <w:r>
              <w:rPr>
                <w:rFonts w:ascii="Calibri" w:hAnsi="Calibri" w:eastAsia="Calibri"/>
                <w:b w:val="0"/>
                <w:color w:val="1F2933"/>
                <w:sz w:val="17"/>
              </w:rPr>
              <w:t>Generalize theo chức năng, không chỉ theo tên agent?</w:t>
            </w:r>
          </w:p>
        </w:tc>
      </w:tr>
      <w:tr>
        <w:tc>
          <w:tcPr>
            <w:tcW w:type="dxa" w:w="1800"/>
            <w:shd w:fill="EEF4FA"/>
            <w:vAlign w:val="center"/>
          </w:tcPr>
          <w:p>
            <w:pPr>
              <w:spacing w:before="0" w:after="0" w:line="240" w:lineRule="auto"/>
              <w:jc w:val="left"/>
            </w:pPr>
            <w:r/>
            <w:r>
              <w:rPr>
                <w:rFonts w:ascii="Calibri" w:hAnsi="Calibri" w:eastAsia="Calibri"/>
                <w:b w:val="0"/>
                <w:color w:val="1F2933"/>
                <w:sz w:val="17"/>
              </w:rPr>
              <w:t>Unseen combination</w:t>
            </w:r>
          </w:p>
        </w:tc>
        <w:tc>
          <w:tcPr>
            <w:tcW w:type="dxa" w:w="3600"/>
            <w:shd w:fill="EEF4FA"/>
            <w:vAlign w:val="center"/>
          </w:tcPr>
          <w:p>
            <w:pPr>
              <w:spacing w:before="0" w:after="0" w:line="240" w:lineRule="auto"/>
              <w:jc w:val="left"/>
            </w:pPr>
            <w:r/>
            <w:r>
              <w:rPr>
                <w:rFonts w:ascii="Calibri" w:hAnsi="Calibri" w:eastAsia="Calibri"/>
                <w:b w:val="0"/>
                <w:color w:val="1F2933"/>
                <w:sz w:val="17"/>
              </w:rPr>
              <w:t>Model, role và tool đã thấy riêng lẻ, nhưng tổ hợp chưa thấy.</w:t>
            </w:r>
          </w:p>
        </w:tc>
        <w:tc>
          <w:tcPr>
            <w:tcW w:type="dxa" w:w="3960"/>
            <w:shd w:fill="EEF4FA"/>
            <w:vAlign w:val="center"/>
          </w:tcPr>
          <w:p>
            <w:pPr>
              <w:spacing w:before="0" w:after="0" w:line="240" w:lineRule="auto"/>
              <w:jc w:val="left"/>
            </w:pPr>
            <w:r/>
            <w:r>
              <w:rPr>
                <w:rFonts w:ascii="Calibri" w:hAnsi="Calibri" w:eastAsia="Calibri"/>
                <w:b w:val="0"/>
                <w:color w:val="1F2933"/>
                <w:sz w:val="17"/>
              </w:rPr>
              <w:t>Có combinatorial generalization thực sự không?</w:t>
            </w:r>
          </w:p>
        </w:tc>
      </w:tr>
      <w:tr>
        <w:tc>
          <w:tcPr>
            <w:tcW w:type="dxa" w:w="1800"/>
            <w:vAlign w:val="center"/>
          </w:tcPr>
          <w:p>
            <w:pPr>
              <w:spacing w:before="0" w:after="0" w:line="240" w:lineRule="auto"/>
              <w:jc w:val="left"/>
            </w:pPr>
            <w:r/>
            <w:r>
              <w:rPr>
                <w:rFonts w:ascii="Calibri" w:hAnsi="Calibri" w:eastAsia="Calibri"/>
                <w:b w:val="0"/>
                <w:color w:val="1F2933"/>
                <w:sz w:val="17"/>
              </w:rPr>
              <w:t>Pool perturbation</w:t>
            </w:r>
          </w:p>
        </w:tc>
        <w:tc>
          <w:tcPr>
            <w:tcW w:type="dxa" w:w="3600"/>
            <w:vAlign w:val="center"/>
          </w:tcPr>
          <w:p>
            <w:pPr>
              <w:spacing w:before="0" w:after="0" w:line="240" w:lineRule="auto"/>
              <w:jc w:val="left"/>
            </w:pPr>
            <w:r/>
            <w:r>
              <w:rPr>
                <w:rFonts w:ascii="Calibri" w:hAnsi="Calibri" w:eastAsia="Calibri"/>
                <w:b w:val="0"/>
                <w:color w:val="1F2933"/>
                <w:sz w:val="17"/>
              </w:rPr>
              <w:t>Shuffle, thêm, xóa, thay thế agent; partner replacement sau khi team đã hội tụ.</w:t>
            </w:r>
          </w:p>
        </w:tc>
        <w:tc>
          <w:tcPr>
            <w:tcW w:type="dxa" w:w="3960"/>
            <w:vAlign w:val="center"/>
          </w:tcPr>
          <w:p>
            <w:pPr>
              <w:spacing w:before="0" w:after="0" w:line="240" w:lineRule="auto"/>
              <w:jc w:val="left"/>
            </w:pPr>
            <w:r/>
            <w:r>
              <w:rPr>
                <w:rFonts w:ascii="Calibri" w:hAnsi="Calibri" w:eastAsia="Calibri"/>
                <w:b w:val="0"/>
                <w:color w:val="1F2933"/>
                <w:sz w:val="17"/>
              </w:rPr>
              <w:t>Có phụ thuộc vào index/topology cũ không?</w:t>
            </w:r>
          </w:p>
        </w:tc>
      </w:tr>
    </w:tbl>
    <w:p>
      <w:pPr>
        <w:spacing w:before="0" w:after="80" w:line="276" w:lineRule="auto"/>
      </w:pPr>
    </w:p>
    <w:p>
      <w:pPr>
        <w:pStyle w:val="Heading2"/>
        <w:keepNext/>
      </w:pPr>
      <w:r>
        <w:t>5.3. Giai đoạn 3 - Baseline, ablation và phân tích lỗi</w:t>
      </w:r>
    </w:p>
    <w:p>
      <w:pPr>
        <w:pStyle w:val="ListBullet"/>
        <w:spacing w:before="0" w:after="80" w:line="276" w:lineRule="auto"/>
      </w:pPr>
      <w:r>
        <w:t>Baseline tối thiểu: single-model, fixed-chain MAS, random routing và heuristic capability routing.</w:t>
      </w:r>
    </w:p>
    <w:p>
      <w:pPr>
        <w:pStyle w:val="ListBullet"/>
        <w:spacing w:before="0" w:after="80" w:line="276" w:lineRule="auto"/>
      </w:pPr>
      <w:r>
        <w:t>Baseline orchestration: Puppeteer; khi phù hợp tài nguyên có thể so sánh AFlow, EvoAgent và MAS² theo cùng protocol.</w:t>
      </w:r>
    </w:p>
    <w:p>
      <w:pPr>
        <w:pStyle w:val="ListBullet"/>
        <w:spacing w:before="0" w:after="80" w:line="276" w:lineRule="auto"/>
      </w:pPr>
      <w:r>
        <w:t>Ablation: bỏ capability profile, online update, Answer Gate, MAS-aware prompts, team-composition sampling và efficiency penalty lần lượt.</w:t>
      </w:r>
    </w:p>
    <w:p>
      <w:pPr>
        <w:pStyle w:val="ListBullet"/>
        <w:spacing w:before="0" w:after="80" w:line="276" w:lineRule="auto"/>
      </w:pPr>
      <w:r>
        <w:t>Error analysis: chọn sai teammate, bỏ qua agent mới, phụ thuộc quá mức vào agent mạnh, early stop sai, và các agent tạo output trùng lặp.</w:t>
      </w:r>
    </w:p>
    <w:p>
      <w:pPr>
        <w:pStyle w:val="Heading2"/>
        <w:keepNext/>
      </w:pPr>
      <w:r>
        <w:t>5.4. Chỉ số cần báo cáo</w:t>
      </w:r>
    </w:p>
    <w:tbl>
      <w:tblPr>
        <w:tblStyle w:val="TableGrid"/>
        <w:tblW w:type="dxa" w:w="9360"/>
        <w:jc w:val="left"/>
        <w:tblLook w:firstColumn="1" w:firstRow="1" w:lastColumn="0" w:lastRow="0" w:noHBand="0" w:noVBand="1" w:val="04A0"/>
        <w:tblInd w:w="120" w:type="dxa"/>
        <w:tblLayout w:type="fixed"/>
      </w:tblPr>
      <w:tblGrid>
        <w:gridCol w:w="1584"/>
        <w:gridCol w:w="4104"/>
        <w:gridCol w:w="3672"/>
      </w:tblGrid>
      <w:tr>
        <w:trPr>
          <w:tblHeader w:val="true"/>
        </w:trPr>
        <w:tc>
          <w:tcPr>
            <w:tcW w:type="dxa" w:w="1584"/>
            <w:tcMar>
              <w:top w:w="80" w:type="dxa"/>
              <w:start w:w="120" w:type="dxa"/>
              <w:bottom w:w="80" w:type="dxa"/>
              <w:end w:w="120" w:type="dxa"/>
            </w:tcMar>
            <w:shd w:fill="17365D"/>
            <w:vAlign w:val="center"/>
          </w:tcPr>
          <w:p>
            <w:pPr>
              <w:spacing w:before="0" w:after="0" w:line="240" w:lineRule="auto"/>
              <w:jc w:val="center"/>
            </w:pPr>
            <w:r/>
            <w:r>
              <w:rPr>
                <w:rFonts w:ascii="Calibri" w:hAnsi="Calibri" w:eastAsia="Calibri"/>
                <w:b/>
                <w:color w:val="FFFFFF"/>
                <w:sz w:val="17"/>
              </w:rPr>
              <w:t>Nhóm</w:t>
            </w:r>
          </w:p>
        </w:tc>
        <w:tc>
          <w:tcPr>
            <w:tcW w:type="dxa" w:w="4104"/>
            <w:tcMar>
              <w:top w:w="80" w:type="dxa"/>
              <w:start w:w="120" w:type="dxa"/>
              <w:bottom w:w="80" w:type="dxa"/>
              <w:end w:w="120" w:type="dxa"/>
            </w:tcMar>
            <w:shd w:fill="17365D"/>
            <w:vAlign w:val="center"/>
          </w:tcPr>
          <w:p>
            <w:pPr>
              <w:spacing w:before="0" w:after="0" w:line="240" w:lineRule="auto"/>
              <w:jc w:val="center"/>
            </w:pPr>
            <w:r/>
            <w:r>
              <w:rPr>
                <w:rFonts w:ascii="Calibri" w:hAnsi="Calibri" w:eastAsia="Calibri"/>
                <w:b/>
                <w:color w:val="FFFFFF"/>
                <w:sz w:val="17"/>
              </w:rPr>
              <w:t>Chỉ số</w:t>
            </w:r>
          </w:p>
        </w:tc>
        <w:tc>
          <w:tcPr>
            <w:tcW w:type="dxa" w:w="3672"/>
            <w:tcMar>
              <w:top w:w="80" w:type="dxa"/>
              <w:start w:w="120" w:type="dxa"/>
              <w:bottom w:w="80" w:type="dxa"/>
              <w:end w:w="120" w:type="dxa"/>
            </w:tcMar>
            <w:shd w:fill="17365D"/>
            <w:vAlign w:val="center"/>
          </w:tcPr>
          <w:p>
            <w:pPr>
              <w:spacing w:before="0" w:after="0" w:line="240" w:lineRule="auto"/>
              <w:jc w:val="center"/>
            </w:pPr>
            <w:r/>
            <w:r>
              <w:rPr>
                <w:rFonts w:ascii="Calibri" w:hAnsi="Calibri" w:eastAsia="Calibri"/>
                <w:b/>
                <w:color w:val="FFFFFF"/>
                <w:sz w:val="17"/>
              </w:rPr>
              <w:t>Ý nghĩa</w:t>
            </w:r>
          </w:p>
        </w:tc>
      </w:tr>
      <w:tr>
        <w:tc>
          <w:tcPr>
            <w:tcW w:type="dxa" w:w="1584"/>
            <w:vAlign w:val="center"/>
          </w:tcPr>
          <w:p>
            <w:pPr>
              <w:spacing w:before="0" w:after="0" w:line="240" w:lineRule="auto"/>
              <w:jc w:val="left"/>
            </w:pPr>
            <w:r/>
            <w:r>
              <w:rPr>
                <w:rFonts w:ascii="Calibri" w:hAnsi="Calibri" w:eastAsia="Calibri"/>
                <w:b w:val="0"/>
                <w:color w:val="1F2933"/>
                <w:sz w:val="17"/>
              </w:rPr>
              <w:t>Task quality</w:t>
            </w:r>
          </w:p>
        </w:tc>
        <w:tc>
          <w:tcPr>
            <w:tcW w:type="dxa" w:w="4104"/>
            <w:vAlign w:val="center"/>
          </w:tcPr>
          <w:p>
            <w:pPr>
              <w:spacing w:before="0" w:after="0" w:line="240" w:lineRule="auto"/>
              <w:jc w:val="left"/>
            </w:pPr>
            <w:r/>
            <w:r>
              <w:rPr>
                <w:rFonts w:ascii="Calibri" w:hAnsi="Calibri" w:eastAsia="Calibri"/>
                <w:b w:val="0"/>
                <w:color w:val="1F2933"/>
                <w:sz w:val="17"/>
              </w:rPr>
              <w:t>Accuracy / success rate; score theo task</w:t>
            </w:r>
          </w:p>
        </w:tc>
        <w:tc>
          <w:tcPr>
            <w:tcW w:type="dxa" w:w="3672"/>
            <w:vAlign w:val="center"/>
          </w:tcPr>
          <w:p>
            <w:pPr>
              <w:spacing w:before="0" w:after="0" w:line="240" w:lineRule="auto"/>
              <w:jc w:val="left"/>
            </w:pPr>
            <w:r/>
            <w:r>
              <w:rPr>
                <w:rFonts w:ascii="Calibri" w:hAnsi="Calibri" w:eastAsia="Calibri"/>
                <w:b w:val="0"/>
                <w:color w:val="1F2933"/>
                <w:sz w:val="17"/>
              </w:rPr>
              <w:t>Chất lượng lời giải cơ bản.</w:t>
            </w:r>
          </w:p>
        </w:tc>
      </w:tr>
      <w:tr>
        <w:tc>
          <w:tcPr>
            <w:tcW w:type="dxa" w:w="1584"/>
            <w:shd w:fill="EEF4FA"/>
            <w:vAlign w:val="center"/>
          </w:tcPr>
          <w:p>
            <w:pPr>
              <w:spacing w:before="0" w:after="0" w:line="240" w:lineRule="auto"/>
              <w:jc w:val="left"/>
            </w:pPr>
            <w:r/>
            <w:r>
              <w:rPr>
                <w:rFonts w:ascii="Calibri" w:hAnsi="Calibri" w:eastAsia="Calibri"/>
                <w:b w:val="0"/>
                <w:color w:val="1F2933"/>
                <w:sz w:val="17"/>
              </w:rPr>
              <w:t>Generalization</w:t>
            </w:r>
          </w:p>
        </w:tc>
        <w:tc>
          <w:tcPr>
            <w:tcW w:type="dxa" w:w="4104"/>
            <w:shd w:fill="EEF4FA"/>
            <w:vAlign w:val="center"/>
          </w:tcPr>
          <w:p>
            <w:pPr>
              <w:spacing w:before="0" w:after="0" w:line="240" w:lineRule="auto"/>
              <w:jc w:val="left"/>
            </w:pPr>
            <w:r/>
            <w:r>
              <w:rPr>
                <w:rFonts w:ascii="Calibri" w:hAnsi="Calibri" w:eastAsia="Calibri"/>
                <w:b w:val="0"/>
                <w:color w:val="1F2933"/>
                <w:sz w:val="17"/>
              </w:rPr>
              <w:t>Seen vs. unseen performance; generalization gap; transfer ratio</w:t>
            </w:r>
          </w:p>
        </w:tc>
        <w:tc>
          <w:tcPr>
            <w:tcW w:type="dxa" w:w="3672"/>
            <w:shd w:fill="EEF4FA"/>
            <w:vAlign w:val="center"/>
          </w:tcPr>
          <w:p>
            <w:pPr>
              <w:spacing w:before="0" w:after="0" w:line="240" w:lineRule="auto"/>
              <w:jc w:val="left"/>
            </w:pPr>
            <w:r/>
            <w:r>
              <w:rPr>
                <w:rFonts w:ascii="Calibri" w:hAnsi="Calibri" w:eastAsia="Calibri"/>
                <w:b w:val="0"/>
                <w:color w:val="1F2933"/>
                <w:sz w:val="17"/>
              </w:rPr>
              <w:t>Đo suy giảm khi teammate thay đổi.</w:t>
            </w:r>
          </w:p>
        </w:tc>
      </w:tr>
      <w:tr>
        <w:tc>
          <w:tcPr>
            <w:tcW w:type="dxa" w:w="1584"/>
            <w:vAlign w:val="center"/>
          </w:tcPr>
          <w:p>
            <w:pPr>
              <w:spacing w:before="0" w:after="0" w:line="240" w:lineRule="auto"/>
              <w:jc w:val="left"/>
            </w:pPr>
            <w:r/>
            <w:r>
              <w:rPr>
                <w:rFonts w:ascii="Calibri" w:hAnsi="Calibri" w:eastAsia="Calibri"/>
                <w:b w:val="0"/>
                <w:color w:val="1F2933"/>
                <w:sz w:val="17"/>
              </w:rPr>
              <w:t>Robustness</w:t>
            </w:r>
          </w:p>
        </w:tc>
        <w:tc>
          <w:tcPr>
            <w:tcW w:type="dxa" w:w="4104"/>
            <w:vAlign w:val="center"/>
          </w:tcPr>
          <w:p>
            <w:pPr>
              <w:spacing w:before="0" w:after="0" w:line="240" w:lineRule="auto"/>
              <w:jc w:val="left"/>
            </w:pPr>
            <w:r/>
            <w:r>
              <w:rPr>
                <w:rFonts w:ascii="Calibri" w:hAnsi="Calibri" w:eastAsia="Calibri"/>
                <w:b w:val="0"/>
                <w:color w:val="1F2933"/>
                <w:sz w:val="17"/>
              </w:rPr>
              <w:t>Độ ổn định khi add/remove/substitute/shuffle; tỷ lệ chọn đúng agent mới</w:t>
            </w:r>
          </w:p>
        </w:tc>
        <w:tc>
          <w:tcPr>
            <w:tcW w:type="dxa" w:w="3672"/>
            <w:vAlign w:val="center"/>
          </w:tcPr>
          <w:p>
            <w:pPr>
              <w:spacing w:before="0" w:after="0" w:line="240" w:lineRule="auto"/>
              <w:jc w:val="left"/>
            </w:pPr>
            <w:r/>
            <w:r>
              <w:rPr>
                <w:rFonts w:ascii="Calibri" w:hAnsi="Calibri" w:eastAsia="Calibri"/>
                <w:b w:val="0"/>
                <w:color w:val="1F2933"/>
                <w:sz w:val="17"/>
              </w:rPr>
              <w:t>Kiểm tra phụ thuộc team composition.</w:t>
            </w:r>
          </w:p>
        </w:tc>
      </w:tr>
      <w:tr>
        <w:tc>
          <w:tcPr>
            <w:tcW w:type="dxa" w:w="1584"/>
            <w:shd w:fill="EEF4FA"/>
            <w:vAlign w:val="center"/>
          </w:tcPr>
          <w:p>
            <w:pPr>
              <w:spacing w:before="0" w:after="0" w:line="240" w:lineRule="auto"/>
              <w:jc w:val="left"/>
            </w:pPr>
            <w:r/>
            <w:r>
              <w:rPr>
                <w:rFonts w:ascii="Calibri" w:hAnsi="Calibri" w:eastAsia="Calibri"/>
                <w:b w:val="0"/>
                <w:color w:val="1F2933"/>
                <w:sz w:val="17"/>
              </w:rPr>
              <w:t>Efficiency</w:t>
            </w:r>
          </w:p>
        </w:tc>
        <w:tc>
          <w:tcPr>
            <w:tcW w:type="dxa" w:w="4104"/>
            <w:shd w:fill="EEF4FA"/>
            <w:vAlign w:val="center"/>
          </w:tcPr>
          <w:p>
            <w:pPr>
              <w:spacing w:before="0" w:after="0" w:line="240" w:lineRule="auto"/>
              <w:jc w:val="left"/>
            </w:pPr>
            <w:r/>
            <w:r>
              <w:rPr>
                <w:rFonts w:ascii="Calibri" w:hAnsi="Calibri" w:eastAsia="Calibri"/>
                <w:b w:val="0"/>
                <w:color w:val="1F2933"/>
                <w:sz w:val="17"/>
              </w:rPr>
              <w:t>Tổng token, cost, latency, số agent kích hoạt, steps/path</w:t>
            </w:r>
          </w:p>
        </w:tc>
        <w:tc>
          <w:tcPr>
            <w:tcW w:type="dxa" w:w="3672"/>
            <w:shd w:fill="EEF4FA"/>
            <w:vAlign w:val="center"/>
          </w:tcPr>
          <w:p>
            <w:pPr>
              <w:spacing w:before="0" w:after="0" w:line="240" w:lineRule="auto"/>
              <w:jc w:val="left"/>
            </w:pPr>
            <w:r/>
            <w:r>
              <w:rPr>
                <w:rFonts w:ascii="Calibri" w:hAnsi="Calibri" w:eastAsia="Calibri"/>
                <w:b w:val="0"/>
                <w:color w:val="1F2933"/>
                <w:sz w:val="17"/>
              </w:rPr>
              <w:t>Đo performance-cost trade-off.</w:t>
            </w:r>
          </w:p>
        </w:tc>
      </w:tr>
      <w:tr>
        <w:tc>
          <w:tcPr>
            <w:tcW w:type="dxa" w:w="1584"/>
            <w:vAlign w:val="center"/>
          </w:tcPr>
          <w:p>
            <w:pPr>
              <w:spacing w:before="0" w:after="0" w:line="240" w:lineRule="auto"/>
              <w:jc w:val="left"/>
            </w:pPr>
            <w:r/>
            <w:r>
              <w:rPr>
                <w:rFonts w:ascii="Calibri" w:hAnsi="Calibri" w:eastAsia="Calibri"/>
                <w:b w:val="0"/>
                <w:color w:val="1F2933"/>
                <w:sz w:val="17"/>
              </w:rPr>
              <w:t>Coordination</w:t>
            </w:r>
          </w:p>
        </w:tc>
        <w:tc>
          <w:tcPr>
            <w:tcW w:type="dxa" w:w="4104"/>
            <w:vAlign w:val="center"/>
          </w:tcPr>
          <w:p>
            <w:pPr>
              <w:spacing w:before="0" w:after="0" w:line="240" w:lineRule="auto"/>
              <w:jc w:val="left"/>
            </w:pPr>
            <w:r/>
            <w:r>
              <w:rPr>
                <w:rFonts w:ascii="Calibri" w:hAnsi="Calibri" w:eastAsia="Calibri"/>
                <w:b w:val="0"/>
                <w:color w:val="1F2933"/>
                <w:sz w:val="17"/>
              </w:rPr>
              <w:t>Correct/false early-stop rate; duplicated/low-contribution calls; interaction structure</w:t>
            </w:r>
          </w:p>
        </w:tc>
        <w:tc>
          <w:tcPr>
            <w:tcW w:type="dxa" w:w="3672"/>
            <w:vAlign w:val="center"/>
          </w:tcPr>
          <w:p>
            <w:pPr>
              <w:spacing w:before="0" w:after="0" w:line="240" w:lineRule="auto"/>
              <w:jc w:val="left"/>
            </w:pPr>
            <w:r/>
            <w:r>
              <w:rPr>
                <w:rFonts w:ascii="Calibri" w:hAnsi="Calibri" w:eastAsia="Calibri"/>
                <w:b w:val="0"/>
                <w:color w:val="1F2933"/>
                <w:sz w:val="17"/>
              </w:rPr>
              <w:t>Xác định Answer Gate và prompt có cải thiện phối hợp không.</w:t>
            </w:r>
          </w:p>
        </w:tc>
      </w:tr>
    </w:tbl>
    <w:p>
      <w:pPr>
        <w:spacing w:before="0" w:after="80" w:line="276" w:lineRule="auto"/>
      </w:pPr>
    </w:p>
    <w:p>
      <w:pPr>
        <w:pStyle w:val="Heading1"/>
        <w:keepNext/>
      </w:pPr>
      <w:r>
        <w:t>6. Mốc thực hiện ưu tiên</w:t>
      </w:r>
    </w:p>
    <w:tbl>
      <w:tblPr>
        <w:tblStyle w:val="TableGrid"/>
        <w:tblW w:type="dxa" w:w="9360"/>
        <w:jc w:val="left"/>
        <w:tblLook w:firstColumn="1" w:firstRow="1" w:lastColumn="0" w:lastRow="0" w:noHBand="0" w:noVBand="1" w:val="04A0"/>
        <w:tblInd w:w="120" w:type="dxa"/>
        <w:tblLayout w:type="fixed"/>
      </w:tblPr>
      <w:tblGrid>
        <w:gridCol w:w="792"/>
        <w:gridCol w:w="4104"/>
        <w:gridCol w:w="4464"/>
      </w:tblGrid>
      <w:tr>
        <w:trPr>
          <w:tblHeader w:val="true"/>
        </w:trPr>
        <w:tc>
          <w:tcPr>
            <w:tcW w:type="dxa" w:w="792"/>
            <w:tcMar>
              <w:top w:w="80" w:type="dxa"/>
              <w:start w:w="120" w:type="dxa"/>
              <w:bottom w:w="80" w:type="dxa"/>
              <w:end w:w="120" w:type="dxa"/>
            </w:tcMar>
            <w:shd w:fill="17365D"/>
            <w:vAlign w:val="center"/>
          </w:tcPr>
          <w:p>
            <w:pPr>
              <w:spacing w:before="0" w:after="0" w:line="240" w:lineRule="auto"/>
              <w:jc w:val="center"/>
            </w:pPr>
            <w:r/>
            <w:r>
              <w:rPr>
                <w:rFonts w:ascii="Calibri" w:hAnsi="Calibri" w:eastAsia="Calibri"/>
                <w:b/>
                <w:color w:val="FFFFFF"/>
                <w:sz w:val="17"/>
              </w:rPr>
              <w:t>Ưu tiên</w:t>
            </w:r>
          </w:p>
        </w:tc>
        <w:tc>
          <w:tcPr>
            <w:tcW w:type="dxa" w:w="4104"/>
            <w:tcMar>
              <w:top w:w="80" w:type="dxa"/>
              <w:start w:w="120" w:type="dxa"/>
              <w:bottom w:w="80" w:type="dxa"/>
              <w:end w:w="120" w:type="dxa"/>
            </w:tcMar>
            <w:shd w:fill="17365D"/>
            <w:vAlign w:val="center"/>
          </w:tcPr>
          <w:p>
            <w:pPr>
              <w:spacing w:before="0" w:after="0" w:line="240" w:lineRule="auto"/>
              <w:jc w:val="center"/>
            </w:pPr>
            <w:r/>
            <w:r>
              <w:rPr>
                <w:rFonts w:ascii="Calibri" w:hAnsi="Calibri" w:eastAsia="Calibri"/>
                <w:b/>
                <w:color w:val="FFFFFF"/>
                <w:sz w:val="17"/>
              </w:rPr>
              <w:t>Công việc</w:t>
            </w:r>
          </w:p>
        </w:tc>
        <w:tc>
          <w:tcPr>
            <w:tcW w:type="dxa" w:w="4464"/>
            <w:tcMar>
              <w:top w:w="80" w:type="dxa"/>
              <w:start w:w="120" w:type="dxa"/>
              <w:bottom w:w="80" w:type="dxa"/>
              <w:end w:w="120" w:type="dxa"/>
            </w:tcMar>
            <w:shd w:fill="17365D"/>
            <w:vAlign w:val="center"/>
          </w:tcPr>
          <w:p>
            <w:pPr>
              <w:spacing w:before="0" w:after="0" w:line="240" w:lineRule="auto"/>
              <w:jc w:val="center"/>
            </w:pPr>
            <w:r/>
            <w:r>
              <w:rPr>
                <w:rFonts w:ascii="Calibri" w:hAnsi="Calibri" w:eastAsia="Calibri"/>
                <w:b/>
                <w:color w:val="FFFFFF"/>
                <w:sz w:val="17"/>
              </w:rPr>
              <w:t>Đầu ra / tiêu chí hoàn thành</w:t>
            </w:r>
          </w:p>
        </w:tc>
      </w:tr>
      <w:tr>
        <w:tc>
          <w:tcPr>
            <w:tcW w:type="dxa" w:w="792"/>
            <w:vAlign w:val="center"/>
          </w:tcPr>
          <w:p>
            <w:pPr>
              <w:spacing w:before="0" w:after="0" w:line="240" w:lineRule="auto"/>
              <w:jc w:val="left"/>
            </w:pPr>
            <w:r/>
            <w:r>
              <w:rPr>
                <w:rFonts w:ascii="Calibri" w:hAnsi="Calibri" w:eastAsia="Calibri"/>
                <w:b w:val="0"/>
                <w:color w:val="1F2933"/>
                <w:sz w:val="17"/>
              </w:rPr>
              <w:t>P0</w:t>
            </w:r>
          </w:p>
        </w:tc>
        <w:tc>
          <w:tcPr>
            <w:tcW w:type="dxa" w:w="4104"/>
            <w:vAlign w:val="center"/>
          </w:tcPr>
          <w:p>
            <w:pPr>
              <w:spacing w:before="0" w:after="0" w:line="240" w:lineRule="auto"/>
              <w:jc w:val="left"/>
            </w:pPr>
            <w:r/>
            <w:r>
              <w:rPr>
                <w:rFonts w:ascii="Calibri" w:hAnsi="Calibri" w:eastAsia="Calibri"/>
                <w:b w:val="0"/>
                <w:color w:val="1F2933"/>
                <w:sz w:val="17"/>
              </w:rPr>
              <w:t>Tách held-out evaluation và chuẩn hóa logging/cost accounting.</w:t>
            </w:r>
          </w:p>
        </w:tc>
        <w:tc>
          <w:tcPr>
            <w:tcW w:type="dxa" w:w="4464"/>
            <w:vAlign w:val="center"/>
          </w:tcPr>
          <w:p>
            <w:pPr>
              <w:spacing w:before="0" w:after="0" w:line="240" w:lineRule="auto"/>
              <w:jc w:val="left"/>
            </w:pPr>
            <w:r/>
            <w:r>
              <w:rPr>
                <w:rFonts w:ascii="Calibri" w:hAnsi="Calibri" w:eastAsia="Calibri"/>
                <w:b w:val="0"/>
                <w:color w:val="1F2933"/>
                <w:sz w:val="17"/>
              </w:rPr>
              <w:t>Bảng baseline có accuracy, token cost, steps/path, agent count và seed.</w:t>
            </w:r>
          </w:p>
        </w:tc>
      </w:tr>
      <w:tr>
        <w:tc>
          <w:tcPr>
            <w:tcW w:type="dxa" w:w="792"/>
            <w:shd w:fill="EEF4FA"/>
            <w:vAlign w:val="center"/>
          </w:tcPr>
          <w:p>
            <w:pPr>
              <w:spacing w:before="0" w:after="0" w:line="240" w:lineRule="auto"/>
              <w:jc w:val="left"/>
            </w:pPr>
            <w:r/>
            <w:r>
              <w:rPr>
                <w:rFonts w:ascii="Calibri" w:hAnsi="Calibri" w:eastAsia="Calibri"/>
                <w:b w:val="0"/>
                <w:color w:val="1F2933"/>
                <w:sz w:val="17"/>
              </w:rPr>
              <w:t>P1</w:t>
            </w:r>
          </w:p>
        </w:tc>
        <w:tc>
          <w:tcPr>
            <w:tcW w:type="dxa" w:w="4104"/>
            <w:shd w:fill="EEF4FA"/>
            <w:vAlign w:val="center"/>
          </w:tcPr>
          <w:p>
            <w:pPr>
              <w:spacing w:before="0" w:after="0" w:line="240" w:lineRule="auto"/>
              <w:jc w:val="left"/>
            </w:pPr>
            <w:r/>
            <w:r>
              <w:rPr>
                <w:rFonts w:ascii="Calibri" w:hAnsi="Calibri" w:eastAsia="Calibri"/>
                <w:b w:val="0"/>
                <w:color w:val="1F2933"/>
                <w:sz w:val="17"/>
              </w:rPr>
              <w:t>Hoàn tất reproduce quy mô lớn hơn trên A100; lưu checkpoints và cấu hình.</w:t>
            </w:r>
          </w:p>
        </w:tc>
        <w:tc>
          <w:tcPr>
            <w:tcW w:type="dxa" w:w="4464"/>
            <w:shd w:fill="EEF4FA"/>
            <w:vAlign w:val="center"/>
          </w:tcPr>
          <w:p>
            <w:pPr>
              <w:spacing w:before="0" w:after="0" w:line="240" w:lineRule="auto"/>
              <w:jc w:val="left"/>
            </w:pPr>
            <w:r/>
            <w:r>
              <w:rPr>
                <w:rFonts w:ascii="Calibri" w:hAnsi="Calibri" w:eastAsia="Calibri"/>
                <w:b w:val="0"/>
                <w:color w:val="1F2933"/>
                <w:sz w:val="17"/>
              </w:rPr>
              <w:t>Kết quả lặp lại được, có so sánh giới hạn với paper.</w:t>
            </w:r>
          </w:p>
        </w:tc>
      </w:tr>
      <w:tr>
        <w:tc>
          <w:tcPr>
            <w:tcW w:type="dxa" w:w="792"/>
            <w:vAlign w:val="center"/>
          </w:tcPr>
          <w:p>
            <w:pPr>
              <w:spacing w:before="0" w:after="0" w:line="240" w:lineRule="auto"/>
              <w:jc w:val="left"/>
            </w:pPr>
            <w:r/>
            <w:r>
              <w:rPr>
                <w:rFonts w:ascii="Calibri" w:hAnsi="Calibri" w:eastAsia="Calibri"/>
                <w:b w:val="0"/>
                <w:color w:val="1F2933"/>
                <w:sz w:val="17"/>
              </w:rPr>
              <w:t>P2</w:t>
            </w:r>
          </w:p>
        </w:tc>
        <w:tc>
          <w:tcPr>
            <w:tcW w:type="dxa" w:w="4104"/>
            <w:vAlign w:val="center"/>
          </w:tcPr>
          <w:p>
            <w:pPr>
              <w:spacing w:before="0" w:after="0" w:line="240" w:lineRule="auto"/>
              <w:jc w:val="left"/>
            </w:pPr>
            <w:r/>
            <w:r>
              <w:rPr>
                <w:rFonts w:ascii="Calibri" w:hAnsi="Calibri" w:eastAsia="Calibri"/>
                <w:b w:val="0"/>
                <w:color w:val="1F2933"/>
                <w:sz w:val="17"/>
              </w:rPr>
              <w:t>Triển khai capability profile + scorer không phụ thuộc index; test shuffle personas.</w:t>
            </w:r>
          </w:p>
        </w:tc>
        <w:tc>
          <w:tcPr>
            <w:tcW w:type="dxa" w:w="4464"/>
            <w:vAlign w:val="center"/>
          </w:tcPr>
          <w:p>
            <w:pPr>
              <w:spacing w:before="0" w:after="0" w:line="240" w:lineRule="auto"/>
              <w:jc w:val="left"/>
            </w:pPr>
            <w:r/>
            <w:r>
              <w:rPr>
                <w:rFonts w:ascii="Calibri" w:hAnsi="Calibri" w:eastAsia="Calibri"/>
                <w:b w:val="0"/>
                <w:color w:val="1F2933"/>
                <w:sz w:val="17"/>
              </w:rPr>
              <w:t>Không cần đổi output dimension khi pool thay đổi; báo cáo shuffle robustness.</w:t>
            </w:r>
          </w:p>
        </w:tc>
      </w:tr>
      <w:tr>
        <w:tc>
          <w:tcPr>
            <w:tcW w:type="dxa" w:w="792"/>
            <w:shd w:fill="EEF4FA"/>
            <w:vAlign w:val="center"/>
          </w:tcPr>
          <w:p>
            <w:pPr>
              <w:spacing w:before="0" w:after="0" w:line="240" w:lineRule="auto"/>
              <w:jc w:val="left"/>
            </w:pPr>
            <w:r/>
            <w:r>
              <w:rPr>
                <w:rFonts w:ascii="Calibri" w:hAnsi="Calibri" w:eastAsia="Calibri"/>
                <w:b w:val="0"/>
                <w:color w:val="1F2933"/>
                <w:sz w:val="17"/>
              </w:rPr>
              <w:t>P3</w:t>
            </w:r>
          </w:p>
        </w:tc>
        <w:tc>
          <w:tcPr>
            <w:tcW w:type="dxa" w:w="4104"/>
            <w:shd w:fill="EEF4FA"/>
            <w:vAlign w:val="center"/>
          </w:tcPr>
          <w:p>
            <w:pPr>
              <w:spacing w:before="0" w:after="0" w:line="240" w:lineRule="auto"/>
              <w:jc w:val="left"/>
            </w:pPr>
            <w:r/>
            <w:r>
              <w:rPr>
                <w:rFonts w:ascii="Calibri" w:hAnsi="Calibri" w:eastAsia="Calibri"/>
                <w:b w:val="0"/>
                <w:color w:val="1F2933"/>
                <w:sz w:val="17"/>
              </w:rPr>
              <w:t>Triển khai Answer Gate và MAS-aware prompt templates.</w:t>
            </w:r>
          </w:p>
        </w:tc>
        <w:tc>
          <w:tcPr>
            <w:tcW w:type="dxa" w:w="4464"/>
            <w:shd w:fill="EEF4FA"/>
            <w:vAlign w:val="center"/>
          </w:tcPr>
          <w:p>
            <w:pPr>
              <w:spacing w:before="0" w:after="0" w:line="240" w:lineRule="auto"/>
              <w:jc w:val="left"/>
            </w:pPr>
            <w:r/>
            <w:r>
              <w:rPr>
                <w:rFonts w:ascii="Calibri" w:hAnsi="Calibri" w:eastAsia="Calibri"/>
                <w:b w:val="0"/>
                <w:color w:val="1F2933"/>
                <w:sz w:val="17"/>
              </w:rPr>
              <w:t>Ablation chứng minh thay đổi về cost, early-stop và duplicated calls.</w:t>
            </w:r>
          </w:p>
        </w:tc>
      </w:tr>
      <w:tr>
        <w:tc>
          <w:tcPr>
            <w:tcW w:type="dxa" w:w="792"/>
            <w:vAlign w:val="center"/>
          </w:tcPr>
          <w:p>
            <w:pPr>
              <w:spacing w:before="0" w:after="0" w:line="240" w:lineRule="auto"/>
              <w:jc w:val="left"/>
            </w:pPr>
            <w:r/>
            <w:r>
              <w:rPr>
                <w:rFonts w:ascii="Calibri" w:hAnsi="Calibri" w:eastAsia="Calibri"/>
                <w:b w:val="0"/>
                <w:color w:val="1F2933"/>
                <w:sz w:val="17"/>
              </w:rPr>
              <w:t>P4</w:t>
            </w:r>
          </w:p>
        </w:tc>
        <w:tc>
          <w:tcPr>
            <w:tcW w:type="dxa" w:w="4104"/>
            <w:vAlign w:val="center"/>
          </w:tcPr>
          <w:p>
            <w:pPr>
              <w:spacing w:before="0" w:after="0" w:line="240" w:lineRule="auto"/>
              <w:jc w:val="left"/>
            </w:pPr>
            <w:r/>
            <w:r>
              <w:rPr>
                <w:rFonts w:ascii="Calibri" w:hAnsi="Calibri" w:eastAsia="Calibri"/>
                <w:b w:val="0"/>
                <w:color w:val="1F2933"/>
                <w:sz w:val="17"/>
              </w:rPr>
              <w:t>Chạy unseen-teammate splits và online capability update; light topology adaptation nếu cần.</w:t>
            </w:r>
          </w:p>
        </w:tc>
        <w:tc>
          <w:tcPr>
            <w:tcW w:type="dxa" w:w="4464"/>
            <w:vAlign w:val="center"/>
          </w:tcPr>
          <w:p>
            <w:pPr>
              <w:spacing w:before="0" w:after="0" w:line="240" w:lineRule="auto"/>
              <w:jc w:val="left"/>
            </w:pPr>
            <w:r/>
            <w:r>
              <w:rPr>
                <w:rFonts w:ascii="Calibri" w:hAnsi="Calibri" w:eastAsia="Calibri"/>
                <w:b w:val="0"/>
                <w:color w:val="1F2933"/>
                <w:sz w:val="17"/>
              </w:rPr>
              <w:t>Báo cáo generalization gap, transfer ratio và failure analysis.</w:t>
            </w:r>
          </w:p>
        </w:tc>
      </w:tr>
    </w:tbl>
    <w:p>
      <w:pPr>
        <w:spacing w:before="0" w:after="80" w:line="276" w:lineRule="auto"/>
      </w:pPr>
    </w:p>
    <w:p>
      <w:pPr>
        <w:pStyle w:val="Heading1"/>
        <w:keepNext/>
      </w:pPr>
      <w:r>
        <w:t>7. Deliverables kỳ vọng</w:t>
      </w:r>
    </w:p>
    <w:p>
      <w:pPr>
        <w:pStyle w:val="ListBullet"/>
        <w:spacing w:before="0" w:after="80" w:line="276" w:lineRule="auto"/>
      </w:pPr>
      <w:r>
        <w:t>Baseline Puppeteer reproduce có cấu hình, seed, checkpoint và log chi phí tái lập được.</w:t>
      </w:r>
    </w:p>
    <w:p>
      <w:pPr>
        <w:pStyle w:val="ListBullet"/>
        <w:spacing w:before="0" w:after="80" w:line="276" w:lineRule="auto"/>
      </w:pPr>
      <w:r>
        <w:t>Agent Capability Profile, Capability Memory và capability-aware scorer để routing không phụ thuộc fixed slots.</w:t>
      </w:r>
    </w:p>
    <w:p>
      <w:pPr>
        <w:pStyle w:val="ListBullet"/>
        <w:spacing w:before="0" w:after="80" w:line="276" w:lineRule="auto"/>
      </w:pPr>
      <w:r>
        <w:t>Answer Gate, MAS-aware prompt templates và các log coordination ở mức path/agent call.</w:t>
      </w:r>
    </w:p>
    <w:p>
      <w:pPr>
        <w:pStyle w:val="ListBullet"/>
        <w:spacing w:before="0" w:after="80" w:line="276" w:lineRule="auto"/>
      </w:pPr>
      <w:r>
        <w:t>Benchmark matrix cho seen/unseen teammate, ablation study, error analysis và báo cáo performance-cost trade-off.</w:t>
      </w:r>
    </w:p>
    <w:p>
      <w:pPr>
        <w:pStyle w:val="ListBullet"/>
        <w:spacing w:before="0" w:after="80" w:line="276" w:lineRule="auto"/>
      </w:pPr>
      <w:r>
        <w:t>Taxonomy cho unseen model backbone, unseen role/tool, unseen combination và agent-pool perturbation.</w:t>
      </w:r>
    </w:p>
    <w:p>
      <w:pPr>
        <w:pStyle w:val="Heading1"/>
        <w:keepNext/>
      </w:pPr>
      <w:r>
        <w:t>Phụ lục A. Mapping agent/LLM: paper gốc và cấu hình hiện tại</w:t>
      </w:r>
    </w:p>
    <w:tbl>
      <w:tblPr>
        <w:tblStyle w:val="TableGrid"/>
        <w:tblW w:type="dxa" w:w="9360"/>
        <w:jc w:val="left"/>
        <w:tblLook w:firstColumn="1" w:firstRow="1" w:lastColumn="0" w:lastRow="0" w:noHBand="0" w:noVBand="1" w:val="04A0"/>
        <w:tblInd w:w="120" w:type="dxa"/>
        <w:tblLayout w:type="fixed"/>
      </w:tblPr>
      <w:tblGrid>
        <w:gridCol w:w="2376"/>
        <w:gridCol w:w="3456"/>
        <w:gridCol w:w="3528"/>
      </w:tblGrid>
      <w:tr>
        <w:trPr>
          <w:tblHeader w:val="true"/>
        </w:trPr>
        <w:tc>
          <w:tcPr>
            <w:tcW w:type="dxa" w:w="2376"/>
            <w:tcMar>
              <w:top w:w="80" w:type="dxa"/>
              <w:start w:w="120" w:type="dxa"/>
              <w:bottom w:w="80" w:type="dxa"/>
              <w:end w:w="120" w:type="dxa"/>
            </w:tcMar>
            <w:shd w:fill="17365D"/>
            <w:vAlign w:val="center"/>
          </w:tcPr>
          <w:p>
            <w:pPr>
              <w:spacing w:before="0" w:after="0" w:line="240" w:lineRule="auto"/>
              <w:jc w:val="center"/>
            </w:pPr>
            <w:r/>
            <w:r>
              <w:rPr>
                <w:rFonts w:ascii="Calibri" w:hAnsi="Calibri" w:eastAsia="Calibri"/>
                <w:b/>
                <w:color w:val="FFFFFF"/>
                <w:sz w:val="16"/>
              </w:rPr>
              <w:t>Role / reasoning pattern</w:t>
            </w:r>
          </w:p>
        </w:tc>
        <w:tc>
          <w:tcPr>
            <w:tcW w:type="dxa" w:w="3456"/>
            <w:tcMar>
              <w:top w:w="80" w:type="dxa"/>
              <w:start w:w="120" w:type="dxa"/>
              <w:bottom w:w="80" w:type="dxa"/>
              <w:end w:w="120" w:type="dxa"/>
            </w:tcMar>
            <w:shd w:fill="17365D"/>
            <w:vAlign w:val="center"/>
          </w:tcPr>
          <w:p>
            <w:pPr>
              <w:spacing w:before="0" w:after="0" w:line="240" w:lineRule="auto"/>
              <w:jc w:val="center"/>
            </w:pPr>
            <w:r/>
            <w:r>
              <w:rPr>
                <w:rFonts w:ascii="Calibri" w:hAnsi="Calibri" w:eastAsia="Calibri"/>
                <w:b/>
                <w:color w:val="FFFFFF"/>
                <w:sz w:val="16"/>
              </w:rPr>
              <w:t>LLM Mimas (paper gốc)</w:t>
            </w:r>
          </w:p>
        </w:tc>
        <w:tc>
          <w:tcPr>
            <w:tcW w:type="dxa" w:w="3528"/>
            <w:tcMar>
              <w:top w:w="80" w:type="dxa"/>
              <w:start w:w="120" w:type="dxa"/>
              <w:bottom w:w="80" w:type="dxa"/>
              <w:end w:w="120" w:type="dxa"/>
            </w:tcMar>
            <w:shd w:fill="17365D"/>
            <w:vAlign w:val="center"/>
          </w:tcPr>
          <w:p>
            <w:pPr>
              <w:spacing w:before="0" w:after="0" w:line="240" w:lineRule="auto"/>
              <w:jc w:val="center"/>
            </w:pPr>
            <w:r/>
            <w:r>
              <w:rPr>
                <w:rFonts w:ascii="Calibri" w:hAnsi="Calibri" w:eastAsia="Calibri"/>
                <w:b/>
                <w:color w:val="FFFFFF"/>
                <w:sz w:val="16"/>
              </w:rPr>
              <w:t>LLM hiện tại</w:t>
            </w:r>
          </w:p>
        </w:tc>
      </w:tr>
      <w:tr>
        <w:tc>
          <w:tcPr>
            <w:tcW w:type="dxa" w:w="2376"/>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FileAgent</w:t>
            </w:r>
          </w:p>
        </w:tc>
        <w:tc>
          <w:tcPr>
            <w:tcW w:type="dxa" w:w="3456"/>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qwen-2.5-7b</w:t>
            </w:r>
          </w:p>
        </w:tc>
        <w:tc>
          <w:tcPr>
            <w:tcW w:type="dxa" w:w="3528"/>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gemma-4-26b-a4b-it</w:t>
            </w:r>
          </w:p>
        </w:tc>
      </w:tr>
      <w:tr>
        <w:tc>
          <w:tcPr>
            <w:tcW w:type="dxa" w:w="2376"/>
            <w:shd w:fill="EEF4FA"/>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ArxivAgent</w:t>
            </w:r>
          </w:p>
        </w:tc>
        <w:tc>
          <w:tcPr>
            <w:tcW w:type="dxa" w:w="3456"/>
            <w:shd w:fill="EEF4FA"/>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qwen-2.5-14b</w:t>
            </w:r>
          </w:p>
        </w:tc>
        <w:tc>
          <w:tcPr>
            <w:tcW w:type="dxa" w:w="3528"/>
            <w:shd w:fill="EEF4FA"/>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gemma-4-26b-a4b-it</w:t>
            </w:r>
          </w:p>
        </w:tc>
      </w:tr>
      <w:tr>
        <w:tc>
          <w:tcPr>
            <w:tcW w:type="dxa" w:w="2376"/>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BingAgent</w:t>
            </w:r>
          </w:p>
        </w:tc>
        <w:tc>
          <w:tcPr>
            <w:tcW w:type="dxa" w:w="3456"/>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llama-3.1-8b</w:t>
            </w:r>
          </w:p>
        </w:tc>
        <w:tc>
          <w:tcPr>
            <w:tcW w:type="dxa" w:w="3528"/>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gemini-3.1-flash-lite</w:t>
            </w:r>
          </w:p>
        </w:tc>
      </w:tr>
      <w:tr>
        <w:tc>
          <w:tcPr>
            <w:tcW w:type="dxa" w:w="2376"/>
            <w:shd w:fill="EEF4FA"/>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WebsiteAgent</w:t>
            </w:r>
          </w:p>
        </w:tc>
        <w:tc>
          <w:tcPr>
            <w:tcW w:type="dxa" w:w="3456"/>
            <w:shd w:fill="EEF4FA"/>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llama-3.2-3b</w:t>
            </w:r>
          </w:p>
        </w:tc>
        <w:tc>
          <w:tcPr>
            <w:tcW w:type="dxa" w:w="3528"/>
            <w:shd w:fill="EEF4FA"/>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gemini-3.1-flash-lite</w:t>
            </w:r>
          </w:p>
        </w:tc>
      </w:tr>
      <w:tr>
        <w:tc>
          <w:tcPr>
            <w:tcW w:type="dxa" w:w="2376"/>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PythonAgent</w:t>
            </w:r>
          </w:p>
        </w:tc>
        <w:tc>
          <w:tcPr>
            <w:tcW w:type="dxa" w:w="3456"/>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mistralai/ministral-3b-2512</w:t>
            </w:r>
          </w:p>
        </w:tc>
        <w:tc>
          <w:tcPr>
            <w:tcW w:type="dxa" w:w="3528"/>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mistralai/ministral-3b-2513</w:t>
            </w:r>
          </w:p>
        </w:tc>
      </w:tr>
      <w:tr>
        <w:tc>
          <w:tcPr>
            <w:tcW w:type="dxa" w:w="2376"/>
            <w:shd w:fill="EEF4FA"/>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PlannerAgent</w:t>
            </w:r>
          </w:p>
        </w:tc>
        <w:tc>
          <w:tcPr>
            <w:tcW w:type="dxa" w:w="3456"/>
            <w:shd w:fill="EEF4FA"/>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mistral-nemo-12b</w:t>
            </w:r>
          </w:p>
        </w:tc>
        <w:tc>
          <w:tcPr>
            <w:tcW w:type="dxa" w:w="3528"/>
            <w:shd w:fill="EEF4FA"/>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mistral-nemo-12b</w:t>
            </w:r>
          </w:p>
        </w:tc>
      </w:tr>
      <w:tr>
        <w:tc>
          <w:tcPr>
            <w:tcW w:type="dxa" w:w="2376"/>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ReasoningAgent</w:t>
            </w:r>
          </w:p>
        </w:tc>
        <w:tc>
          <w:tcPr>
            <w:tcW w:type="dxa" w:w="3456"/>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qwen-2.5-14b</w:t>
            </w:r>
          </w:p>
        </w:tc>
        <w:tc>
          <w:tcPr>
            <w:tcW w:type="dxa" w:w="3528"/>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gemma-4-26b-a4b-it</w:t>
            </w:r>
          </w:p>
        </w:tc>
      </w:tr>
      <w:tr>
        <w:tc>
          <w:tcPr>
            <w:tcW w:type="dxa" w:w="2376"/>
            <w:shd w:fill="EEF4FA"/>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CriticAgent</w:t>
            </w:r>
          </w:p>
        </w:tc>
        <w:tc>
          <w:tcPr>
            <w:tcW w:type="dxa" w:w="3456"/>
            <w:shd w:fill="EEF4FA"/>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llama-3.1-8b</w:t>
            </w:r>
          </w:p>
        </w:tc>
        <w:tc>
          <w:tcPr>
            <w:tcW w:type="dxa" w:w="3528"/>
            <w:shd w:fill="EEF4FA"/>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gemini-3.1-flash-lite</w:t>
            </w:r>
          </w:p>
        </w:tc>
      </w:tr>
      <w:tr>
        <w:tc>
          <w:tcPr>
            <w:tcW w:type="dxa" w:w="2376"/>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ReflectAgent</w:t>
            </w:r>
          </w:p>
        </w:tc>
        <w:tc>
          <w:tcPr>
            <w:tcW w:type="dxa" w:w="3456"/>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mistral-nemo-12b</w:t>
            </w:r>
          </w:p>
        </w:tc>
        <w:tc>
          <w:tcPr>
            <w:tcW w:type="dxa" w:w="3528"/>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mistral-nemo-12b</w:t>
            </w:r>
          </w:p>
        </w:tc>
      </w:tr>
      <w:tr>
        <w:tc>
          <w:tcPr>
            <w:tcW w:type="dxa" w:w="2376"/>
            <w:shd w:fill="EEF4FA"/>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QuestionAgent</w:t>
            </w:r>
          </w:p>
        </w:tc>
        <w:tc>
          <w:tcPr>
            <w:tcW w:type="dxa" w:w="3456"/>
            <w:shd w:fill="EEF4FA"/>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llama-3.2-3b</w:t>
            </w:r>
          </w:p>
        </w:tc>
        <w:tc>
          <w:tcPr>
            <w:tcW w:type="dxa" w:w="3528"/>
            <w:shd w:fill="EEF4FA"/>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gemini-3.1-flash-lite</w:t>
            </w:r>
          </w:p>
        </w:tc>
      </w:tr>
      <w:tr>
        <w:tc>
          <w:tcPr>
            <w:tcW w:type="dxa" w:w="2376"/>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SummarizerAgent</w:t>
            </w:r>
          </w:p>
        </w:tc>
        <w:tc>
          <w:tcPr>
            <w:tcW w:type="dxa" w:w="3456"/>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qwen-2.5-7b</w:t>
            </w:r>
          </w:p>
        </w:tc>
        <w:tc>
          <w:tcPr>
            <w:tcW w:type="dxa" w:w="3528"/>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gemma-4-26b-a4b-it</w:t>
            </w:r>
          </w:p>
        </w:tc>
      </w:tr>
      <w:tr>
        <w:tc>
          <w:tcPr>
            <w:tcW w:type="dxa" w:w="2376"/>
            <w:shd w:fill="EEF4FA"/>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ConcluderAgent</w:t>
            </w:r>
          </w:p>
        </w:tc>
        <w:tc>
          <w:tcPr>
            <w:tcW w:type="dxa" w:w="3456"/>
            <w:shd w:fill="EEF4FA"/>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mistralai/ministral-3b-2512</w:t>
            </w:r>
          </w:p>
        </w:tc>
        <w:tc>
          <w:tcPr>
            <w:tcW w:type="dxa" w:w="3528"/>
            <w:shd w:fill="EEF4FA"/>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mistralai/ministral-3b-2513</w:t>
            </w:r>
          </w:p>
        </w:tc>
      </w:tr>
      <w:tr>
        <w:tc>
          <w:tcPr>
            <w:tcW w:type="dxa" w:w="2376"/>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ModifierAgent</w:t>
            </w:r>
          </w:p>
        </w:tc>
        <w:tc>
          <w:tcPr>
            <w:tcW w:type="dxa" w:w="3456"/>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qwen-2.5-14b</w:t>
            </w:r>
          </w:p>
        </w:tc>
        <w:tc>
          <w:tcPr>
            <w:tcW w:type="dxa" w:w="3528"/>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gemma-4-26b-a4b-it</w:t>
            </w:r>
          </w:p>
        </w:tc>
      </w:tr>
      <w:tr>
        <w:tc>
          <w:tcPr>
            <w:tcW w:type="dxa" w:w="2376"/>
            <w:shd w:fill="EEF4FA"/>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TerminatorAgent</w:t>
            </w:r>
          </w:p>
        </w:tc>
        <w:tc>
          <w:tcPr>
            <w:tcW w:type="dxa" w:w="3456"/>
            <w:shd w:fill="EEF4FA"/>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llama-3.1-8b</w:t>
            </w:r>
          </w:p>
        </w:tc>
        <w:tc>
          <w:tcPr>
            <w:tcW w:type="dxa" w:w="3528"/>
            <w:shd w:fill="EEF4FA"/>
            <w:vAlign w:val="center"/>
            <w:tcMar>
              <w:top w:w="45" w:type="dxa"/>
              <w:start w:w="120" w:type="dxa"/>
              <w:bottom w:w="45" w:type="dxa"/>
              <w:end w:w="120" w:type="dxa"/>
            </w:tcMar>
          </w:tcPr>
          <w:p>
            <w:pPr>
              <w:spacing w:before="0" w:after="0" w:line="240" w:lineRule="auto"/>
              <w:jc w:val="left"/>
            </w:pPr>
            <w:r/>
            <w:r>
              <w:rPr>
                <w:rFonts w:ascii="Calibri" w:hAnsi="Calibri" w:eastAsia="Calibri"/>
                <w:b w:val="0"/>
                <w:color w:val="1F2933"/>
                <w:sz w:val="16"/>
              </w:rPr>
              <w:t>gemini-3.1-flash-lite</w:t>
            </w:r>
          </w:p>
        </w:tc>
      </w:tr>
    </w:tbl>
    <w:p>
      <w:pPr>
        <w:spacing w:before="0" w:after="80" w:line="276" w:lineRule="auto"/>
      </w:pPr>
    </w:p>
    <w:p>
      <w:pPr>
        <w:pStyle w:val="Heading1"/>
        <w:keepNext/>
      </w:pPr>
      <w:r>
        <w:t>Tài liệu nguồn tổng hợp</w:t>
      </w:r>
    </w:p>
    <w:p>
      <w:pPr>
        <w:spacing w:before="0" w:after="60" w:line="276" w:lineRule="auto"/>
      </w:pPr>
      <w:r>
        <w:rPr>
          <w:rFonts w:ascii="Calibri" w:hAnsi="Calibri" w:eastAsia="Calibri"/>
          <w:b w:val="0"/>
          <w:i w:val="0"/>
          <w:color w:val="1F2933"/>
          <w:sz w:val="19"/>
        </w:rPr>
        <w:t>[1] Báo cáo tiến độ reproduce Puppeteer và đề xuất cải thiện generalization (DOCX, 20/07/2026).</w:t>
      </w:r>
    </w:p>
    <w:p>
      <w:pPr>
        <w:spacing w:before="0" w:after="60" w:line="276" w:lineRule="auto"/>
      </w:pPr>
      <w:r>
        <w:rPr>
          <w:rFonts w:ascii="Calibri" w:hAnsi="Calibri" w:eastAsia="Calibri"/>
          <w:b w:val="0"/>
          <w:i w:val="0"/>
          <w:color w:val="1F2933"/>
          <w:sz w:val="19"/>
        </w:rPr>
        <w:t>[2] Puppeteer progress generalization slides (PPTX, 20/07/2026).</w:t>
      </w:r>
    </w:p>
    <w:p>
      <w:pPr>
        <w:spacing w:before="0" w:after="60" w:line="276" w:lineRule="auto"/>
      </w:pPr>
      <w:r>
        <w:rPr>
          <w:rFonts w:ascii="Calibri" w:hAnsi="Calibri" w:eastAsia="Calibri"/>
          <w:b w:val="0"/>
          <w:i w:val="0"/>
          <w:color w:val="1F2933"/>
          <w:sz w:val="19"/>
        </w:rPr>
        <w:t>[3] Generalizing LLM-Based Multi-Agent Systems to Unseen Teammates via Capability-Aware Orchestration (proposal PDF).</w:t>
      </w:r>
    </w:p>
    <w:p>
      <w:pPr>
        <w:spacing w:before="0" w:after="60" w:line="276" w:lineRule="auto"/>
      </w:pPr>
      <w:r>
        <w:rPr>
          <w:rFonts w:ascii="Calibri" w:hAnsi="Calibri" w:eastAsia="Calibri"/>
          <w:b w:val="0"/>
          <w:i w:val="0"/>
          <w:color w:val="1F2933"/>
          <w:sz w:val="19"/>
        </w:rPr>
        <w:t>[4] Thiết kế experimental setup cho proposal (PDF, tiếng Việt).</w:t>
      </w:r>
    </w:p>
    <w:p>
      <w:pPr>
        <w:spacing w:before="0" w:after="60" w:line="276" w:lineRule="auto"/>
      </w:pPr>
      <w:r>
        <w:rPr>
          <w:rFonts w:ascii="Calibri" w:hAnsi="Calibri" w:eastAsia="Calibri"/>
          <w:b w:val="0"/>
          <w:i w:val="0"/>
          <w:color w:val="1F2933"/>
          <w:sz w:val="19"/>
        </w:rPr>
        <w:t>[5] Dang et al. (2025), Mahajan et al. (2022) và các tài liệu tham khảo đã liệt kê trong proposal.</w:t>
      </w:r>
    </w:p>
    <w:sectPr w:rsidR="00FC693F" w:rsidRPr="0006063C" w:rsidSect="00034616">
      <w:headerReference w:type="default" r:id="rId9"/>
      <w:footerReference w:type="default" r:id="rId10"/>
      <w:pgSz w:w="12240" w:h="15840"/>
      <w:pgMar w:top="1181"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eastAsia="Calibri"/>
        <w:color w:val="5B6573"/>
        <w:sz w:val="17"/>
      </w:rPr>
      <w:t xml:space="preserve">Báo cáo tổng hợp tiến độ | Tháng 08/2026 | 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eastAsia="Calibri"/>
        <w:b/>
        <w:color w:val="5B6573"/>
        <w:sz w:val="17"/>
      </w:rPr>
      <w:t>PUPPETEER REPRODUCE | CAPABILITY-AWARE ORCHESTRATION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eastAsia="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76"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tiến độ Puppeteer và kế hoạch thực nghiệm</dc:title>
  <dc:subject>Puppeteer reproduce, capability-aware orchestration, unseen-teammate generalization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