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93"/>
        <w:gridCol w:w="5247"/>
      </w:tblGrid>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QU</w:t>
            </w:r>
            <w:r>
              <w:rPr>
                <w:b/>
                <w:bCs/>
                <w:color w:val="000000"/>
                <w:rtl w:val="0"/>
              </w:rPr>
              <w:t>ỐC HỘI</w:t>
            </w:r>
            <w:r>
              <w:rPr>
                <w:b/>
                <w:bCs/>
                <w:color w:val="000000"/>
                <w:rtl w:val="0"/>
              </w:rPr>
              <w:br/>
            </w:r>
            <w:r>
              <w:rPr>
                <w:b/>
                <w:bCs/>
                <w:color w:val="000000"/>
                <w:rtl w:val="0"/>
              </w:rPr>
              <w:t>-------</w:t>
            </w:r>
          </w:p>
        </w:tc>
        <w:tc>
          <w:tcPr>
            <w:tcW w:w="564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color w:val="000000"/>
                <w:rtl w:val="0"/>
              </w:rPr>
              <w:t>Luật số: 09/2026/QH16</w:t>
            </w:r>
          </w:p>
        </w:tc>
        <w:tc>
          <w:tcPr>
            <w:tcW w:w="564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color w:val="000000"/>
                <w:rtl w:val="0"/>
              </w:rPr>
              <w:t>Hà Nội, ngày 24 tháng 4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color w:val="000000"/>
          <w:sz w:val="24"/>
          <w:rtl w:val="0"/>
        </w:rPr>
        <w:t>LUẬT</w:t>
      </w:r>
      <w:bookmarkEnd w:id="0"/>
    </w:p>
    <w:p>
      <w:pPr>
        <w:bidi w:val="0"/>
        <w:spacing w:before="120" w:beforeAutospacing="0" w:after="280" w:afterAutospacing="1"/>
        <w:jc w:val="center"/>
      </w:pPr>
      <w:bookmarkStart w:id="1" w:name="loai_1_name"/>
      <w:r>
        <w:rPr>
          <w:color w:val="000000"/>
          <w:rtl w:val="0"/>
        </w:rPr>
        <w:t>SỬA ĐỔI, BỔ SUNG MỘT SỐ ĐIỀU CỦA LUẬT THUẾ THU NHẬP CÁ NHÂN, LUẬT THUẾ GIÁ TRỊ GIA TĂNG, LUẬT THUẾ THU NHẬP DOANH NGHIỆP VÀ LUẬT THUẾ TIÊU THỤ ĐẶC BIỆT</w:t>
      </w:r>
      <w:bookmarkEnd w:id="1"/>
    </w:p>
    <w:p>
      <w:pPr>
        <w:bidi w:val="0"/>
        <w:spacing w:before="120" w:beforeAutospacing="0" w:after="280" w:afterAutospacing="1"/>
      </w:pPr>
      <w:r>
        <w:rPr>
          <w:i/>
          <w:iCs/>
          <w:color w:val="000000"/>
          <w:rtl w:val="0"/>
        </w:rPr>
        <w:t xml:space="preserve">Căn cứ </w:t>
      </w:r>
      <w:bookmarkStart w:id="2" w:name="tvpllink_khhhnejlqt"/>
      <w:r>
        <w:rPr>
          <w:i/>
          <w:iCs/>
          <w:color w:val="000000"/>
          <w:rtl w:val="0"/>
        </w:rPr>
        <w:t>Hiến pháp nước Cộng hòa xã hội chủ nghĩa Việt Nam</w:t>
      </w:r>
      <w:bookmarkEnd w:id="2"/>
      <w:r>
        <w:rPr>
          <w:i/>
          <w:iCs/>
          <w:color w:val="000000"/>
          <w:rtl w:val="0"/>
        </w:rPr>
        <w:t xml:space="preserve"> đã được sửa đổi, bổ sung một số điều theo Nghị quyết số </w:t>
      </w:r>
      <w:bookmarkStart w:id="3" w:name="tvpllink_cpjxhzionh"/>
      <w:r>
        <w:rPr>
          <w:i/>
          <w:iCs/>
          <w:color w:val="000000"/>
          <w:rtl w:val="0"/>
        </w:rPr>
        <w:t>203/2025/QH15</w:t>
      </w:r>
      <w:bookmarkEnd w:id="3"/>
      <w:r>
        <w:rPr>
          <w:i/>
          <w:iCs/>
          <w:color w:val="000000"/>
          <w:rtl w:val="0"/>
        </w:rPr>
        <w:t>;</w:t>
      </w:r>
    </w:p>
    <w:p>
      <w:pPr>
        <w:bidi w:val="0"/>
        <w:spacing w:before="120" w:beforeAutospacing="0" w:after="280" w:afterAutospacing="1"/>
      </w:pPr>
      <w:r>
        <w:rPr>
          <w:i/>
          <w:iCs/>
          <w:color w:val="000000"/>
          <w:rtl w:val="0"/>
        </w:rPr>
        <w:t xml:space="preserve">Quốc hội ban hành Luật sửa đổi, bổ sung một số điều của </w:t>
      </w:r>
      <w:bookmarkStart w:id="4" w:name="tvpllink_dpcyvuvnvp"/>
      <w:r>
        <w:rPr>
          <w:i/>
          <w:iCs/>
          <w:color w:val="000000"/>
          <w:rtl w:val="0"/>
        </w:rPr>
        <w:t>Luật Thuế thu nhập cá nhân số 109/2025/QH15</w:t>
      </w:r>
      <w:bookmarkEnd w:id="4"/>
      <w:r>
        <w:rPr>
          <w:i/>
          <w:iCs/>
          <w:color w:val="000000"/>
          <w:rtl w:val="0"/>
        </w:rPr>
        <w:t xml:space="preserve">; Luật </w:t>
      </w:r>
      <w:bookmarkStart w:id="5" w:name="tvpllink_cfonnkiqjn"/>
      <w:r>
        <w:rPr>
          <w:i/>
          <w:iCs/>
          <w:color w:val="000000"/>
          <w:rtl w:val="0"/>
        </w:rPr>
        <w:t>Thuế giá trị gia tăng số 48/2024/QH15</w:t>
      </w:r>
      <w:bookmarkEnd w:id="5"/>
      <w:r>
        <w:rPr>
          <w:i/>
          <w:iCs/>
          <w:color w:val="000000"/>
          <w:rtl w:val="0"/>
        </w:rPr>
        <w:t xml:space="preserve"> đã được sửa đổi, bổ sung một số điều theo Luật số </w:t>
      </w:r>
      <w:bookmarkStart w:id="6" w:name="tvpllink_hbwjisyjfg"/>
      <w:r>
        <w:rPr>
          <w:i/>
          <w:iCs/>
          <w:color w:val="000000"/>
          <w:rtl w:val="0"/>
        </w:rPr>
        <w:t>90/2025/QH15</w:t>
      </w:r>
      <w:bookmarkEnd w:id="6"/>
      <w:r>
        <w:rPr>
          <w:i/>
          <w:iCs/>
          <w:color w:val="000000"/>
          <w:rtl w:val="0"/>
        </w:rPr>
        <w:t xml:space="preserve"> và Luật số </w:t>
      </w:r>
      <w:bookmarkStart w:id="7" w:name="tvpllink_rvitzjewwo"/>
      <w:r>
        <w:rPr>
          <w:i/>
          <w:iCs/>
          <w:color w:val="000000"/>
          <w:rtl w:val="0"/>
        </w:rPr>
        <w:t>149/2025/QH15</w:t>
      </w:r>
      <w:bookmarkEnd w:id="7"/>
      <w:r>
        <w:rPr>
          <w:i/>
          <w:iCs/>
          <w:color w:val="000000"/>
          <w:rtl w:val="0"/>
        </w:rPr>
        <w:t xml:space="preserve">; </w:t>
      </w:r>
      <w:bookmarkStart w:id="8" w:name="tvpllink_oeourfywdf"/>
      <w:r>
        <w:rPr>
          <w:i/>
          <w:iCs/>
          <w:color w:val="000000"/>
          <w:rtl w:val="0"/>
        </w:rPr>
        <w:t>Luật Thuế thu nhập doanh nghiệp số 67/2025/QH15</w:t>
      </w:r>
      <w:bookmarkEnd w:id="8"/>
      <w:r>
        <w:rPr>
          <w:i/>
          <w:iCs/>
          <w:color w:val="000000"/>
          <w:rtl w:val="0"/>
        </w:rPr>
        <w:t xml:space="preserve"> đã được sửa đổi, bổ sung một số điều theo Luật số </w:t>
      </w:r>
      <w:bookmarkStart w:id="9" w:name="tvpllink_vrekhmbxjv"/>
      <w:r>
        <w:rPr>
          <w:i/>
          <w:iCs/>
          <w:color w:val="000000"/>
          <w:rtl w:val="0"/>
        </w:rPr>
        <w:t>116/2025/QH15</w:t>
      </w:r>
      <w:bookmarkEnd w:id="9"/>
      <w:r>
        <w:rPr>
          <w:i/>
          <w:iCs/>
          <w:color w:val="000000"/>
          <w:rtl w:val="0"/>
        </w:rPr>
        <w:t xml:space="preserve">, Luật số </w:t>
      </w:r>
      <w:bookmarkStart w:id="10" w:name="tvpllink_ekozfifkaj"/>
      <w:r>
        <w:rPr>
          <w:i/>
          <w:iCs/>
          <w:color w:val="000000"/>
          <w:rtl w:val="0"/>
        </w:rPr>
        <w:t>127/2025/QH15</w:t>
      </w:r>
      <w:bookmarkEnd w:id="10"/>
      <w:r>
        <w:rPr>
          <w:i/>
          <w:iCs/>
          <w:color w:val="000000"/>
          <w:rtl w:val="0"/>
        </w:rPr>
        <w:t xml:space="preserve">, Luật số </w:t>
      </w:r>
      <w:bookmarkStart w:id="11" w:name="tvpllink_kwrzwklmog"/>
      <w:r>
        <w:rPr>
          <w:i/>
          <w:iCs/>
          <w:color w:val="000000"/>
          <w:rtl w:val="0"/>
        </w:rPr>
        <w:t>133/2025/QH15</w:t>
      </w:r>
      <w:bookmarkEnd w:id="11"/>
      <w:r>
        <w:rPr>
          <w:i/>
          <w:iCs/>
          <w:color w:val="000000"/>
          <w:rtl w:val="0"/>
        </w:rPr>
        <w:t xml:space="preserve">, Luật số </w:t>
      </w:r>
      <w:bookmarkStart w:id="12" w:name="tvpllink_paqclkydfm"/>
      <w:r>
        <w:rPr>
          <w:i/>
          <w:iCs/>
          <w:color w:val="000000"/>
          <w:rtl w:val="0"/>
        </w:rPr>
        <w:t>141/2025/QH15</w:t>
      </w:r>
      <w:bookmarkEnd w:id="12"/>
      <w:r>
        <w:rPr>
          <w:i/>
          <w:iCs/>
          <w:color w:val="000000"/>
          <w:rtl w:val="0"/>
        </w:rPr>
        <w:t xml:space="preserve"> và Luật số </w:t>
      </w:r>
      <w:bookmarkStart w:id="13" w:name="tvpllink_mbfkravsmf"/>
      <w:r>
        <w:rPr>
          <w:i/>
          <w:iCs/>
          <w:color w:val="000000"/>
          <w:rtl w:val="0"/>
        </w:rPr>
        <w:t>143/2025/QH15</w:t>
      </w:r>
      <w:bookmarkEnd w:id="13"/>
      <w:r>
        <w:rPr>
          <w:i/>
          <w:iCs/>
          <w:color w:val="000000"/>
          <w:rtl w:val="0"/>
        </w:rPr>
        <w:t xml:space="preserve">; </w:t>
      </w:r>
      <w:bookmarkStart w:id="14" w:name="tvpllink_wpbxsxrzmg"/>
      <w:r>
        <w:rPr>
          <w:i/>
          <w:iCs/>
          <w:color w:val="000000"/>
          <w:rtl w:val="0"/>
        </w:rPr>
        <w:t>Luật Thuế tiêu thụ đặc biệt số 66/2025/QH15</w:t>
      </w:r>
      <w:bookmarkEnd w:id="14"/>
      <w:r>
        <w:rPr>
          <w:i/>
          <w:iCs/>
          <w:color w:val="000000"/>
          <w:rtl w:val="0"/>
        </w:rPr>
        <w:t>.</w:t>
      </w:r>
    </w:p>
    <w:p>
      <w:pPr>
        <w:bidi w:val="0"/>
        <w:spacing w:before="120" w:beforeAutospacing="0" w:after="280" w:afterAutospacing="1"/>
      </w:pPr>
      <w:bookmarkStart w:id="15" w:name="dieu_1"/>
      <w:r>
        <w:rPr>
          <w:b/>
          <w:bCs/>
          <w:color w:val="000000"/>
          <w:rtl w:val="0"/>
        </w:rPr>
        <w:t>Điều</w:t>
      </w:r>
      <w:r>
        <w:rPr>
          <w:b/>
          <w:bCs/>
          <w:color w:val="000000"/>
          <w:rtl w:val="0"/>
        </w:rPr>
        <w:t xml:space="preserve"> 1. Sửa đổi, bổ sung khoản 1 Điều 7 của Luật Thuế thu nhập cá nhân</w:t>
      </w:r>
      <w:bookmarkEnd w:id="15"/>
    </w:p>
    <w:p>
      <w:pPr>
        <w:bidi w:val="0"/>
        <w:spacing w:before="120" w:beforeAutospacing="0" w:after="280" w:afterAutospacing="1"/>
      </w:pPr>
      <w:r>
        <w:rPr>
          <w:color w:val="000000"/>
          <w:rtl w:val="0"/>
        </w:rPr>
        <w:t>“1. Cá nhân cư trú có ho</w:t>
      </w:r>
      <w:r>
        <w:rPr>
          <w:color w:val="000000"/>
          <w:rtl w:val="0"/>
        </w:rPr>
        <w:t>ạt động sản xuất, kinh doanh có doanh thu năm từ mức quy định của Chính phủ trở xuống không phải nộp thuế thu nhập cá nhân. Căn cứ các chỉ số kinh tế vĩ mô, khả năng cân đối ngân sách, Chính phủ quy định mức doanh thu năm phù hợp với bối cảnh kinh tế - xã hội trong từng thời kỳ.”.</w:t>
      </w:r>
    </w:p>
    <w:p>
      <w:pPr>
        <w:bidi w:val="0"/>
        <w:spacing w:before="120" w:beforeAutospacing="0" w:after="280" w:afterAutospacing="1"/>
      </w:pPr>
      <w:bookmarkStart w:id="16" w:name="dieu_2"/>
      <w:r>
        <w:rPr>
          <w:b/>
          <w:bCs/>
          <w:color w:val="000000"/>
          <w:rtl w:val="0"/>
        </w:rPr>
        <w:t>Điều</w:t>
      </w:r>
      <w:r>
        <w:rPr>
          <w:b/>
          <w:bCs/>
          <w:color w:val="000000"/>
          <w:rtl w:val="0"/>
        </w:rPr>
        <w:t xml:space="preserve"> 2. Sửa đổi, bổ sung khoản 25 Điều 5 của Luật Thuế giá trị gia tăng</w:t>
      </w:r>
      <w:bookmarkEnd w:id="16"/>
    </w:p>
    <w:p>
      <w:pPr>
        <w:bidi w:val="0"/>
        <w:spacing w:before="120" w:beforeAutospacing="0" w:after="280" w:afterAutospacing="1"/>
      </w:pPr>
      <w:r>
        <w:rPr>
          <w:color w:val="000000"/>
          <w:rtl w:val="0"/>
        </w:rPr>
        <w:t>“25. Hàng hóa, d</w:t>
      </w:r>
      <w:r>
        <w:rPr>
          <w:color w:val="000000"/>
          <w:rtl w:val="0"/>
        </w:rPr>
        <w:t>ịch vụ của hộ, cá nhân sản xuất, kinh doanh có doanh thu năm từ mức quy định của Chính phủ trở xuống; tài sản của tổ chức, cá nhân không kinh doanh, không phải là người nộp thuế giá trị gia tăng bán ra; hàng dự trữ quốc gia do cơ quan dự trữ quốc gia bán ra; các khoản thu phí, lệ phí theo quy định của pháp luật về phí và lệ phí. Căn cứ các chỉ số kinh tế vĩ mô, khả năng cân đối ngân sách; Chính phủ quy định mức doanh thu năm tại khoản này phù hợp với bối cảnh kinh tế - xã hội trong từng thời kỳ.”.</w:t>
      </w:r>
    </w:p>
    <w:p>
      <w:pPr>
        <w:bidi w:val="0"/>
        <w:spacing w:before="120" w:beforeAutospacing="0" w:after="280" w:afterAutospacing="1"/>
      </w:pPr>
      <w:bookmarkStart w:id="17" w:name="dieu_3"/>
      <w:r>
        <w:rPr>
          <w:b/>
          <w:bCs/>
          <w:color w:val="000000"/>
          <w:rtl w:val="0"/>
        </w:rPr>
        <w:t>Điều</w:t>
      </w:r>
      <w:r>
        <w:rPr>
          <w:b/>
          <w:bCs/>
          <w:color w:val="000000"/>
          <w:rtl w:val="0"/>
        </w:rPr>
        <w:t xml:space="preserve"> 3. Bổ sung khoản 14a vào sau khoản 14 Điều 4 của Luật Thuế thu nhập doanh nghiệp</w:t>
      </w:r>
      <w:bookmarkEnd w:id="17"/>
    </w:p>
    <w:p>
      <w:pPr>
        <w:bidi w:val="0"/>
        <w:spacing w:before="120" w:beforeAutospacing="0" w:after="280" w:afterAutospacing="1"/>
      </w:pPr>
      <w:r>
        <w:rPr>
          <w:color w:val="000000"/>
          <w:rtl w:val="0"/>
        </w:rPr>
        <w:t>“14a. Thu nh</w:t>
      </w:r>
      <w:r>
        <w:rPr>
          <w:color w:val="000000"/>
          <w:rtl w:val="0"/>
        </w:rPr>
        <w:t>ập của doanh nghiệp, tổ chức được thành lập theo quy định của pháp luật Việt Nam có tổng doanh thu năm từ mức quy định của Chính phủ trở xuống được miễn thuế thu nhập doanh nghiệp. Căn cứ các chỉ số kinh tế vĩ mô, khả năng cân đối ngân sách, Chính phủ quy định mức tổng doanh thu năm phù hợp với bối cảnh kinh tế - xã hội trong từng thời kỳ.”.</w:t>
      </w:r>
    </w:p>
    <w:p>
      <w:pPr>
        <w:bidi w:val="0"/>
        <w:spacing w:before="120" w:beforeAutospacing="0" w:after="280" w:afterAutospacing="1"/>
      </w:pPr>
      <w:bookmarkStart w:id="18" w:name="dieu_4"/>
      <w:r>
        <w:rPr>
          <w:b/>
          <w:bCs/>
          <w:color w:val="000000"/>
          <w:rtl w:val="0"/>
        </w:rPr>
        <w:t>Điều</w:t>
      </w:r>
      <w:r>
        <w:rPr>
          <w:b/>
          <w:bCs/>
          <w:color w:val="000000"/>
          <w:rtl w:val="0"/>
        </w:rPr>
        <w:t xml:space="preserve"> 4. Sửa đổi, bổ sung quy định về xe có gắn động cơ dưới 24 chỗ chạy bằng pin tại điểm g mục 4 phần I của Biểu thuế tiêu thụ đặc biệt quy định tại khoản 1 Điều 8 của Luật Thuế tiêu thụ đặc biệt</w:t>
      </w:r>
      <w:bookmarkEnd w:id="18"/>
    </w:p>
    <w:tbl>
      <w:tblPr>
        <w:tblW w:w="5000" w:type="pct"/>
        <w:jc w:val="left"/>
        <w:tblCellMar>
          <w:top w:w="0" w:type="dxa"/>
          <w:left w:w="0" w:type="dxa"/>
          <w:bottom w:w="0" w:type="dxa"/>
          <w:right w:w="0" w:type="dxa"/>
        </w:tblCellMar>
      </w:tblPr>
      <w:tblGrid>
        <w:gridCol w:w="551"/>
        <w:gridCol w:w="6228"/>
        <w:gridCol w:w="1861"/>
      </w:tblGrid>
      <w:tr>
        <w:tblPrEx>
          <w:tblW w:w="5000" w:type="pct"/>
          <w:jc w:val="left"/>
          <w:tblCellMar>
            <w:top w:w="0" w:type="dxa"/>
            <w:left w:w="0" w:type="dxa"/>
            <w:bottom w:w="0" w:type="dxa"/>
            <w:right w:w="0" w:type="dxa"/>
          </w:tblCellMar>
        </w:tblPrEx>
        <w:trPr>
          <w:jc w:val="left"/>
        </w:trPr>
        <w:tc>
          <w:tcPr>
            <w:tcW w:w="319"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STT</w:t>
            </w:r>
          </w:p>
        </w:tc>
        <w:tc>
          <w:tcPr>
            <w:tcW w:w="3604"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Hàng hóa, d</w:t>
            </w:r>
            <w:r>
              <w:rPr>
                <w:b/>
                <w:bCs/>
                <w:color w:val="000000"/>
                <w:rtl w:val="0"/>
              </w:rPr>
              <w:t>ịch vụ</w:t>
            </w:r>
          </w:p>
        </w:tc>
        <w:tc>
          <w:tcPr>
            <w:tcW w:w="1077"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Thu</w:t>
            </w:r>
            <w:r>
              <w:rPr>
                <w:b/>
                <w:bCs/>
                <w:color w:val="000000"/>
                <w:rtl w:val="0"/>
              </w:rPr>
              <w:t>ế suất (%)</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36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g) Xe có g</w:t>
            </w:r>
            <w:r>
              <w:rPr>
                <w:color w:val="000000"/>
                <w:rtl w:val="0"/>
              </w:rPr>
              <w:t>ắn động cơ dưới 24 chỗ chạy điện</w:t>
            </w:r>
          </w:p>
        </w:tc>
        <w:tc>
          <w:tcPr>
            <w:tcW w:w="10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Xe có g</w:t>
            </w:r>
            <w:r>
              <w:rPr>
                <w:color w:val="000000"/>
                <w:rtl w:val="0"/>
              </w:rPr>
              <w:t>ắn động cơ dưới 24 chỗ chạy bằng pin</w:t>
            </w:r>
          </w:p>
        </w:tc>
        <w:tc>
          <w:tcPr>
            <w:tcW w:w="10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Xe ô tô ch</w:t>
            </w:r>
            <w:r>
              <w:rPr>
                <w:color w:val="000000"/>
                <w:rtl w:val="0"/>
              </w:rPr>
              <w:t>ở người và xe chở người bốn bánh có gắn động cơ từ 9 chỗ trở xuống, xe ô tô pick-up chở người</w:t>
            </w:r>
          </w:p>
        </w:tc>
        <w:tc>
          <w:tcPr>
            <w:tcW w:w="10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280" w:afterAutospacing="1"/>
            </w:pPr>
            <w:r>
              <w:rPr>
                <w:color w:val="000000"/>
                <w:rtl w:val="0"/>
              </w:rPr>
              <w:t>- T</w:t>
            </w:r>
            <w:r>
              <w:rPr>
                <w:color w:val="000000"/>
                <w:rtl w:val="0"/>
              </w:rPr>
              <w:t>ừ 01/01/2026: 3</w:t>
            </w:r>
          </w:p>
          <w:p>
            <w:pPr>
              <w:bidi w:val="0"/>
              <w:spacing w:before="120" w:beforeAutospacing="0" w:after="0" w:afterAutospacing="0"/>
              <w:rPr>
                <w:rtl w:val="0"/>
              </w:rPr>
            </w:pPr>
            <w:r>
              <w:rPr>
                <w:color w:val="000000"/>
                <w:rtl w:val="0"/>
              </w:rPr>
              <w:t>- T</w:t>
            </w:r>
            <w:r>
              <w:rPr>
                <w:color w:val="000000"/>
                <w:rtl w:val="0"/>
              </w:rPr>
              <w:t>ừ 01/01/2031: 11</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Xe ô tô ch</w:t>
            </w:r>
            <w:r>
              <w:rPr>
                <w:color w:val="000000"/>
                <w:rtl w:val="0"/>
              </w:rPr>
              <w:t>ở người và xe chở người bốn bánh có gắn động cơ từ 10 đến dưới 16 chỗ</w:t>
            </w:r>
          </w:p>
        </w:tc>
        <w:tc>
          <w:tcPr>
            <w:tcW w:w="10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280" w:afterAutospacing="1"/>
            </w:pPr>
            <w:r>
              <w:rPr>
                <w:color w:val="000000"/>
                <w:rtl w:val="0"/>
              </w:rPr>
              <w:t>- T</w:t>
            </w:r>
            <w:r>
              <w:rPr>
                <w:color w:val="000000"/>
                <w:rtl w:val="0"/>
              </w:rPr>
              <w:t>ừ 01/01/2026: 2</w:t>
            </w:r>
          </w:p>
          <w:p>
            <w:pPr>
              <w:bidi w:val="0"/>
              <w:spacing w:before="120" w:beforeAutospacing="0" w:after="0" w:afterAutospacing="0"/>
              <w:rPr>
                <w:rtl w:val="0"/>
              </w:rPr>
            </w:pPr>
            <w:r>
              <w:rPr>
                <w:color w:val="000000"/>
                <w:rtl w:val="0"/>
              </w:rPr>
              <w:t>- T</w:t>
            </w:r>
            <w:r>
              <w:rPr>
                <w:color w:val="000000"/>
                <w:rtl w:val="0"/>
              </w:rPr>
              <w:t>ừ 01/01/2031: 7</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Xe ô tô ch</w:t>
            </w:r>
            <w:r>
              <w:rPr>
                <w:color w:val="000000"/>
                <w:rtl w:val="0"/>
              </w:rPr>
              <w:t>ở người và xe chở người bốn bánh có gắn động cơ từ 16 đến dưới 24 chỗ</w:t>
            </w:r>
          </w:p>
        </w:tc>
        <w:tc>
          <w:tcPr>
            <w:tcW w:w="10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280" w:afterAutospacing="1"/>
            </w:pPr>
            <w:r>
              <w:rPr>
                <w:color w:val="000000"/>
                <w:rtl w:val="0"/>
              </w:rPr>
              <w:t>- T</w:t>
            </w:r>
            <w:r>
              <w:rPr>
                <w:color w:val="000000"/>
                <w:rtl w:val="0"/>
              </w:rPr>
              <w:t>ừ 01/01/2026: 1</w:t>
            </w:r>
          </w:p>
          <w:p>
            <w:pPr>
              <w:bidi w:val="0"/>
              <w:spacing w:before="120" w:beforeAutospacing="0" w:after="0" w:afterAutospacing="0"/>
              <w:rPr>
                <w:rtl w:val="0"/>
              </w:rPr>
            </w:pPr>
            <w:r>
              <w:rPr>
                <w:color w:val="000000"/>
                <w:rtl w:val="0"/>
              </w:rPr>
              <w:t>- T</w:t>
            </w:r>
            <w:r>
              <w:rPr>
                <w:color w:val="000000"/>
                <w:rtl w:val="0"/>
              </w:rPr>
              <w:t>ừ 01/01/2031: 4</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 Xe ô tô pick-up ch</w:t>
            </w:r>
            <w:r>
              <w:rPr>
                <w:color w:val="000000"/>
                <w:rtl w:val="0"/>
              </w:rPr>
              <w:t>ở hàng cabin kép, xe ô tô tải VAN có từ hai hàng ghế trở lên, có thiết kế vách ngăn cố định giữa khoang chở người và khoang chở hàng</w:t>
            </w:r>
          </w:p>
        </w:tc>
        <w:tc>
          <w:tcPr>
            <w:tcW w:w="10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280" w:afterAutospacing="1"/>
            </w:pPr>
            <w:r>
              <w:rPr>
                <w:color w:val="000000"/>
                <w:rtl w:val="0"/>
              </w:rPr>
              <w:t>- T</w:t>
            </w:r>
            <w:r>
              <w:rPr>
                <w:color w:val="000000"/>
                <w:rtl w:val="0"/>
              </w:rPr>
              <w:t>ừ 01/01/2026: 2</w:t>
            </w:r>
          </w:p>
          <w:p>
            <w:pPr>
              <w:bidi w:val="0"/>
              <w:spacing w:before="120" w:beforeAutospacing="0" w:after="0" w:afterAutospacing="0"/>
              <w:rPr>
                <w:rtl w:val="0"/>
              </w:rPr>
            </w:pPr>
            <w:r>
              <w:rPr>
                <w:color w:val="000000"/>
                <w:rtl w:val="0"/>
              </w:rPr>
              <w:t>- T</w:t>
            </w:r>
            <w:r>
              <w:rPr>
                <w:color w:val="000000"/>
                <w:rtl w:val="0"/>
              </w:rPr>
              <w:t>ừ 01/01/2031: 7</w:t>
            </w:r>
          </w:p>
        </w:tc>
      </w:tr>
    </w:tbl>
    <w:p>
      <w:pPr>
        <w:bidi w:val="0"/>
        <w:spacing w:before="120" w:beforeAutospacing="0" w:after="280" w:afterAutospacing="1"/>
      </w:pPr>
      <w:bookmarkStart w:id="19" w:name="dieu_5"/>
      <w:r>
        <w:rPr>
          <w:b/>
          <w:bCs/>
          <w:color w:val="000000"/>
          <w:rtl w:val="0"/>
        </w:rPr>
        <w:t>Điều</w:t>
      </w:r>
      <w:r>
        <w:rPr>
          <w:b/>
          <w:bCs/>
          <w:color w:val="000000"/>
          <w:rtl w:val="0"/>
        </w:rPr>
        <w:t xml:space="preserve"> 5. Hiệu lực thi hành</w:t>
      </w:r>
      <w:bookmarkEnd w:id="19"/>
    </w:p>
    <w:p>
      <w:pPr>
        <w:bidi w:val="0"/>
        <w:spacing w:before="120" w:beforeAutospacing="0" w:after="280" w:afterAutospacing="1"/>
      </w:pPr>
      <w:r>
        <w:rPr>
          <w:color w:val="000000"/>
          <w:rtl w:val="0"/>
        </w:rPr>
        <w:t>1. Luật</w:t>
      </w:r>
      <w:r>
        <w:rPr>
          <w:color w:val="000000"/>
          <w:rtl w:val="0"/>
        </w:rPr>
        <w:t xml:space="preserve"> này có hiệu lực thi hành từ ngày được thông qua, trừ quy định tại khoản 2 Điều này.</w:t>
      </w:r>
    </w:p>
    <w:p>
      <w:pPr>
        <w:bidi w:val="0"/>
        <w:spacing w:before="120" w:beforeAutospacing="0" w:after="280" w:afterAutospacing="1"/>
      </w:pPr>
      <w:r>
        <w:rPr>
          <w:color w:val="000000"/>
          <w:rtl w:val="0"/>
        </w:rPr>
        <w:t>2. Quy đ</w:t>
      </w:r>
      <w:r>
        <w:rPr>
          <w:color w:val="000000"/>
          <w:rtl w:val="0"/>
        </w:rPr>
        <w:t>ịnh tại các điều 1, 2 và 3 của Luật này có hiệu lực thi hành từ ngày 01 tháng 01 năm 2026.</w:t>
      </w:r>
    </w:p>
    <w:p>
      <w:pPr>
        <w:bidi w:val="0"/>
        <w:spacing w:before="120" w:beforeAutospacing="0" w:after="280" w:afterAutospacing="1"/>
      </w:pPr>
      <w:r>
        <w:rPr>
          <w:i/>
          <w:iCs/>
          <w:color w:val="000000"/>
          <w:rtl w:val="0"/>
        </w:rPr>
        <w:t>Luật</w:t>
      </w:r>
      <w:r>
        <w:rPr>
          <w:i/>
          <w:iCs/>
          <w:color w:val="000000"/>
          <w:rtl w:val="0"/>
        </w:rPr>
        <w:t xml:space="preserve"> này được Quốc hội nước Cộng hòa xã hội chủ nghĩa Việt Nam khóa XVI, Kỳ họp thứ Nhất thông qua ngày 24 tháng 4 năm 2026.</w:t>
      </w:r>
    </w:p>
    <w:p>
      <w:pPr>
        <w:bidi w:val="0"/>
        <w:spacing w:before="120" w:beforeAutospacing="0" w:after="280" w:afterAutospacing="1"/>
      </w:pPr>
      <w:r>
        <w:rPr>
          <w:color w:val="000000"/>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CH</w:t>
            </w:r>
            <w:r>
              <w:rPr>
                <w:b/>
                <w:bCs/>
                <w:color w:val="000000"/>
                <w:rtl w:val="0"/>
              </w:rPr>
              <w:t>Ủ TỊCH QUỐC HỘI</w:t>
            </w:r>
            <w:r>
              <w:rPr>
                <w:color w:val="000000"/>
                <w:rtl w:val="0"/>
              </w:rPr>
              <w:br/>
            </w:r>
            <w:r>
              <w:rPr>
                <w:color w:val="000000"/>
                <w:rtl w:val="0"/>
              </w:rPr>
              <w:br/>
            </w:r>
            <w:r>
              <w:rPr>
                <w:color w:val="000000"/>
                <w:rtl w:val="0"/>
              </w:rPr>
              <w:br/>
            </w:r>
            <w:r>
              <w:rPr>
                <w:color w:val="000000"/>
                <w:rtl w:val="0"/>
              </w:rPr>
              <w:br/>
            </w:r>
            <w:r>
              <w:rPr>
                <w:color w:val="000000"/>
                <w:rtl w:val="0"/>
              </w:rPr>
              <w:br/>
            </w:r>
            <w:r>
              <w:rPr>
                <w:b/>
                <w:bCs/>
                <w:color w:val="000000"/>
                <w:rtl w:val="0"/>
              </w:rPr>
              <w:t>Trần Thanh Mẫn</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