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Luật số: 106/2016/QH13</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lang w:val="am-ET" w:eastAsia="am-ET"/>
              </w:rPr>
              <w:t>Hà Nội, ngày 06 tháng 4 năm 2016</w:t>
            </w:r>
          </w:p>
        </w:tc>
      </w:tr>
    </w:tbl>
    <w:p>
      <w:pPr>
        <w:bidi w:val="0"/>
        <w:spacing w:after="120" w:afterAutospacing="0"/>
      </w:pPr>
      <w:r>
        <w:rPr>
          <w:rtl w:val="0"/>
        </w:rPr>
        <w:t> </w:t>
      </w:r>
    </w:p>
    <w:p>
      <w:pPr>
        <w:bidi w:val="0"/>
        <w:spacing w:after="120" w:afterAutospacing="0"/>
        <w:jc w:val="center"/>
      </w:pPr>
      <w:bookmarkStart w:id="0" w:name="loai_1"/>
      <w:r>
        <w:rPr>
          <w:b/>
          <w:bCs/>
          <w:sz w:val="24"/>
          <w:rtl w:val="0"/>
        </w:rPr>
        <w:t>LUẬT</w:t>
      </w:r>
      <w:bookmarkEnd w:id="0"/>
    </w:p>
    <w:p>
      <w:pPr>
        <w:bidi w:val="0"/>
        <w:spacing w:after="120" w:afterAutospacing="0"/>
        <w:jc w:val="center"/>
      </w:pPr>
      <w:bookmarkStart w:id="1" w:name="loai_1_name"/>
      <w:r>
        <w:rPr>
          <w:rtl w:val="0"/>
        </w:rPr>
        <w:t>SỬA ĐỔI, BỔ SUNG MỘT SỐ ĐIỀU CỦA LUẬT THUẾ GIÁ TRỊ GIA TĂNG, LUẬT THUẾ TIÊU THỤ ĐẶC BIỆT VÀ LUẬT QUẢN LÝ THUẾ</w:t>
      </w:r>
      <w:bookmarkEnd w:id="1"/>
    </w:p>
    <w:p>
      <w:pPr>
        <w:bidi w:val="0"/>
        <w:spacing w:after="120" w:afterAutospacing="0"/>
      </w:pPr>
      <w:r>
        <w:rPr>
          <w:i/>
          <w:iCs/>
          <w:rtl w:val="0"/>
        </w:rPr>
        <w:t xml:space="preserve">Căn cứ </w:t>
      </w:r>
      <w:bookmarkStart w:id="2" w:name="tvpllink_khhhnejlqt"/>
      <w:r>
        <w:rPr>
          <w:i/>
          <w:iCs/>
          <w:rtl w:val="0"/>
        </w:rPr>
        <w:t>Hiến pháp nước Cộng hòa xã hội chủ nghĩa Việt Nam</w:t>
      </w:r>
      <w:bookmarkEnd w:id="2"/>
      <w:r>
        <w:rPr>
          <w:i/>
          <w:iCs/>
          <w:rtl w:val="0"/>
        </w:rPr>
        <w:t>;</w:t>
      </w:r>
    </w:p>
    <w:p>
      <w:pPr>
        <w:bidi w:val="0"/>
        <w:spacing w:after="120" w:afterAutospacing="0"/>
      </w:pPr>
      <w:r>
        <w:rPr>
          <w:i/>
          <w:iCs/>
          <w:rtl w:val="0"/>
        </w:rPr>
        <w:t xml:space="preserve">Quốc hội ban hành Luật sửa đổi, bổ sung một số điều của </w:t>
      </w:r>
      <w:bookmarkStart w:id="3" w:name="tvpllink_yfeonwnuvk"/>
      <w:r>
        <w:rPr>
          <w:i/>
          <w:iCs/>
          <w:rtl w:val="0"/>
        </w:rPr>
        <w:t>Luật thuế giá trị gia tăng số 13/2008/QH12</w:t>
      </w:r>
      <w:bookmarkEnd w:id="3"/>
      <w:r>
        <w:rPr>
          <w:i/>
          <w:iCs/>
          <w:rtl w:val="0"/>
        </w:rPr>
        <w:t xml:space="preserve"> đã được sửa đổi, bổ sung một số Điều theo </w:t>
      </w:r>
      <w:bookmarkStart w:id="4" w:name="tvpllink_utrvuceexq"/>
      <w:r>
        <w:rPr>
          <w:i/>
          <w:iCs/>
          <w:rtl w:val="0"/>
        </w:rPr>
        <w:t>Luật số 31/2013/QH13</w:t>
      </w:r>
      <w:bookmarkEnd w:id="4"/>
      <w:r>
        <w:rPr>
          <w:i/>
          <w:iCs/>
          <w:rtl w:val="0"/>
        </w:rPr>
        <w:t xml:space="preserve">, </w:t>
      </w:r>
      <w:bookmarkStart w:id="5" w:name="tvpllink_gyrotfitse"/>
      <w:r>
        <w:rPr>
          <w:i/>
          <w:iCs/>
          <w:rtl w:val="0"/>
        </w:rPr>
        <w:t>Luật thuế tiêu thụ đặc biệt số 27/2008/QH12</w:t>
      </w:r>
      <w:bookmarkEnd w:id="5"/>
      <w:r>
        <w:rPr>
          <w:i/>
          <w:iCs/>
          <w:rtl w:val="0"/>
        </w:rPr>
        <w:t xml:space="preserve"> đã được sửa đổi, bổ sung một số Điều theo </w:t>
      </w:r>
      <w:bookmarkStart w:id="6" w:name="tvpllink_jmihqrjplh"/>
      <w:r>
        <w:rPr>
          <w:i/>
          <w:iCs/>
          <w:rtl w:val="0"/>
        </w:rPr>
        <w:t>Luật số 70/2014/QH13</w:t>
      </w:r>
      <w:bookmarkEnd w:id="6"/>
      <w:r>
        <w:rPr>
          <w:i/>
          <w:iCs/>
          <w:rtl w:val="0"/>
        </w:rPr>
        <w:t xml:space="preserve">, </w:t>
      </w:r>
      <w:bookmarkStart w:id="7" w:name="tvpllink_nwnhxlgimk"/>
      <w:r>
        <w:rPr>
          <w:i/>
          <w:iCs/>
          <w:rtl w:val="0"/>
        </w:rPr>
        <w:t>Luật quản lý thuế số 78/2006/QH11</w:t>
      </w:r>
      <w:bookmarkEnd w:id="7"/>
      <w:r>
        <w:rPr>
          <w:i/>
          <w:iCs/>
          <w:rtl w:val="0"/>
        </w:rPr>
        <w:t xml:space="preserve"> đã được sửa đổi, bổ sung một số Điều theo </w:t>
      </w:r>
      <w:bookmarkStart w:id="8" w:name="tvpllink_vlawjzmqvx"/>
      <w:r>
        <w:rPr>
          <w:i/>
          <w:iCs/>
          <w:rtl w:val="0"/>
        </w:rPr>
        <w:t>Luật số 21/2012/QH13</w:t>
      </w:r>
      <w:bookmarkEnd w:id="8"/>
      <w:r>
        <w:rPr>
          <w:i/>
          <w:iCs/>
          <w:rtl w:val="0"/>
        </w:rPr>
        <w:t xml:space="preserve"> và </w:t>
      </w:r>
      <w:bookmarkStart w:id="9" w:name="tvpllink_xqjnpglzab"/>
      <w:r>
        <w:rPr>
          <w:i/>
          <w:iCs/>
          <w:rtl w:val="0"/>
        </w:rPr>
        <w:t>Luật số 71/2014/QH13</w:t>
      </w:r>
      <w:bookmarkEnd w:id="9"/>
      <w:r>
        <w:rPr>
          <w:i/>
          <w:iCs/>
          <w:rtl w:val="0"/>
        </w:rPr>
        <w:t>.</w:t>
      </w:r>
    </w:p>
    <w:p>
      <w:pPr>
        <w:bidi w:val="0"/>
        <w:spacing w:after="120" w:afterAutospacing="0"/>
      </w:pPr>
      <w:bookmarkStart w:id="10" w:name="dieu_1"/>
      <w:r>
        <w:rPr>
          <w:b/>
          <w:bCs/>
          <w:rtl w:val="0"/>
        </w:rPr>
        <w:t>Điều 1</w:t>
      </w:r>
      <w:bookmarkEnd w:id="10"/>
    </w:p>
    <w:p>
      <w:pPr>
        <w:bidi w:val="0"/>
        <w:spacing w:after="120" w:afterAutospacing="0"/>
      </w:pPr>
      <w:bookmarkStart w:id="11" w:name="dieu_1_name"/>
      <w:r>
        <w:rPr>
          <w:rtl w:val="0"/>
          <w:lang w:val="nl-NL" w:eastAsia="nl-NL"/>
        </w:rPr>
        <w:t>Sửa đổi, bổ sung một số Điều của Luật thuế giá trị gia tăng số 13/2008/QH12 đã được sửa đổi, bổ sung một số Điều theo Luật số 31/2013/QH13:</w:t>
      </w:r>
      <w:bookmarkEnd w:id="11"/>
    </w:p>
    <w:p>
      <w:pPr>
        <w:bidi w:val="0"/>
        <w:spacing w:after="120" w:afterAutospacing="0"/>
      </w:pPr>
      <w:bookmarkStart w:id="12" w:name="khoan_1_1"/>
      <w:r>
        <w:rPr>
          <w:rtl w:val="0"/>
        </w:rPr>
        <w:t>1. Các</w:t>
      </w:r>
      <w:bookmarkEnd w:id="12"/>
      <w:r>
        <w:rPr>
          <w:rtl w:val="0"/>
        </w:rPr>
        <w:t xml:space="preserve"> </w:t>
      </w:r>
      <w:bookmarkStart w:id="13" w:name="dc_11"/>
      <w:r>
        <w:rPr>
          <w:rtl w:val="0"/>
        </w:rPr>
        <w:t>Khoản 1, 9 và 23 Điều 5</w:t>
      </w:r>
      <w:bookmarkEnd w:id="13"/>
      <w:r>
        <w:rPr>
          <w:rtl w:val="0"/>
        </w:rPr>
        <w:t xml:space="preserve"> </w:t>
      </w:r>
      <w:bookmarkStart w:id="14" w:name="khoan_1_1_name"/>
      <w:r>
        <w:rPr>
          <w:rtl w:val="0"/>
        </w:rPr>
        <w:t>được sửa đổi, bổ sung như sau:</w:t>
      </w:r>
      <w:bookmarkEnd w:id="14"/>
    </w:p>
    <w:p>
      <w:pPr>
        <w:bidi w:val="0"/>
        <w:spacing w:after="120" w:afterAutospacing="0"/>
      </w:pPr>
      <w:r>
        <w:rPr>
          <w:rtl w:val="0"/>
          <w:lang w:val="nl-NL" w:eastAsia="nl-NL"/>
        </w:rPr>
        <w:t>“1. Sản phẩm trồng trọt, chăn nuôi, thủy sản nuôi trồng, đánh bắt chưa chế biến thành các sản phẩm khác hoặc chỉ qua sơ chế thông thường của tổ chức, cá nhân tự sản xuất, đánh bắt bán ra và ở khâu nhập khẩu.</w:t>
      </w:r>
    </w:p>
    <w:p>
      <w:pPr>
        <w:bidi w:val="0"/>
        <w:spacing w:after="120" w:afterAutospacing="0"/>
      </w:pPr>
      <w:r>
        <w:rPr>
          <w:rtl w:val="0"/>
          <w:lang w:val="nl-NL" w:eastAsia="nl-NL"/>
        </w:rPr>
        <w:t>Doanh nghiệp, hợp tác xã mua sản phẩm trồng trọt, chăn nuôi, thủy sản nuôi trồng, đánh bắt chưa chế biến thành các sản phẩm khác hoặc chỉ qua sơ chế thông thường bán cho doanh nghiệp, hợp tác xã khác thì không phải kê khai, tính nộp thuế giá trị gia tăng nhưng được khấu trừ thuế giá trị gia tăng đầu vào.”</w:t>
      </w:r>
    </w:p>
    <w:p>
      <w:pPr>
        <w:bidi w:val="0"/>
        <w:spacing w:after="120" w:afterAutospacing="0"/>
      </w:pPr>
      <w:bookmarkStart w:id="15" w:name="cumtu_9"/>
      <w:r>
        <w:rPr>
          <w:rtl w:val="0"/>
          <w:lang w:val="nl-NL" w:eastAsia="nl-NL"/>
        </w:rPr>
        <w:t>“9. Dịch vụ y tế, dịch vụ thú y, bao gồm dịch vụ khám bệnh, chữa bệnh, phòng bệnh cho người và vật nuôi; dịch vụ chăm sóc người cao tuổi, người khuyết tật.”</w:t>
      </w:r>
      <w:bookmarkEnd w:id="15"/>
    </w:p>
    <w:p>
      <w:pPr>
        <w:bidi w:val="0"/>
        <w:spacing w:after="120" w:afterAutospacing="0"/>
      </w:pPr>
      <w:bookmarkStart w:id="16" w:name="khoan_23"/>
      <w:r>
        <w:rPr>
          <w:rtl w:val="0"/>
          <w:lang w:val="nl-NL" w:eastAsia="nl-NL"/>
        </w:rPr>
        <w:t>“23. Sản phẩm xuất khẩu là tài nguyên, khoáng sản khai thác chưa chế biến thành sản phẩm khác; sản phẩm xuất khẩu là hàng hóa được chế biến từ tài nguyên, khoáng sản có tổng trị giá tài nguyên, khoáng sản cộng với chi phí năng lượng chiếm từ 51% giá thành sản phẩm trở lên.”</w:t>
      </w:r>
      <w:bookmarkEnd w:id="16"/>
    </w:p>
    <w:p>
      <w:pPr>
        <w:bidi w:val="0"/>
        <w:spacing w:after="120" w:afterAutospacing="0"/>
      </w:pPr>
      <w:bookmarkStart w:id="17" w:name="khoan_2_1"/>
      <w:r>
        <w:rPr>
          <w:rtl w:val="0"/>
        </w:rPr>
        <w:t>2.</w:t>
      </w:r>
      <w:bookmarkEnd w:id="17"/>
      <w:r>
        <w:rPr>
          <w:rtl w:val="0"/>
          <w:lang w:val="sv-SE" w:eastAsia="sv-SE"/>
        </w:rPr>
        <w:t xml:space="preserve"> </w:t>
      </w:r>
      <w:bookmarkStart w:id="18" w:name="dc_12"/>
      <w:r>
        <w:rPr>
          <w:rtl w:val="0"/>
          <w:lang w:val="sv-SE" w:eastAsia="sv-SE"/>
        </w:rPr>
        <w:t xml:space="preserve">Điểm g Khoản 1 Điều 8 </w:t>
      </w:r>
      <w:bookmarkEnd w:id="18"/>
      <w:bookmarkStart w:id="19" w:name="khoan_2_1_name"/>
      <w:r>
        <w:rPr>
          <w:rtl w:val="0"/>
        </w:rPr>
        <w:t>được sửa đổi, bổ sung như sau:</w:t>
      </w:r>
      <w:bookmarkEnd w:id="19"/>
    </w:p>
    <w:p>
      <w:pPr>
        <w:bidi w:val="0"/>
        <w:spacing w:after="120" w:afterAutospacing="0"/>
      </w:pPr>
      <w:r>
        <w:rPr>
          <w:rtl w:val="0"/>
          <w:lang w:val="nl-NL" w:eastAsia="nl-NL"/>
        </w:rPr>
        <w:t>“</w:t>
      </w:r>
      <w:r>
        <w:rPr>
          <w:rtl w:val="0"/>
        </w:rPr>
        <w:t>g) Sản phẩm xuất khẩu quy định tại Khoản 23 Điều 5 của Luật này.</w:t>
      </w:r>
    </w:p>
    <w:p>
      <w:pPr>
        <w:bidi w:val="0"/>
        <w:spacing w:after="120" w:afterAutospacing="0"/>
      </w:pPr>
      <w:r>
        <w:rPr>
          <w:rtl w:val="0"/>
        </w:rPr>
        <w:t>Hàng hóa, dịch vụ xuất khẩu là hàng hóa, dịch vụ được tiêu dùng ở ngoài Việt Nam, trong khu phi thuế quan; hàng hóa, dịch vụ cung cấp cho khách hàng nước ngoài theo quy định của Chính phủ</w:t>
      </w:r>
      <w:r>
        <w:rPr>
          <w:rtl w:val="0"/>
          <w:lang w:val="nl-NL" w:eastAsia="nl-NL"/>
        </w:rPr>
        <w:t>.</w:t>
      </w:r>
      <w:r>
        <w:rPr>
          <w:rtl w:val="0"/>
        </w:rPr>
        <w:t>”</w:t>
      </w:r>
    </w:p>
    <w:p>
      <w:pPr>
        <w:bidi w:val="0"/>
        <w:spacing w:after="120" w:afterAutospacing="0"/>
      </w:pPr>
      <w:bookmarkStart w:id="20" w:name="khoan_3_1"/>
      <w:r>
        <w:rPr>
          <w:rtl w:val="0"/>
          <w:lang w:val="nl-NL" w:eastAsia="nl-NL"/>
        </w:rPr>
        <w:t>3</w:t>
      </w:r>
      <w:bookmarkEnd w:id="20"/>
      <w:r>
        <w:rPr>
          <w:rtl w:val="0"/>
          <w:lang w:val="sv-SE" w:eastAsia="sv-SE"/>
        </w:rPr>
        <w:t xml:space="preserve">. </w:t>
      </w:r>
      <w:bookmarkStart w:id="21" w:name="dc_13"/>
      <w:r>
        <w:rPr>
          <w:rtl w:val="0"/>
          <w:lang w:val="sv-SE" w:eastAsia="sv-SE"/>
        </w:rPr>
        <w:t>Khoản 1 và Khoản 2 Điều 13</w:t>
      </w:r>
      <w:bookmarkEnd w:id="21"/>
      <w:r>
        <w:rPr>
          <w:rtl w:val="0"/>
          <w:lang w:val="sv-SE" w:eastAsia="sv-SE"/>
        </w:rPr>
        <w:t xml:space="preserve"> </w:t>
      </w:r>
      <w:bookmarkStart w:id="22" w:name="khoan_3_1_name"/>
      <w:r>
        <w:rPr>
          <w:rtl w:val="0"/>
          <w:lang w:val="sv-SE" w:eastAsia="sv-SE"/>
        </w:rPr>
        <w:t>được sửa đổi, bổ sung như sau:</w:t>
      </w:r>
      <w:bookmarkEnd w:id="22"/>
    </w:p>
    <w:p>
      <w:pPr>
        <w:bidi w:val="0"/>
        <w:spacing w:after="120" w:afterAutospacing="0"/>
      </w:pPr>
      <w:r>
        <w:rPr>
          <w:rtl w:val="0"/>
          <w:lang w:val="sv-SE" w:eastAsia="sv-SE"/>
        </w:rPr>
        <w:t>“1. Cơ sở kinh doanh nộp thuế giá trị gia tăng theo phương pháp khấu trừ thuế nếu có số thuế giá trị gia tăng đầu vào chưa được khấu trừ hết trong tháng hoặc trong quý thì được khấu trừ vào kỳ tiếp theo.</w:t>
      </w:r>
    </w:p>
    <w:p>
      <w:pPr>
        <w:bidi w:val="0"/>
        <w:spacing w:after="120" w:afterAutospacing="0"/>
      </w:pPr>
      <w:r>
        <w:rPr>
          <w:rtl w:val="0"/>
          <w:lang w:val="sv-SE" w:eastAsia="sv-SE"/>
        </w:rPr>
        <w:t>Trường hợp cơ sở kinh doanh đã đăng ký nộp thuế giá trị gia tăng theo phương pháp khấu trừ có dự án đầu tư mới, đang trong giai đoạn đầu tư có số thuế giá trị gia tăng của hàng hóa, dịch vụ mua vào sử dụng cho đầu tư mà chưa được khấu trừ và có số thuế còn lại từ ba trăm triệu đồng trở lên thì được hoàn thuế giá trị gia tăng.</w:t>
      </w:r>
    </w:p>
    <w:p>
      <w:pPr>
        <w:bidi w:val="0"/>
        <w:spacing w:after="120" w:afterAutospacing="0"/>
      </w:pPr>
      <w:r>
        <w:rPr>
          <w:rtl w:val="0"/>
          <w:lang w:val="sv-SE" w:eastAsia="sv-SE"/>
        </w:rPr>
        <w:t>Cơ sở kinh doanh không được hoàn thuế giá trị gia tăng mà được kết chuyển số thuế chưa được khấu trừ của dự án đầu tư theo quy định của pháp luật về đầu tư sang kỳ tiếp theo đối với các trường hợp:</w:t>
      </w:r>
    </w:p>
    <w:p>
      <w:pPr>
        <w:bidi w:val="0"/>
        <w:spacing w:after="120" w:afterAutospacing="0"/>
      </w:pPr>
      <w:r>
        <w:rPr>
          <w:rtl w:val="0"/>
          <w:lang w:val="sv-SE" w:eastAsia="sv-SE"/>
        </w:rPr>
        <w:t xml:space="preserve">a) Dự án đầu tư của cơ sở kinh doanh </w:t>
      </w:r>
      <w:r>
        <w:rPr>
          <w:rtl w:val="0"/>
        </w:rPr>
        <w:t>không góp đủ số vốn Điều lệ như đã đăng ký; kinh doanh ngành, nghề đầu tư kinh doanh có Điều kiện khi chưa đủ các Điều kiện kinh doanh theo quy định của Luật đầu tư hoặc không bảo đảm duy trì đủ Điều kiện kinh doanh trong quá trình hoạt động</w:t>
      </w:r>
      <w:r>
        <w:rPr>
          <w:rtl w:val="0"/>
          <w:lang w:val="sv-SE" w:eastAsia="sv-SE"/>
        </w:rPr>
        <w:t>;</w:t>
      </w:r>
    </w:p>
    <w:p>
      <w:pPr>
        <w:bidi w:val="0"/>
        <w:spacing w:after="120" w:afterAutospacing="0"/>
      </w:pPr>
      <w:r>
        <w:rPr>
          <w:rtl w:val="0"/>
          <w:lang w:val="sv-SE" w:eastAsia="sv-SE"/>
        </w:rPr>
        <w:t>b) Dự án đầu tư khai thác tài nguyên, khoáng sản được cấp phép từ ngày 01 tháng 7 năm 2016 hoặc dự án đầu tư sản xuất sản phẩm hàng hóa mà tổng trị giá tài nguyên, khoáng sản cộng với chi phí năng lượng chiếm từ 51% giá thành sản phẩm trở lên theo dự án đầu tư.</w:t>
      </w:r>
    </w:p>
    <w:p>
      <w:pPr>
        <w:bidi w:val="0"/>
        <w:spacing w:after="120" w:afterAutospacing="0"/>
      </w:pPr>
      <w:bookmarkStart w:id="23" w:name="cumtu_3_1"/>
      <w:r>
        <w:rPr>
          <w:rtl w:val="0"/>
          <w:lang w:val="sv-SE" w:eastAsia="sv-SE"/>
        </w:rPr>
        <w:t>Chính phủ quy định chi Tiết Khoản này.</w:t>
      </w:r>
      <w:bookmarkEnd w:id="23"/>
    </w:p>
    <w:p>
      <w:pPr>
        <w:bidi w:val="0"/>
        <w:spacing w:after="120" w:afterAutospacing="0"/>
      </w:pPr>
      <w:r>
        <w:rPr>
          <w:rtl w:val="0"/>
          <w:lang w:val="sv-SE" w:eastAsia="sv-SE"/>
        </w:rPr>
        <w:t>2. Cơ sở kinh doanh trong tháng, quý có hàng hóa, dịch vụ xuất khẩu nếu có số thuế giá trị gia tăng đầu vào chưa được khấu trừ từ ba trăm triệu đồng trở lên thì được hoàn thuế giá trị gia tăng theo tháng, quý, trừ trường hợp hàng hóa nhập khẩu để xuất khẩu, hàng hóa xuất khẩu không thực hiện việc xuất khẩu tại địa bàn hoạt động hải quan theo quy định của Luật hải quan.</w:t>
      </w:r>
      <w:r>
        <w:rPr>
          <w:b/>
          <w:bCs/>
          <w:rtl w:val="0"/>
          <w:lang w:val="sv-SE" w:eastAsia="sv-SE"/>
        </w:rPr>
        <w:t xml:space="preserve"> </w:t>
      </w:r>
      <w:r>
        <w:rPr>
          <w:rtl w:val="0"/>
          <w:lang w:val="sv-SE" w:eastAsia="sv-SE"/>
        </w:rPr>
        <w:t>Thực hiện hoàn thuế trước, kiểm tra sau đối với người nộp thuế sản xuất hàng hóa xuất khẩu không vi phạm pháp luật về thuế, hải quan trong thời gian hai năm liên tục; người nộp thuế không thuộc đối tượng rủi ro cao theo quy định của Luật quản lý thuế.”</w:t>
      </w:r>
    </w:p>
    <w:p>
      <w:pPr>
        <w:bidi w:val="0"/>
        <w:spacing w:after="120" w:afterAutospacing="0"/>
      </w:pPr>
      <w:bookmarkStart w:id="24" w:name="dieu_2"/>
      <w:r>
        <w:rPr>
          <w:b/>
          <w:bCs/>
          <w:rtl w:val="0"/>
          <w:lang w:val="sv-SE" w:eastAsia="sv-SE"/>
        </w:rPr>
        <w:t>Điều 2</w:t>
      </w:r>
      <w:bookmarkEnd w:id="24"/>
    </w:p>
    <w:p>
      <w:pPr>
        <w:bidi w:val="0"/>
        <w:spacing w:after="120" w:afterAutospacing="0"/>
      </w:pPr>
      <w:bookmarkStart w:id="25" w:name="dieu_2_name"/>
      <w:r>
        <w:rPr>
          <w:rtl w:val="0"/>
          <w:lang w:val="nl-NL" w:eastAsia="nl-NL"/>
        </w:rPr>
        <w:t>Sửa đổi, bổ sung một số Điều của Luật thuế tiêu thụ đặc biệt số 27/2008/QH12 đã được sửa đổi, bổ sung một số Điều theo Luật số 70/2014/QH13:</w:t>
      </w:r>
      <w:bookmarkEnd w:id="25"/>
    </w:p>
    <w:p>
      <w:pPr>
        <w:bidi w:val="0"/>
        <w:spacing w:after="120" w:afterAutospacing="0"/>
      </w:pPr>
      <w:bookmarkStart w:id="26" w:name="khoan_1_2"/>
      <w:r>
        <w:rPr>
          <w:rtl w:val="0"/>
        </w:rPr>
        <w:t>1.</w:t>
      </w:r>
      <w:bookmarkEnd w:id="26"/>
      <w:r>
        <w:rPr>
          <w:rtl w:val="0"/>
          <w:lang w:val="sv-SE" w:eastAsia="sv-SE"/>
        </w:rPr>
        <w:t xml:space="preserve"> </w:t>
      </w:r>
      <w:bookmarkStart w:id="27" w:name="dc_14"/>
      <w:r>
        <w:rPr>
          <w:rtl w:val="0"/>
          <w:lang w:val="sv-SE" w:eastAsia="sv-SE"/>
        </w:rPr>
        <w:t>Khoản 1 và Khoản 2 Điều 6</w:t>
      </w:r>
      <w:bookmarkEnd w:id="27"/>
      <w:r>
        <w:rPr>
          <w:rtl w:val="0"/>
          <w:lang w:val="sv-SE" w:eastAsia="sv-SE"/>
        </w:rPr>
        <w:t xml:space="preserve"> </w:t>
      </w:r>
      <w:bookmarkStart w:id="28" w:name="khoan_1_2_name"/>
      <w:r>
        <w:rPr>
          <w:rtl w:val="0"/>
        </w:rPr>
        <w:t>được sửa đổi, bổ sung như sau:</w:t>
      </w:r>
      <w:bookmarkEnd w:id="28"/>
    </w:p>
    <w:p>
      <w:pPr>
        <w:bidi w:val="0"/>
        <w:spacing w:after="120" w:afterAutospacing="0"/>
      </w:pPr>
      <w:bookmarkStart w:id="29" w:name="khoan_1_6"/>
      <w:r>
        <w:rPr>
          <w:rtl w:val="0"/>
          <w:lang w:val="sv-SE" w:eastAsia="sv-SE"/>
        </w:rPr>
        <w:t>“1. Đối với hàng hóa sản xuất trong nước, hàng hóa nhập khẩu là giá do cơ sở sản xuất, cơ sở nhập khẩu bán ra.</w:t>
      </w:r>
      <w:bookmarkEnd w:id="29"/>
    </w:p>
    <w:p>
      <w:pPr>
        <w:bidi w:val="0"/>
        <w:spacing w:after="120" w:afterAutospacing="0"/>
      </w:pPr>
      <w:bookmarkStart w:id="30" w:name="khoan_1_6_name"/>
      <w:r>
        <w:rPr>
          <w:rtl w:val="0"/>
          <w:lang w:val="sv-SE" w:eastAsia="sv-SE"/>
        </w:rPr>
        <w:t>Trường hợp hàng hóa chịu thuế tiêu thụ đặc biệt được bán cho cơ sở kinh doanh thương mại là cơ sở có quan hệ công ty mẹ, công ty con hoặc các công ty con trong cùng công ty mẹ với cơ sở sản xuất, cơ sở nhập khẩu hoặc cơ sở kinh doanh thương mại là cơ sở có mối quan hệ liên kết thì giá tính thuế tiêu thụ đặc biệt không được thấp hơn tỷ lệ phần trăm (%) so với giá bình quân của các cơ sở kinh doanh thương mại mua trực tiếp của cơ sở sản xuất, cơ sở nhập khẩu bán ra theo quy định của Chính phủ;</w:t>
      </w:r>
      <w:bookmarkEnd w:id="30"/>
    </w:p>
    <w:p>
      <w:pPr>
        <w:bidi w:val="0"/>
        <w:spacing w:after="120" w:afterAutospacing="0"/>
      </w:pPr>
      <w:r>
        <w:rPr>
          <w:rtl w:val="0"/>
          <w:lang w:val="nl-NL" w:eastAsia="nl-NL"/>
        </w:rPr>
        <w:t>2. Đối với hàng hóa nhập khẩu tại khâu nhập khẩu là giá tính thuế nhập khẩu cộng với thuế nhập khẩu. Trường hợp hàng hóa nhập khẩu được miễn, giảm thuế nhập khẩu thì giá tính thuế không bao gồm số thuế nhập khẩu được miễn, giảm. Hàng hoá chịu thuế tiêu thụ đặc biệt nhập khẩu được khấu trừ số thuế tiêu thụ đặc biệt đã nộp ở khâu nhập khẩu khi xác định số thuế tiêu thụ đặc biệt phải nộp bán ra;”</w:t>
      </w:r>
    </w:p>
    <w:p>
      <w:pPr>
        <w:bidi w:val="0"/>
        <w:spacing w:after="120" w:afterAutospacing="0"/>
      </w:pPr>
      <w:bookmarkStart w:id="31" w:name="khoan_2_2"/>
      <w:r>
        <w:rPr>
          <w:rtl w:val="0"/>
          <w:lang w:val="nl-NL" w:eastAsia="nl-NL"/>
        </w:rPr>
        <w:t>2. Khoản 4 Mục I Biểu thuế tiêu thụ đặc biệt quy định tại Điều 7 được sửa đổi, bổ sung như sau:</w:t>
      </w:r>
      <w:bookmarkEnd w:id="31"/>
    </w:p>
    <w:tbl>
      <w:tblPr>
        <w:jc w:val="left"/>
        <w:tblCellMar>
          <w:top w:w="0" w:type="dxa"/>
          <w:left w:w="0" w:type="dxa"/>
          <w:bottom w:w="0" w:type="dxa"/>
          <w:right w:w="0" w:type="dxa"/>
        </w:tblCellMar>
      </w:tblPr>
      <w:tblGrid>
        <w:gridCol w:w="741"/>
        <w:gridCol w:w="5901"/>
        <w:gridCol w:w="1998"/>
      </w:tblGrid>
      <w:tr>
        <w:tblPrEx>
          <w:jc w:val="left"/>
          <w:tblCellMar>
            <w:top w:w="0" w:type="dxa"/>
            <w:left w:w="0" w:type="dxa"/>
            <w:bottom w:w="0" w:type="dxa"/>
            <w:right w:w="0" w:type="dxa"/>
          </w:tblCellMar>
        </w:tblPrEx>
        <w:trPr>
          <w:jc w:val="left"/>
        </w:trPr>
        <w:tc>
          <w:tcPr>
            <w:tcW w:w="719" w:type="dxa"/>
            <w:tcBorders>
              <w:top w:val="single" w:sz="8" w:space="0" w:color="auto"/>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b/>
                <w:bCs/>
                <w:rtl w:val="0"/>
                <w:lang w:val="nl-NL" w:eastAsia="nl-NL"/>
              </w:rPr>
              <w:t>STT</w:t>
            </w:r>
          </w:p>
        </w:tc>
        <w:tc>
          <w:tcPr>
            <w:tcW w:w="6665" w:type="dxa"/>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b/>
                <w:bCs/>
                <w:rtl w:val="0"/>
              </w:rPr>
              <w:t>Hàng hóa, dịch vụ</w:t>
            </w:r>
          </w:p>
        </w:tc>
        <w:tc>
          <w:tcPr>
            <w:tcW w:w="2192" w:type="dxa"/>
            <w:tcBorders>
              <w:top w:val="single" w:sz="8" w:space="0" w:color="auto"/>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b/>
                <w:bCs/>
                <w:rtl w:val="0"/>
                <w:lang w:val="nl-NL" w:eastAsia="nl-NL"/>
              </w:rPr>
              <w:t>Thuế suất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4</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Xe ô tô dưới 24 chỗ</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b/>
                <w:bCs/>
                <w:rtl w:val="0"/>
                <w:lang w:val="nl-NL" w:eastAsia="nl-NL"/>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a) Xe ô tô chở người từ 9 chỗ trở xuống, trừ loại quy định tại các Điểm 4đ, 4e và 4g của Biểu thuế quy định tại Điều này</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b/>
                <w:bCs/>
                <w:rtl w:val="0"/>
                <w:lang w:val="nl-NL" w:eastAsia="nl-NL"/>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từ 1.500 cm</w:t>
            </w:r>
            <w:r>
              <w:rPr>
                <w:vertAlign w:val="superscript"/>
                <w:rtl w:val="0"/>
                <w:lang w:val="nl-NL" w:eastAsia="nl-NL"/>
              </w:rPr>
              <w:t>3</w:t>
            </w:r>
            <w:r>
              <w:rPr>
                <w:rtl w:val="0"/>
                <w:lang w:val="nl-NL" w:eastAsia="nl-NL"/>
              </w:rPr>
              <w:t xml:space="preserve"> trở xuống</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 </w:t>
            </w:r>
          </w:p>
        </w:tc>
      </w:tr>
      <w:tr>
        <w:tblPrEx>
          <w:jc w:val="left"/>
          <w:tblCellMar>
            <w:top w:w="0" w:type="dxa"/>
            <w:left w:w="0" w:type="dxa"/>
            <w:bottom w:w="0" w:type="dxa"/>
            <w:right w:w="0" w:type="dxa"/>
          </w:tblCellMar>
        </w:tblPrEx>
        <w:trPr>
          <w:jc w:val="left"/>
        </w:trPr>
        <w:tc>
          <w:tcPr>
            <w:tcW w:w="719" w:type="dxa"/>
            <w:vMerge w:val="restart"/>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Từ ngày 01 tháng 7 năm 2016 đến hết ngày 31 tháng 12 năm 2017</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40</w:t>
            </w:r>
          </w:p>
        </w:tc>
      </w:tr>
      <w:tr>
        <w:tblPrEx>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Từ ngày 01 tháng 01 năm 2018</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35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Loại có dung tích xi lanh trên 1.500 cm</w:t>
            </w:r>
            <w:r>
              <w:rPr>
                <w:vertAlign w:val="superscript"/>
                <w:rtl w:val="0"/>
              </w:rPr>
              <w:t>3</w:t>
            </w:r>
            <w:r>
              <w:rPr>
                <w:rtl w:val="0"/>
              </w:rPr>
              <w:t xml:space="preserve"> đến 2.000 cm</w:t>
            </w:r>
            <w:r>
              <w:rPr>
                <w:vertAlign w:val="superscript"/>
                <w:rtl w:val="0"/>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Từ ngày 01 tháng 7 năm 2016 đến hết ngày 31 tháng 12 năm 2017</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45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Từ ngày 01 tháng 01 năm 2018</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40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Loại có dung tích xi lanh trên 2.000 cm</w:t>
            </w:r>
            <w:r>
              <w:rPr>
                <w:vertAlign w:val="superscript"/>
                <w:rtl w:val="0"/>
              </w:rPr>
              <w:t>3</w:t>
            </w:r>
            <w:r>
              <w:rPr>
                <w:rtl w:val="0"/>
              </w:rPr>
              <w:t xml:space="preserve"> đến 2.500 cm</w:t>
            </w:r>
            <w:r>
              <w:rPr>
                <w:vertAlign w:val="superscript"/>
                <w:rtl w:val="0"/>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50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Loại có dung tích xi lanh trên 2.500 cm</w:t>
            </w:r>
            <w:r>
              <w:rPr>
                <w:vertAlign w:val="superscript"/>
                <w:rtl w:val="0"/>
              </w:rPr>
              <w:t>3</w:t>
            </w:r>
            <w:r>
              <w:rPr>
                <w:rtl w:val="0"/>
              </w:rPr>
              <w:t xml:space="preserve"> đến 3.000 cm</w:t>
            </w:r>
            <w:r>
              <w:rPr>
                <w:vertAlign w:val="superscript"/>
                <w:rtl w:val="0"/>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xml:space="preserve">+ Từ ngày 01 tháng 07 năm 2016 </w:t>
            </w:r>
            <w:r>
              <w:rPr>
                <w:rtl w:val="0"/>
                <w:lang w:val="nl-NL" w:eastAsia="nl-NL"/>
              </w:rPr>
              <w:t>đến hết ngày 31 tháng 12 năm 2017</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55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Từ ngày 01 tháng 01 năm 2018</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60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xml:space="preserve">- </w:t>
            </w:r>
            <w:r>
              <w:rPr>
                <w:rtl w:val="0"/>
                <w:lang w:val="nl-NL" w:eastAsia="nl-NL"/>
              </w:rPr>
              <w:t>Loại có dung tích xi lanh trên 3.000 cm</w:t>
            </w:r>
            <w:r>
              <w:rPr>
                <w:vertAlign w:val="superscript"/>
                <w:rtl w:val="0"/>
                <w:lang w:val="nl-NL" w:eastAsia="nl-NL"/>
              </w:rPr>
              <w:t>3</w:t>
            </w:r>
            <w:r>
              <w:rPr>
                <w:rtl w:val="0"/>
                <w:lang w:val="nl-NL" w:eastAsia="nl-NL"/>
              </w:rPr>
              <w:t xml:space="preserve"> đến 4.000 cm</w:t>
            </w:r>
            <w:r>
              <w:rPr>
                <w:vertAlign w:val="superscript"/>
                <w:rtl w:val="0"/>
                <w:lang w:val="nl-NL" w:eastAsia="nl-NL"/>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90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trên 4.000 cm</w:t>
            </w:r>
            <w:r>
              <w:rPr>
                <w:vertAlign w:val="superscript"/>
                <w:rtl w:val="0"/>
                <w:lang w:val="nl-NL" w:eastAsia="nl-NL"/>
              </w:rPr>
              <w:t>3</w:t>
            </w:r>
            <w:r>
              <w:rPr>
                <w:rtl w:val="0"/>
                <w:lang w:val="nl-NL" w:eastAsia="nl-NL"/>
              </w:rPr>
              <w:t xml:space="preserve"> đến 5.000 cm</w:t>
            </w:r>
            <w:r>
              <w:rPr>
                <w:vertAlign w:val="superscript"/>
                <w:rtl w:val="0"/>
                <w:lang w:val="nl-NL" w:eastAsia="nl-NL"/>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110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trên 5.000 cm</w:t>
            </w:r>
            <w:r>
              <w:rPr>
                <w:vertAlign w:val="superscript"/>
                <w:rtl w:val="0"/>
                <w:lang w:val="nl-NL" w:eastAsia="nl-NL"/>
              </w:rPr>
              <w:t>3</w:t>
            </w:r>
            <w:r>
              <w:rPr>
                <w:rtl w:val="0"/>
                <w:lang w:val="nl-NL" w:eastAsia="nl-NL"/>
              </w:rPr>
              <w:t xml:space="preserve"> đến 6.000 cm</w:t>
            </w:r>
            <w:r>
              <w:rPr>
                <w:vertAlign w:val="superscript"/>
                <w:rtl w:val="0"/>
                <w:lang w:val="nl-NL" w:eastAsia="nl-NL"/>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130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trên 6.000 cm</w:t>
            </w:r>
            <w:r>
              <w:rPr>
                <w:vertAlign w:val="superscript"/>
                <w:rtl w:val="0"/>
                <w:lang w:val="nl-NL" w:eastAsia="nl-NL"/>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150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b) Xe ô tô chở người từ 10 đến dưới 16 chỗ, trừ loại quy định tại các Điểm 4đ, 4e và 4g của Biểu thuế quy định tại Điều này</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15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c) Xe ô tô chở người từ 16 đến dưới 24 chỗ, trừ loại quy định tại các Điểm 4đ, 4e và 4g của Biểu thuế quy định tại Điều này</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10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d) Xe ô tô vừa chở người, vừa chở hàng, trừ loại quy định tại các Điểm 4đ, 4e và 4g</w:t>
            </w:r>
            <w:r>
              <w:rPr>
                <w:b/>
                <w:bCs/>
                <w:rtl w:val="0"/>
              </w:rPr>
              <w:t xml:space="preserve"> </w:t>
            </w:r>
            <w:r>
              <w:rPr>
                <w:rtl w:val="0"/>
              </w:rPr>
              <w:t>của Biểu thuế quy định tại Điều này</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từ 2.500 cm</w:t>
            </w:r>
            <w:r>
              <w:rPr>
                <w:vertAlign w:val="superscript"/>
                <w:rtl w:val="0"/>
                <w:lang w:val="nl-NL" w:eastAsia="nl-NL"/>
              </w:rPr>
              <w:t>3</w:t>
            </w:r>
            <w:r>
              <w:rPr>
                <w:rtl w:val="0"/>
                <w:lang w:val="nl-NL" w:eastAsia="nl-NL"/>
              </w:rPr>
              <w:t xml:space="preserve"> trở xuống</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15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trên 2.500 cm</w:t>
            </w:r>
            <w:r>
              <w:rPr>
                <w:vertAlign w:val="superscript"/>
                <w:rtl w:val="0"/>
                <w:lang w:val="nl-NL" w:eastAsia="nl-NL"/>
              </w:rPr>
              <w:t>3</w:t>
            </w:r>
            <w:r>
              <w:rPr>
                <w:rtl w:val="0"/>
                <w:lang w:val="nl-NL" w:eastAsia="nl-NL"/>
              </w:rPr>
              <w:t xml:space="preserve"> đến 3.000 cm</w:t>
            </w:r>
            <w:r>
              <w:rPr>
                <w:vertAlign w:val="superscript"/>
                <w:rtl w:val="0"/>
                <w:lang w:val="nl-NL" w:eastAsia="nl-NL"/>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20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có dung tích xi lanh trên 3.000 cm</w:t>
            </w:r>
            <w:r>
              <w:rPr>
                <w:vertAlign w:val="superscript"/>
                <w:rtl w:val="0"/>
                <w:lang w:val="nl-NL" w:eastAsia="nl-NL"/>
              </w:rPr>
              <w:t>3</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25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đ) Xe ô tô chạy bằng xăng kết hợp năng lượng điện, năng lượng sinh học, trong đó tỷ trọng xăng sử dụng không quá 70% số năng lượng sử dụng</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Bằng 70% mức thuế suất áp dụng cho xe cùng loại quy định tại các Điểm 4a, 4b, 4c và 4d của Biểu thuế quy định tại Điều này</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e) Xe ô tô chạy bằng năng lượng sinh học</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Bằng 50% mức thuế suất áp dụng cho xe cùng loại quy định tại các Điểm 4a, 4b, 4c và 4d của Biểu thuế quy định tại Điều này</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g) Xe ô tô chạy bằng điện</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Loại chở người từ 9 chỗ trở xuống</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15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Loại chở người từ 10 đến dưới 16 chỗ</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10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Loại chở người từ 16 đến dưới 24 chỗ</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5</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i/>
                <w:iCs/>
                <w:rtl w:val="0"/>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Loại thiết kế vừa chở người, vừa chở hàng</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10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h) Xe mô-tô-hôm (motorhome) không phân biệt dung tích xi lanh</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 </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Từ ngày 01 tháng 7 năm 2016 đến hết ngày 31 tháng 12 năm 2017</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lang w:val="nl-NL" w:eastAsia="nl-NL"/>
              </w:rPr>
              <w:t>70</w:t>
            </w:r>
          </w:p>
        </w:tc>
      </w:tr>
      <w:tr>
        <w:tblPrEx>
          <w:jc w:val="left"/>
          <w:tblCellMar>
            <w:top w:w="0" w:type="dxa"/>
            <w:left w:w="0" w:type="dxa"/>
            <w:bottom w:w="0" w:type="dxa"/>
            <w:right w:w="0" w:type="dxa"/>
          </w:tblCellMar>
        </w:tblPrEx>
        <w:trPr>
          <w:jc w:val="left"/>
        </w:trPr>
        <w:tc>
          <w:tcPr>
            <w:tcW w:w="719" w:type="dxa"/>
            <w:tcBorders>
              <w:top w:val="nil"/>
              <w:left w:val="single" w:sz="8" w:space="0" w:color="auto"/>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lang w:val="nl-NL" w:eastAsia="nl-NL"/>
              </w:rPr>
              <w:t> </w:t>
            </w:r>
          </w:p>
        </w:tc>
        <w:tc>
          <w:tcPr>
            <w:tcW w:w="6665"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pPr>
            <w:r>
              <w:rPr>
                <w:rtl w:val="0"/>
              </w:rPr>
              <w:t>- Từ ngày 01 tháng 01 năm 2018</w:t>
            </w:r>
          </w:p>
        </w:tc>
        <w:tc>
          <w:tcPr>
            <w:tcW w:w="2192" w:type="dxa"/>
            <w:tcBorders>
              <w:top w:val="nil"/>
              <w:left w:val="nil"/>
              <w:bottom w:val="single" w:sz="8" w:space="0" w:color="auto"/>
              <w:right w:val="single" w:sz="8" w:space="0" w:color="auto"/>
            </w:tcBorders>
            <w:shd w:val="clear" w:color="auto" w:fill="auto"/>
            <w:tcMar>
              <w:top w:w="0" w:type="dxa"/>
              <w:left w:w="28" w:type="dxa"/>
              <w:bottom w:w="0" w:type="dxa"/>
              <w:right w:w="28" w:type="dxa"/>
            </w:tcMar>
            <w:vAlign w:val="center"/>
          </w:tcPr>
          <w:p>
            <w:pPr>
              <w:bidi w:val="0"/>
              <w:spacing w:after="0" w:afterAutospacing="0"/>
              <w:jc w:val="center"/>
            </w:pPr>
            <w:r>
              <w:rPr>
                <w:rtl w:val="0"/>
              </w:rPr>
              <w:t>75</w:t>
            </w:r>
          </w:p>
        </w:tc>
      </w:tr>
    </w:tbl>
    <w:p>
      <w:pPr>
        <w:bidi w:val="0"/>
        <w:spacing w:after="120" w:afterAutospacing="0"/>
      </w:pPr>
      <w:bookmarkStart w:id="32" w:name="dieu_3"/>
      <w:r>
        <w:rPr>
          <w:b/>
          <w:bCs/>
          <w:rtl w:val="0"/>
          <w:lang w:val="pt-BR" w:eastAsia="pt-BR"/>
        </w:rPr>
        <w:t>Điều 3</w:t>
      </w:r>
      <w:bookmarkEnd w:id="32"/>
    </w:p>
    <w:p>
      <w:pPr>
        <w:bidi w:val="0"/>
        <w:spacing w:after="120" w:afterAutospacing="0"/>
      </w:pPr>
      <w:bookmarkStart w:id="33" w:name="dieu_3_name"/>
      <w:r>
        <w:rPr>
          <w:rtl w:val="0"/>
          <w:lang w:val="nl-NL" w:eastAsia="nl-NL"/>
        </w:rPr>
        <w:t>Sửa đổi, bổ sung một số Điều của Luật quản lý thuế số 78/2006/QH11 đã được sửa đổi, bổ sung một số Điều theo Luật số 21/2012/QH13 và Luật số 71/2014/QH13:</w:t>
      </w:r>
      <w:bookmarkEnd w:id="33"/>
    </w:p>
    <w:p>
      <w:pPr>
        <w:bidi w:val="0"/>
        <w:spacing w:after="120" w:afterAutospacing="0"/>
      </w:pPr>
      <w:bookmarkStart w:id="34" w:name="khoan_1_3"/>
      <w:r>
        <w:rPr>
          <w:rtl w:val="0"/>
        </w:rPr>
        <w:t>1.</w:t>
      </w:r>
      <w:bookmarkEnd w:id="34"/>
      <w:r>
        <w:rPr>
          <w:rtl w:val="0"/>
        </w:rPr>
        <w:t xml:space="preserve"> </w:t>
      </w:r>
      <w:bookmarkStart w:id="35" w:name="dc_15"/>
      <w:r>
        <w:rPr>
          <w:rtl w:val="0"/>
          <w:lang w:val="nl-NL" w:eastAsia="nl-NL"/>
        </w:rPr>
        <w:t>Điều 61</w:t>
      </w:r>
      <w:bookmarkEnd w:id="35"/>
      <w:r>
        <w:rPr>
          <w:rtl w:val="0"/>
          <w:lang w:val="nl-NL" w:eastAsia="nl-NL"/>
        </w:rPr>
        <w:t xml:space="preserve"> </w:t>
      </w:r>
      <w:bookmarkStart w:id="36" w:name="khoan_1_3_name"/>
      <w:r>
        <w:rPr>
          <w:rtl w:val="0"/>
        </w:rPr>
        <w:t>được sửa đổi, bổ sung như sau:</w:t>
      </w:r>
      <w:bookmarkEnd w:id="36"/>
    </w:p>
    <w:p>
      <w:pPr>
        <w:bidi w:val="0"/>
        <w:spacing w:after="120" w:afterAutospacing="0"/>
      </w:pPr>
      <w:r>
        <w:rPr>
          <w:rtl w:val="0"/>
          <w:lang w:val="pt-BR" w:eastAsia="pt-BR"/>
        </w:rPr>
        <w:t>“</w:t>
      </w:r>
      <w:r>
        <w:rPr>
          <w:b/>
          <w:bCs/>
          <w:rtl w:val="0"/>
          <w:lang w:val="pt-BR" w:eastAsia="pt-BR"/>
        </w:rPr>
        <w:t>Điều 61. Miễn thuế, giảm thuế</w:t>
      </w:r>
    </w:p>
    <w:p>
      <w:pPr>
        <w:bidi w:val="0"/>
        <w:spacing w:after="120" w:afterAutospacing="0"/>
      </w:pPr>
      <w:r>
        <w:rPr>
          <w:rtl w:val="0"/>
          <w:lang w:val="pt-BR" w:eastAsia="pt-BR"/>
        </w:rPr>
        <w:t>Cơ quan quản lý thuế thực hiện miễn thuế, giảm thuế đối với các trường hợp thuộc diện miễn thuế, giảm thuế được quy định tại các văn bản pháp luật về thuế và miễn thuế đối với hộ gia đình, cá nhân có số thuế sử dụng đất phi nông nghiệp phải nộp hằng năm từ năm mươi nghìn đồng trở xuống.”</w:t>
      </w:r>
    </w:p>
    <w:p>
      <w:pPr>
        <w:bidi w:val="0"/>
        <w:spacing w:before="0" w:beforeAutospacing="0" w:after="120" w:afterAutospacing="0"/>
        <w:ind w:left="0" w:right="-26"/>
      </w:pPr>
      <w:bookmarkStart w:id="37" w:name="khoan_2_3"/>
      <w:r>
        <w:rPr>
          <w:rtl w:val="0"/>
        </w:rPr>
        <w:t>2.</w:t>
      </w:r>
      <w:bookmarkEnd w:id="37"/>
      <w:r>
        <w:rPr>
          <w:rtl w:val="0"/>
          <w:lang w:val="nl-NL" w:eastAsia="nl-NL"/>
        </w:rPr>
        <w:t xml:space="preserve"> </w:t>
      </w:r>
      <w:bookmarkStart w:id="38" w:name="dc_16"/>
      <w:r>
        <w:rPr>
          <w:rtl w:val="0"/>
          <w:lang w:val="nl-NL" w:eastAsia="nl-NL"/>
        </w:rPr>
        <w:t>Khoản 4 Điều 92</w:t>
      </w:r>
      <w:bookmarkEnd w:id="38"/>
      <w:r>
        <w:rPr>
          <w:rtl w:val="0"/>
          <w:lang w:val="nl-NL" w:eastAsia="nl-NL"/>
        </w:rPr>
        <w:t xml:space="preserve"> </w:t>
      </w:r>
      <w:bookmarkStart w:id="39" w:name="khoan_2_3_name"/>
      <w:r>
        <w:rPr>
          <w:rtl w:val="0"/>
        </w:rPr>
        <w:t>được sửa đổi, bổ sung như sau:</w:t>
      </w:r>
      <w:bookmarkEnd w:id="39"/>
    </w:p>
    <w:p>
      <w:pPr>
        <w:shd w:val="solid" w:color="FFFFFF" w:fill="auto"/>
        <w:bidi w:val="0"/>
        <w:spacing w:after="120" w:afterAutospacing="0"/>
      </w:pPr>
      <w:r>
        <w:rPr>
          <w:rtl w:val="0"/>
          <w:lang w:val="nl-NL" w:eastAsia="nl-NL"/>
        </w:rPr>
        <w:t xml:space="preserve">“4. </w:t>
      </w:r>
      <w:r>
        <w:rPr>
          <w:rtl w:val="0"/>
        </w:rPr>
        <w:t>Chưa thực hiện biện pháp cưỡng chế thuế đối với trường hợp người nộp thuế được cơ quan quản lý thuế cho phép nộp dần tiền nợ thuế trong thời hạn không quá mười hai tháng, kể từ ngày bắt đầu của thời hạn cưỡng chế thuế. Việc nộp dần tiền nợ thuế được xem xét trên cơ sở đề nghị của người nộp thuế và phải có bảo lãnh của tổ chức tín dụng. Người nộp thuế phải nộp tiền chậm nộp theo mức 0,03%/ngày tính trên số tiền thuế chậm nộp.”</w:t>
      </w:r>
    </w:p>
    <w:p>
      <w:pPr>
        <w:bidi w:val="0"/>
        <w:spacing w:after="120" w:afterAutospacing="0"/>
      </w:pPr>
      <w:bookmarkStart w:id="40" w:name="khoan_3"/>
      <w:r>
        <w:rPr>
          <w:rtl w:val="0"/>
          <w:lang w:val="nl-NL" w:eastAsia="nl-NL"/>
        </w:rPr>
        <w:t>3.</w:t>
      </w:r>
      <w:bookmarkEnd w:id="40"/>
      <w:r>
        <w:rPr>
          <w:rtl w:val="0"/>
          <w:lang w:val="nl-NL" w:eastAsia="nl-NL"/>
        </w:rPr>
        <w:t xml:space="preserve"> </w:t>
      </w:r>
      <w:bookmarkStart w:id="41" w:name="dc_17"/>
      <w:r>
        <w:rPr>
          <w:rtl w:val="0"/>
          <w:lang w:val="nl-NL" w:eastAsia="nl-NL"/>
        </w:rPr>
        <w:t>Khoản 1 Điều 106</w:t>
      </w:r>
      <w:bookmarkEnd w:id="41"/>
      <w:r>
        <w:rPr>
          <w:rtl w:val="0"/>
          <w:lang w:val="nl-NL" w:eastAsia="nl-NL"/>
        </w:rPr>
        <w:t xml:space="preserve"> </w:t>
      </w:r>
      <w:bookmarkStart w:id="42" w:name="khoan_3_name"/>
      <w:r>
        <w:rPr>
          <w:rtl w:val="0"/>
          <w:lang w:val="nl-NL" w:eastAsia="nl-NL"/>
        </w:rPr>
        <w:t>được sửa đổi, bổ sung như sau:</w:t>
      </w:r>
      <w:bookmarkEnd w:id="42"/>
    </w:p>
    <w:p>
      <w:pPr>
        <w:bidi w:val="0"/>
        <w:spacing w:before="0" w:beforeAutospacing="0" w:after="120" w:afterAutospacing="0"/>
        <w:ind w:left="0" w:right="-28"/>
      </w:pPr>
      <w:r>
        <w:rPr>
          <w:rtl w:val="0"/>
          <w:lang w:val="am-ET" w:eastAsia="am-ET"/>
        </w:rPr>
        <w:t xml:space="preserve">“1. Người nộp thuế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tiền chậm nộp theo mức bằng </w:t>
      </w:r>
      <w:r>
        <w:rPr>
          <w:rtl w:val="0"/>
          <w:lang w:val="nl-NL" w:eastAsia="nl-NL"/>
        </w:rPr>
        <w:t>0,03%/ngày tính trên số tiền thuế chậm nộp</w:t>
      </w:r>
      <w:r>
        <w:rPr>
          <w:i/>
          <w:iCs/>
          <w:rtl w:val="0"/>
          <w:lang w:val="am-ET" w:eastAsia="am-ET"/>
        </w:rPr>
        <w:t>.</w:t>
      </w:r>
    </w:p>
    <w:p>
      <w:pPr>
        <w:bidi w:val="0"/>
        <w:spacing w:before="0" w:beforeAutospacing="0" w:after="120" w:afterAutospacing="0"/>
        <w:ind w:left="0" w:right="-28"/>
      </w:pPr>
      <w:r>
        <w:rPr>
          <w:rtl w:val="0"/>
          <w:lang w:val="nl-NL" w:eastAsia="nl-NL"/>
        </w:rPr>
        <w:t>Đối với các Khoản nợ tiền thuế phát sinh trước ngày 01 tháng 7 năm 2016 mà người nộp thuế chưa nộp vào ngân sách nhà nước, kể cả Khoản tiền nợ thuế được truy thu qua kết quả thanh tra, kiểm tra của cơ quan có thẩm quyền thì được chuyển sang áp dụng mức tính tiền chậm nộp theo quy định tại Khoản này từ ngày 01 tháng 7 năm 2016.</w:t>
      </w:r>
    </w:p>
    <w:p>
      <w:pPr>
        <w:bidi w:val="0"/>
        <w:spacing w:before="0" w:beforeAutospacing="0" w:after="120" w:afterAutospacing="0"/>
        <w:ind w:left="0" w:right="-26"/>
      </w:pPr>
      <w:r>
        <w:rPr>
          <w:rtl w:val="0"/>
          <w:lang w:val="am-ET" w:eastAsia="am-ET"/>
        </w:rPr>
        <w:t xml:space="preserve">Trường hợp người nộp thuế cung ứng hàng hoá, dịch vụ được thanh toán bằng nguồn vốn ngân sách nhà nước nhưng chưa được thanh toán nên không nộp kịp thời các </w:t>
      </w:r>
      <w:r>
        <w:rPr>
          <w:rtl w:val="0"/>
          <w:lang w:val="nl-NL" w:eastAsia="nl-NL"/>
        </w:rPr>
        <w:t>Khoản</w:t>
      </w:r>
      <w:r>
        <w:rPr>
          <w:rtl w:val="0"/>
          <w:lang w:val="am-ET" w:eastAsia="am-ET"/>
        </w:rPr>
        <w:t xml:space="preserve"> thuế dẫn đến nợ thuế thì không phải nộp tiền chậm nộp tính trên số tiền thuế còn nợ nhưng không vượt quá số tiền ngân sách nhà nước chưa thanh toán phát sinh trong thời gian ngân sách nhà nước chưa thanh toán.”</w:t>
      </w:r>
    </w:p>
    <w:p>
      <w:pPr>
        <w:shd w:val="solid" w:color="FFFFFF" w:fill="auto"/>
        <w:bidi w:val="0"/>
        <w:spacing w:after="120" w:afterAutospacing="0"/>
      </w:pPr>
      <w:bookmarkStart w:id="43" w:name="khoan_4_3"/>
      <w:r>
        <w:rPr>
          <w:rtl w:val="0"/>
        </w:rPr>
        <w:t>4. Bãi bỏ</w:t>
      </w:r>
      <w:bookmarkEnd w:id="43"/>
      <w:r>
        <w:rPr>
          <w:rtl w:val="0"/>
          <w:lang w:val="nl-NL" w:eastAsia="nl-NL"/>
        </w:rPr>
        <w:t xml:space="preserve"> </w:t>
      </w:r>
      <w:bookmarkStart w:id="44" w:name="dc_4"/>
      <w:r>
        <w:rPr>
          <w:rtl w:val="0"/>
          <w:lang w:val="nl-NL" w:eastAsia="nl-NL"/>
        </w:rPr>
        <w:t>khoản 3 Điều 42.</w:t>
      </w:r>
      <w:bookmarkEnd w:id="44"/>
    </w:p>
    <w:p>
      <w:pPr>
        <w:bidi w:val="0"/>
        <w:spacing w:after="120" w:afterAutospacing="0"/>
      </w:pPr>
      <w:bookmarkStart w:id="45" w:name="dieu_4"/>
      <w:r>
        <w:rPr>
          <w:b/>
          <w:bCs/>
          <w:rtl w:val="0"/>
          <w:lang w:val="am-ET" w:eastAsia="am-ET"/>
        </w:rPr>
        <w:t>Điều 4</w:t>
      </w:r>
      <w:bookmarkEnd w:id="45"/>
    </w:p>
    <w:p>
      <w:pPr>
        <w:bidi w:val="0"/>
        <w:spacing w:after="120" w:afterAutospacing="0"/>
      </w:pPr>
      <w:r>
        <w:rPr>
          <w:rtl w:val="0"/>
          <w:lang w:val="am-ET" w:eastAsia="am-ET"/>
        </w:rPr>
        <w:t xml:space="preserve">1. </w:t>
      </w:r>
      <w:bookmarkStart w:id="46" w:name="dieu_4_name"/>
      <w:r>
        <w:rPr>
          <w:rtl w:val="0"/>
          <w:lang w:val="am-ET" w:eastAsia="am-ET"/>
        </w:rPr>
        <w:t>Luật này có hiệu lực thi hành từ ngày 01 tháng 7 năm 2016, trừ quy định tại khoản 2 Điều này.</w:t>
      </w:r>
      <w:bookmarkEnd w:id="46"/>
    </w:p>
    <w:p>
      <w:pPr>
        <w:bidi w:val="0"/>
        <w:spacing w:after="120" w:afterAutospacing="0"/>
      </w:pPr>
      <w:r>
        <w:rPr>
          <w:rtl w:val="0"/>
          <w:lang w:val="am-ET" w:eastAsia="am-ET"/>
        </w:rPr>
        <w:t>2. Khoản 4 Điều 3 của Luật này có hiệu lực thi hành từ ngày 01 tháng 9 năm 2016.</w:t>
      </w:r>
    </w:p>
    <w:p>
      <w:pPr>
        <w:bidi w:val="0"/>
        <w:spacing w:after="120" w:afterAutospacing="0"/>
      </w:pPr>
      <w:bookmarkStart w:id="47" w:name="khoan_3_4"/>
      <w:r>
        <w:rPr>
          <w:rtl w:val="0"/>
          <w:lang w:val="am-ET" w:eastAsia="am-ET"/>
        </w:rPr>
        <w:t>3. Chính phủ quy định chi Tiết các Điều, Khoản được giao trong Luật.</w:t>
      </w:r>
      <w:bookmarkEnd w:id="47"/>
    </w:p>
    <w:p>
      <w:pPr>
        <w:bidi w:val="0"/>
        <w:spacing w:after="120" w:afterAutospacing="0"/>
      </w:pPr>
      <w:r>
        <w:rPr>
          <w:rtl w:val="0"/>
          <w:lang w:val="am-ET" w:eastAsia="am-ET"/>
        </w:rPr>
        <w:t> </w:t>
      </w:r>
    </w:p>
    <w:p>
      <w:pPr>
        <w:bidi w:val="0"/>
        <w:spacing w:after="120" w:afterAutospacing="0"/>
      </w:pPr>
      <w:r>
        <w:rPr>
          <w:i/>
          <w:iCs/>
          <w:rtl w:val="0"/>
          <w:lang w:val="am-ET" w:eastAsia="am-ET"/>
        </w:rPr>
        <w:t>Luật này đã được Quốc hội nước Cộng h</w:t>
      </w:r>
      <w:r>
        <w:rPr>
          <w:i/>
          <w:iCs/>
          <w:rtl w:val="0"/>
        </w:rPr>
        <w:t>òa</w:t>
      </w:r>
      <w:r>
        <w:rPr>
          <w:i/>
          <w:iCs/>
          <w:rtl w:val="0"/>
          <w:lang w:val="am-ET" w:eastAsia="am-ET"/>
        </w:rPr>
        <w:t xml:space="preserve"> xã hội chủ nghĩa Việt Nam khoá XIII, kỳ họp thứ 11 thông qua ngày 06 tháng 4 năm 2016.</w:t>
      </w:r>
    </w:p>
    <w:p>
      <w:pPr>
        <w:bidi w:val="0"/>
        <w:spacing w:after="120" w:afterAutospacing="0"/>
      </w:pPr>
      <w:r>
        <w:rPr>
          <w:b/>
          <w:bCs/>
          <w:rtl w:val="0"/>
          <w:lang w:val="am-ET" w:eastAsia="am-ET"/>
        </w:rPr>
        <w:t> </w:t>
      </w:r>
    </w:p>
    <w:tbl>
      <w:tblPr>
        <w:jc w:val="left"/>
        <w:tblCellMar>
          <w:top w:w="0" w:type="dxa"/>
          <w:left w:w="0" w:type="dxa"/>
          <w:bottom w:w="0" w:type="dxa"/>
          <w:right w:w="0" w:type="dxa"/>
        </w:tblCellMar>
      </w:tblPr>
      <w:tblGrid>
        <w:gridCol w:w="3957"/>
        <w:gridCol w:w="4683"/>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lang w:val="am-ET" w:eastAsia="am-ET"/>
              </w:rPr>
              <w:t>CHỦ TỊCH QUỐC HỘI</w:t>
            </w:r>
            <w:r>
              <w:rPr>
                <w:b/>
                <w:bCs/>
                <w:rtl w:val="0"/>
                <w:lang w:val="am-ET" w:eastAsia="am-ET"/>
              </w:rPr>
              <w:br/>
            </w:r>
            <w:r>
              <w:rPr>
                <w:b/>
                <w:bCs/>
                <w:rtl w:val="0"/>
                <w:lang w:val="am-ET" w:eastAsia="am-ET"/>
              </w:rPr>
              <w:br/>
            </w:r>
            <w:r>
              <w:rPr>
                <w:b/>
                <w:bCs/>
                <w:i/>
                <w:iCs/>
                <w:rtl w:val="0"/>
              </w:rPr>
              <w:br/>
            </w:r>
            <w:r>
              <w:rPr>
                <w:b/>
                <w:bCs/>
                <w:i/>
                <w:iCs/>
                <w:rtl w:val="0"/>
              </w:rPr>
              <w:br/>
            </w:r>
            <w:r>
              <w:rPr>
                <w:b/>
                <w:bCs/>
                <w:i/>
                <w:iCs/>
                <w:rtl w:val="0"/>
              </w:rPr>
              <w:br/>
            </w:r>
            <w:r>
              <w:rPr>
                <w:b/>
                <w:bCs/>
                <w:rtl w:val="0"/>
                <w:lang w:val="am-ET" w:eastAsia="am-ET"/>
              </w:rPr>
              <w:t>Nguyễn Thị Kim Ngân</w:t>
            </w:r>
          </w:p>
        </w:tc>
      </w:tr>
    </w:tbl>
    <w:p>
      <w:pPr>
        <w:bidi w:val="0"/>
        <w:spacing w:after="120" w:afterAutospacing="0"/>
      </w:pPr>
      <w:r>
        <w:rPr>
          <w:b/>
          <w:bCs/>
          <w:rtl w:val="0"/>
          <w:lang w:val="am-ET" w:eastAsia="am-ET"/>
        </w:rPr>
        <w:t> </w:t>
      </w:r>
    </w:p>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