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146/2017/NĐ-CP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12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100/2016/NĐ-CP NGÀY 01 THÁNG 7 NĂM 2016 VÀ NGHỊ ĐỊNH SỐ 12/2015/NĐ-CP NGÀY 12 THÁNG 02 NĂM 2015 CỦA CHÍNH PHỦ</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yfeonwnuvk"/>
      <w:r>
        <w:rPr>
          <w:i/>
          <w:iCs/>
          <w:rtl w:val="0"/>
        </w:rPr>
        <w:t>Luật thuế giá trị gia tăng</w:t>
      </w:r>
      <w:bookmarkEnd w:id="3"/>
      <w:r>
        <w:rPr>
          <w:i/>
          <w:iCs/>
          <w:rtl w:val="0"/>
        </w:rPr>
        <w:t xml:space="preserve"> ngày 03 tháng 6 năm 2008; </w:t>
      </w:r>
      <w:bookmarkStart w:id="4" w:name="tvpllink_utrvuceexq"/>
      <w:r>
        <w:rPr>
          <w:i/>
          <w:iCs/>
          <w:rtl w:val="0"/>
        </w:rPr>
        <w:t>Luật sửa đổi, bổ sung một số điều của Luật thuế giá trị gia tăng</w:t>
      </w:r>
      <w:bookmarkEnd w:id="4"/>
      <w:r>
        <w:rPr>
          <w:i/>
          <w:iCs/>
          <w:rtl w:val="0"/>
        </w:rPr>
        <w:t xml:space="preserve"> ngày 19 tháng 6 năm 2013; </w:t>
      </w:r>
      <w:bookmarkStart w:id="5" w:name="tvpllink_vgrohivzva"/>
      <w:r>
        <w:rPr>
          <w:i/>
          <w:iCs/>
          <w:rtl w:val="0"/>
        </w:rPr>
        <w:t>Luật sửa đổi, bổ sung một số điều của Luật thuế giá trị gia tăng, Luật thuế tiêu thụ đặc biệt và Luật quản lý thuế</w:t>
      </w:r>
      <w:bookmarkEnd w:id="5"/>
      <w:r>
        <w:rPr>
          <w:i/>
          <w:iCs/>
          <w:rtl w:val="0"/>
        </w:rPr>
        <w:t xml:space="preserve"> ngày 06 tháng 4 năm 2016;</w:t>
      </w:r>
    </w:p>
    <w:p>
      <w:pPr>
        <w:bidi w:val="0"/>
        <w:spacing w:before="120" w:beforeAutospacing="0" w:after="280" w:afterAutospacing="1"/>
      </w:pPr>
      <w:r>
        <w:rPr>
          <w:i/>
          <w:iCs/>
          <w:rtl w:val="0"/>
        </w:rPr>
        <w:t xml:space="preserve">Căn cứ </w:t>
      </w:r>
      <w:bookmarkStart w:id="6" w:name="tvpllink_evjddmtmvc"/>
      <w:r>
        <w:rPr>
          <w:i/>
          <w:iCs/>
          <w:rtl w:val="0"/>
        </w:rPr>
        <w:t>Luật thuế thu nhập doanh nghiệp</w:t>
      </w:r>
      <w:bookmarkEnd w:id="6"/>
      <w:r>
        <w:rPr>
          <w:i/>
          <w:iCs/>
          <w:rtl w:val="0"/>
        </w:rPr>
        <w:t xml:space="preserve"> ngày 03 tháng 6 năm 2008; </w:t>
      </w:r>
      <w:bookmarkStart w:id="7" w:name="tvpllink_wycttfgvcq"/>
      <w:r>
        <w:rPr>
          <w:i/>
          <w:iCs/>
          <w:rtl w:val="0"/>
        </w:rPr>
        <w:t>Luật sửa đổi, bổ sung một số điều của Luật thuế thu nhập doanh nghiệp</w:t>
      </w:r>
      <w:bookmarkEnd w:id="7"/>
      <w:r>
        <w:rPr>
          <w:i/>
          <w:iCs/>
          <w:rtl w:val="0"/>
        </w:rPr>
        <w:t xml:space="preserve"> ngày 19 tháng 6 năm 2013;</w:t>
      </w:r>
    </w:p>
    <w:p>
      <w:pPr>
        <w:bidi w:val="0"/>
        <w:spacing w:before="120" w:beforeAutospacing="0" w:after="280" w:afterAutospacing="1"/>
      </w:pPr>
      <w:r>
        <w:rPr>
          <w:i/>
          <w:iCs/>
          <w:rtl w:val="0"/>
        </w:rPr>
        <w:t xml:space="preserve">Căn cứ </w:t>
      </w:r>
      <w:bookmarkStart w:id="8" w:name="tvpllink_xqjnpglzab"/>
      <w:r>
        <w:rPr>
          <w:i/>
          <w:iCs/>
          <w:rtl w:val="0"/>
        </w:rPr>
        <w:t>Luật sửa đổi, bổ sung một số điều của các Luật về thuế</w:t>
      </w:r>
      <w:bookmarkEnd w:id="8"/>
      <w:r>
        <w:rPr>
          <w:i/>
          <w:iCs/>
          <w:rtl w:val="0"/>
        </w:rPr>
        <w:t xml:space="preserve"> ngày 26 tháng 11 năm 2014;</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sửa đổi, bổ sung một số điều của Nghị định số 100/2016/NĐ-CP ngày 01 tháng 7 năm 2016 và Nghị định số 12/2015/NĐ-CP ngày 12 tháng 02 năm 2015 của Chính phủ.</w:t>
      </w:r>
    </w:p>
    <w:p>
      <w:pPr>
        <w:bidi w:val="0"/>
        <w:spacing w:before="120" w:beforeAutospacing="0" w:after="280" w:afterAutospacing="1"/>
      </w:pPr>
      <w:bookmarkStart w:id="9" w:name="dieu_1"/>
      <w:r>
        <w:rPr>
          <w:b/>
          <w:bCs/>
          <w:rtl w:val="0"/>
        </w:rPr>
        <w:t>Điều 1. Sửa đổi, bổ sung một số điều của Nghị định số 209/2013/NĐ-CP ngày 18 tháng 12 năm 2013 của Chính phủ quy định chi tiết và hướng dẫn thi hành một số điều của</w:t>
      </w:r>
      <w:bookmarkEnd w:id="9"/>
      <w:r>
        <w:rPr>
          <w:b/>
          <w:bCs/>
          <w:rtl w:val="0"/>
        </w:rPr>
        <w:t xml:space="preserve"> </w:t>
      </w:r>
      <w:bookmarkStart w:id="10" w:name="tvpllink_yfeonwnuvk_1"/>
      <w:r>
        <w:rPr>
          <w:b/>
          <w:bCs/>
          <w:rtl w:val="0"/>
        </w:rPr>
        <w:t>Luật thuế giá trị gia tăng</w:t>
      </w:r>
      <w:bookmarkEnd w:id="10"/>
      <w:r>
        <w:rPr>
          <w:b/>
          <w:bCs/>
          <w:rtl w:val="0"/>
        </w:rPr>
        <w:t xml:space="preserve">, </w:t>
      </w:r>
      <w:bookmarkStart w:id="11" w:name="dieu_1_name"/>
      <w:r>
        <w:rPr>
          <w:b/>
          <w:bCs/>
          <w:rtl w:val="0"/>
        </w:rPr>
        <w:t>đã được sửa đổi bổ sung tại Nghị định số 100/2016/NĐ-CP ngày 01 tháng 7 năm 2016 của Chính phủ</w:t>
      </w:r>
      <w:bookmarkEnd w:id="11"/>
    </w:p>
    <w:p>
      <w:pPr>
        <w:bidi w:val="0"/>
        <w:spacing w:before="120" w:beforeAutospacing="0" w:after="280" w:afterAutospacing="1"/>
      </w:pPr>
      <w:bookmarkStart w:id="12" w:name="khoan_1_1"/>
      <w:r>
        <w:rPr>
          <w:rtl w:val="0"/>
        </w:rPr>
        <w:t>1.</w:t>
      </w:r>
      <w:bookmarkEnd w:id="12"/>
      <w:r>
        <w:rPr>
          <w:rtl w:val="0"/>
        </w:rPr>
        <w:t xml:space="preserve"> </w:t>
      </w:r>
      <w:bookmarkStart w:id="13" w:name="dc_1"/>
      <w:r>
        <w:rPr>
          <w:rtl w:val="0"/>
        </w:rPr>
        <w:t>Khoản 11 Điều 3</w:t>
      </w:r>
      <w:bookmarkEnd w:id="13"/>
      <w:r>
        <w:rPr>
          <w:rtl w:val="0"/>
        </w:rPr>
        <w:t xml:space="preserve"> </w:t>
      </w:r>
      <w:bookmarkStart w:id="14" w:name="khoan_1_1_name"/>
      <w:r>
        <w:rPr>
          <w:rtl w:val="0"/>
        </w:rPr>
        <w:t>được sửa đổi, bổ sung như sau:</w:t>
      </w:r>
      <w:bookmarkEnd w:id="14"/>
    </w:p>
    <w:p>
      <w:pPr>
        <w:bidi w:val="0"/>
        <w:spacing w:before="120" w:beforeAutospacing="0" w:after="280" w:afterAutospacing="1"/>
      </w:pPr>
      <w:bookmarkStart w:id="15" w:name="khoan_11"/>
      <w:r>
        <w:rPr>
          <w:rtl w:val="0"/>
        </w:rPr>
        <w:t>“11. Sản phẩm xuất khẩu là tài nguyên, khoáng sản khai thác chưa chế biến thành sản phẩm khác.</w:t>
      </w:r>
      <w:bookmarkEnd w:id="15"/>
    </w:p>
    <w:p>
      <w:pPr>
        <w:bidi w:val="0"/>
        <w:spacing w:before="120" w:beforeAutospacing="0" w:after="280" w:afterAutospacing="1"/>
      </w:pPr>
      <w:r>
        <w:rPr>
          <w:rtl w:val="0"/>
        </w:rPr>
        <w:t>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 trừ các trường hợp sau:</w:t>
      </w:r>
    </w:p>
    <w:p>
      <w:pPr>
        <w:bidi w:val="0"/>
        <w:spacing w:before="120" w:beforeAutospacing="0" w:after="280" w:afterAutospacing="1"/>
      </w:pPr>
      <w:r>
        <w:rPr>
          <w:rtl w:val="0"/>
        </w:rPr>
        <w:t xml:space="preserve">- Sản phẩm xuất khẩu được chế biến từ tài nguyên, khoáng sản do cơ sở kinh doanh trực tiếp khai thác và chế biến hoặc thuê cơ sở khác chế biến mà trong quy trình chế biến đã thành sản phẩm khác sau đó lại tiếp tục chế biến ra sản phẩm xuất khẩu (quy trình chế biến khép kín hoặc thành lập phân xưởng, nhà máy chế biến theo từng công đoạn) thì sản phẩm xuất khẩu này thuộc đối tượng áp dụng thuế suất thuế giá trị gia tăng 0% nếu đáp ứng được các điều kiện theo quy định tại </w:t>
      </w:r>
      <w:bookmarkStart w:id="16" w:name="dc_2"/>
      <w:r>
        <w:rPr>
          <w:rtl w:val="0"/>
        </w:rPr>
        <w:t>điểm c khoản 2 Điều 12 Luật thuế giá trị gia tăng</w:t>
      </w:r>
      <w:bookmarkEnd w:id="16"/>
      <w:r>
        <w:rPr>
          <w:rtl w:val="0"/>
        </w:rPr>
        <w:t>.</w:t>
      </w:r>
    </w:p>
    <w:p>
      <w:pPr>
        <w:bidi w:val="0"/>
        <w:spacing w:before="120" w:beforeAutospacing="0" w:after="280" w:afterAutospacing="1"/>
      </w:pPr>
      <w:r>
        <w:rPr>
          <w:rtl w:val="0"/>
        </w:rPr>
        <w:t xml:space="preserve">- Sản phẩm xuất khẩu được chế biến từ tài nguyên, khoáng sản do cơ sở kinh doanh mua về chế biến hoặc thuê cơ sở khác chế biến mà trong quy trình chế biến đã thành sản phẩm khác sau đó lại tiếp tục chế biến ra sản phẩm xuất khẩu (quy trình chế biến khép kín hoặc thành lập phân xưởng, nhà máy chế biến theo từng công đoạn) thì sản phẩm xuất khẩu này thuộc đối tượng áp dụng thuế suất thuế giá trị gia tăng 0% nếu đáp ứng được các điều kiện theo quy định tại </w:t>
      </w:r>
      <w:bookmarkStart w:id="17" w:name="dc_3"/>
      <w:r>
        <w:rPr>
          <w:rtl w:val="0"/>
        </w:rPr>
        <w:t>điểm c khoản 2 Điều 12 Luật thuế giá trị gia tăng</w:t>
      </w:r>
      <w:bookmarkEnd w:id="17"/>
      <w:r>
        <w:rPr>
          <w:rtl w:val="0"/>
        </w:rPr>
        <w:t>.</w:t>
      </w:r>
    </w:p>
    <w:p>
      <w:pPr>
        <w:bidi w:val="0"/>
        <w:spacing w:before="120" w:beforeAutospacing="0" w:after="280" w:afterAutospacing="1"/>
      </w:pPr>
      <w:r>
        <w:rPr>
          <w:rtl w:val="0"/>
        </w:rPr>
        <w:t xml:space="preserve">- Sản phẩm xuất khẩu được chế biến từ nguyên liệu chính không phải là tài nguyên, khoáng sản (tài nguyên, khoáng sản đã chế biến thành sản phẩm khác) do cơ sở kinh doanh mua về chế biến hoặc thuê cơ sở khác chế biến thành sản phẩm xuất khẩu thì sản phẩm xuất khẩu này thuộc đối tượng áp dụng thuế suất thuế giá trị gia tăng 0% nếu đáp ứng được các điều kiện theo quy định tại </w:t>
      </w:r>
      <w:bookmarkStart w:id="18" w:name="dc_4"/>
      <w:r>
        <w:rPr>
          <w:rtl w:val="0"/>
        </w:rPr>
        <w:t>điểm c khoản 2 Điều 12 Luật thuế giá trị gia tăng</w:t>
      </w:r>
      <w:bookmarkEnd w:id="18"/>
      <w:r>
        <w:rPr>
          <w:rtl w:val="0"/>
        </w:rPr>
        <w:t>.</w:t>
      </w:r>
    </w:p>
    <w:p>
      <w:pPr>
        <w:bidi w:val="0"/>
        <w:spacing w:before="120" w:beforeAutospacing="0" w:after="280" w:afterAutospacing="1"/>
      </w:pPr>
      <w:r>
        <w:rPr>
          <w:rtl w:val="0"/>
        </w:rPr>
        <w:t xml:space="preserve">Tài nguyên, khoáng sản quy định tại </w:t>
      </w:r>
      <w:bookmarkStart w:id="19" w:name="dc_5"/>
      <w:r>
        <w:rPr>
          <w:rtl w:val="0"/>
        </w:rPr>
        <w:t>khoản 23 Điều 5 của Luật thuế giá trị gia tăng</w:t>
      </w:r>
      <w:bookmarkEnd w:id="19"/>
      <w:r>
        <w:rPr>
          <w:rtl w:val="0"/>
        </w:rPr>
        <w:t xml:space="preserve"> là tài nguyên, khoáng sản có nguồn gốc trong nước gồm: Khoáng sản kim loại; khoáng sản không kim loại; dầu thô; khí thiên nhiên; khí than.</w:t>
      </w:r>
    </w:p>
    <w:p>
      <w:pPr>
        <w:bidi w:val="0"/>
        <w:spacing w:before="120" w:beforeAutospacing="0" w:after="280" w:afterAutospacing="1"/>
      </w:pPr>
      <w:r>
        <w:rPr>
          <w:rtl w:val="0"/>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pPr>
        <w:bidi w:val="0"/>
        <w:spacing w:before="120" w:beforeAutospacing="0" w:after="280" w:afterAutospacing="1"/>
      </w:pPr>
      <w:r>
        <w:rPr>
          <w:rtl w:val="0"/>
        </w:rPr>
        <w:t>Chi phí năng lượng gồm: Nhiên liệu, điện năng, nhiệt năng.</w:t>
      </w:r>
    </w:p>
    <w:p>
      <w:pPr>
        <w:bidi w:val="0"/>
        <w:spacing w:before="120" w:beforeAutospacing="0" w:after="280" w:afterAutospacing="1"/>
      </w:pPr>
      <w:r>
        <w:rPr>
          <w:rtl w:val="0"/>
        </w:rPr>
        <w:t>Tỷ lệ trị giá tài nguyên, khoáng sản và chi phí năng lượng trên giá thành sản xuất sản phẩm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hợp không có phương án đầu tư thì tỷ lệ trị giá tài nguyên, khoáng sản và chi phí năng lượng trên giá thành sản xuất sản phẩm được xác định theo thực tế của sản phẩm xuất khẩu.</w:t>
      </w:r>
    </w:p>
    <w:p>
      <w:pPr>
        <w:bidi w:val="0"/>
        <w:spacing w:before="120" w:beforeAutospacing="0" w:after="280" w:afterAutospacing="1"/>
      </w:pPr>
      <w:r>
        <w:rPr>
          <w:rtl w:val="0"/>
        </w:rPr>
        <w:t>Bộ Tài chính chủ trì, phối hợp với các cơ quan liên quan hướng dẫn cụ thể việc xác định tài nguyên, khoáng sản khai thác chưa được chế biến thành sản phẩm khác quy định tại khoản này.”</w:t>
      </w:r>
    </w:p>
    <w:p>
      <w:pPr>
        <w:bidi w:val="0"/>
        <w:spacing w:before="120" w:beforeAutospacing="0" w:after="280" w:afterAutospacing="1"/>
      </w:pPr>
      <w:bookmarkStart w:id="20" w:name="khoan_2"/>
      <w:r>
        <w:rPr>
          <w:rtl w:val="0"/>
        </w:rPr>
        <w:t>2. Sửa đổi, bổ sung</w:t>
      </w:r>
      <w:bookmarkEnd w:id="20"/>
      <w:r>
        <w:rPr>
          <w:rtl w:val="0"/>
        </w:rPr>
        <w:t xml:space="preserve"> </w:t>
      </w:r>
      <w:bookmarkStart w:id="21" w:name="dc_6"/>
      <w:r>
        <w:rPr>
          <w:rtl w:val="0"/>
        </w:rPr>
        <w:t>khoản 3 Điều 10</w:t>
      </w:r>
      <w:bookmarkEnd w:id="21"/>
      <w:r>
        <w:rPr>
          <w:rtl w:val="0"/>
        </w:rPr>
        <w:t xml:space="preserve"> </w:t>
      </w:r>
      <w:bookmarkStart w:id="22" w:name="khoan_2_name"/>
      <w:r>
        <w:rPr>
          <w:rtl w:val="0"/>
        </w:rPr>
        <w:t>như sau:</w:t>
      </w:r>
      <w:bookmarkEnd w:id="22"/>
    </w:p>
    <w:p>
      <w:pPr>
        <w:bidi w:val="0"/>
        <w:spacing w:before="120" w:beforeAutospacing="0" w:after="280" w:afterAutospacing="1"/>
      </w:pPr>
      <w:r>
        <w:rPr>
          <w:rtl w:val="0"/>
        </w:rPr>
        <w:t>“3. Cơ sở kinh doanh trong tháng (đối với trường hợp kê khai theo tháng), quý (đối với trường hợp kê khai theo quý) có hàng hóa, dịch vụ xuất khẩu bao gồm cả trường hợp: Hàng hóa nhập khẩu sau đó xuất khẩu vào khu phi thuế quan; hàng hóa nhập khẩu sau đó xuất khẩu ra nước ngoài, có số thuế giá trị gia tăng đầu vào chưa được khấu trừ từ 300 triệu đồng trở lên thì được hoàn thuế giá trị gia tăng theo tháng, quý; trường hợp trong tháng, quý số thuế giá trị gia tăng đầu vào chưa được khấu trừ chưa đủ 300 triệu đồng thì được khấu trừ vào tháng, quý tiếp theo; trường hợp vừa có hàng hóa, dịch vụ xuất khẩu, vừa có hàng hóa, dịch vụ tiêu thụ nội địa nếu sau khi bù trừ với số thuế phải nộp, số thuế giá trị gia tăng đầu vào chưa được khấu trừ của hàng hóa, dịch vụ xuất khẩu còn lại từ 300 triệu đồng trở lên thì cơ sở kinh doanh được hoàn thuế. Cơ sở kinh doanh phải hạch toán riêng số thuế giá trị gia tăng đầu vào sử dụng cho sản xuất kinh doanh hàng hóa, dịch vụ xuất khẩu, trường hợp không hạch toán riêng được thì số thuế giá trị gia tăng đầu vào xác định theo tỷ lệ giữa doanh thu của hàng hóa, dịch vụ xuất khẩu trên tổng doanh thu hàng hóa, dịch vụ của các kỳ khai thuế giá trị gia tăng tính từ kỳ khai thuế tiếp theo kỳ hoàn thuế liền trước đến kỳ đề nghị hoàn thuế hiện tại.</w:t>
      </w:r>
    </w:p>
    <w:p>
      <w:pPr>
        <w:bidi w:val="0"/>
        <w:spacing w:before="120" w:beforeAutospacing="0" w:after="280" w:afterAutospacing="1"/>
      </w:pPr>
      <w:r>
        <w:rPr>
          <w:rtl w:val="0"/>
        </w:rPr>
        <w:t>Cơ sở kinh doanh không được hoàn thuế giá trị gia tăng đối với trường hợp: Hàng hóa nhập khẩu sau đó xuất khẩu mà hàng hóa xuất khẩu đó không thực hiện việc xuất khẩu tại địa bàn hoạt động hải quan theo quy định của pháp luật về hải quan; hàng hóa xuất khẩu không thực hiện việc xuất khẩu tại địa bàn hoạt động hải quan theo quy định của pháp luật về hải quan.</w:t>
      </w:r>
    </w:p>
    <w:p>
      <w:pPr>
        <w:bidi w:val="0"/>
        <w:spacing w:before="120" w:beforeAutospacing="0" w:after="280" w:afterAutospacing="1"/>
      </w:pPr>
      <w:r>
        <w:rPr>
          <w:rtl w:val="0"/>
        </w:rPr>
        <w:t xml:space="preserve">Cơ quan thuế thực hiện hoàn thuế trước, kiểm tra sau đối với người nộp thuế sản xuất hàng hóa xuất khẩu không bị xử lý đối với hành vi buôn lậu vận chuyển trái phép hàng hóa qua biên giới, trốn thuế, gian lận thuế gian lận thương mại trong thời gian hai năm liên tục; người nộp thuế không thuộc đối tượng rủi ro cao theo quy định của </w:t>
      </w:r>
      <w:bookmarkStart w:id="23" w:name="tvpllink_nwnhxlgimk"/>
      <w:r>
        <w:rPr>
          <w:rtl w:val="0"/>
        </w:rPr>
        <w:t>Luật quản lý thuế</w:t>
      </w:r>
      <w:bookmarkEnd w:id="23"/>
      <w:r>
        <w:rPr>
          <w:rtl w:val="0"/>
        </w:rPr>
        <w:t xml:space="preserve"> và các văn bản hướng dẫn thi hành.”</w:t>
      </w:r>
    </w:p>
    <w:p>
      <w:pPr>
        <w:bidi w:val="0"/>
        <w:spacing w:before="120" w:beforeAutospacing="0" w:after="280" w:afterAutospacing="1"/>
      </w:pPr>
      <w:bookmarkStart w:id="24" w:name="dieu_2"/>
      <w:r>
        <w:rPr>
          <w:b/>
          <w:bCs/>
          <w:rtl w:val="0"/>
        </w:rPr>
        <w:t>Điều 2. Sửa đổi, bổ sung</w:t>
      </w:r>
      <w:bookmarkEnd w:id="24"/>
      <w:r>
        <w:rPr>
          <w:b/>
          <w:bCs/>
          <w:rtl w:val="0"/>
        </w:rPr>
        <w:t xml:space="preserve"> </w:t>
      </w:r>
      <w:bookmarkStart w:id="25" w:name="dc_7"/>
      <w:r>
        <w:rPr>
          <w:b/>
          <w:bCs/>
          <w:rtl w:val="0"/>
        </w:rPr>
        <w:t>điểm o khoản 2 Điều 9 Nghị định số 218/2013/NĐ-CP</w:t>
      </w:r>
      <w:bookmarkEnd w:id="25"/>
      <w:r>
        <w:rPr>
          <w:b/>
          <w:bCs/>
          <w:rtl w:val="0"/>
        </w:rPr>
        <w:t xml:space="preserve"> </w:t>
      </w:r>
      <w:bookmarkStart w:id="26" w:name="dieu_2_name"/>
      <w:r>
        <w:rPr>
          <w:b/>
          <w:bCs/>
          <w:rtl w:val="0"/>
        </w:rPr>
        <w:t>ngày 26 tháng 12 năm 2013 của Chính phủ quy định chi tiết và hướng dẫn thi hành</w:t>
      </w:r>
      <w:bookmarkEnd w:id="26"/>
      <w:r>
        <w:rPr>
          <w:b/>
          <w:bCs/>
          <w:rtl w:val="0"/>
        </w:rPr>
        <w:t xml:space="preserve"> </w:t>
      </w:r>
      <w:bookmarkStart w:id="27" w:name="tvpllink_evjddmtmvc_1"/>
      <w:r>
        <w:rPr>
          <w:b/>
          <w:bCs/>
          <w:rtl w:val="0"/>
        </w:rPr>
        <w:t>Luật thuế thu nhập doanh nghiệp</w:t>
      </w:r>
      <w:bookmarkEnd w:id="27"/>
      <w:r>
        <w:rPr>
          <w:b/>
          <w:bCs/>
          <w:rtl w:val="0"/>
        </w:rPr>
        <w:t xml:space="preserve">, </w:t>
      </w:r>
      <w:bookmarkStart w:id="28" w:name="dieu_2_name_name"/>
      <w:r>
        <w:rPr>
          <w:b/>
          <w:bCs/>
          <w:rtl w:val="0"/>
        </w:rPr>
        <w:t>đã được sửa đổi, bổ sung tại</w:t>
      </w:r>
      <w:bookmarkEnd w:id="28"/>
      <w:r>
        <w:rPr>
          <w:b/>
          <w:bCs/>
          <w:rtl w:val="0"/>
        </w:rPr>
        <w:t xml:space="preserve"> </w:t>
      </w:r>
      <w:bookmarkStart w:id="29" w:name="dc_8"/>
      <w:r>
        <w:rPr>
          <w:b/>
          <w:bCs/>
          <w:rtl w:val="0"/>
        </w:rPr>
        <w:t>khoản 7 Điều 1 Nghị định số 12/2015/NĐ-CP</w:t>
      </w:r>
      <w:bookmarkEnd w:id="29"/>
      <w:r>
        <w:rPr>
          <w:b/>
          <w:bCs/>
          <w:rtl w:val="0"/>
        </w:rPr>
        <w:t xml:space="preserve"> </w:t>
      </w:r>
      <w:bookmarkStart w:id="30" w:name="dieu_2_name_name_name"/>
      <w:r>
        <w:rPr>
          <w:b/>
          <w:bCs/>
          <w:rtl w:val="0"/>
        </w:rPr>
        <w:t>ngày 12 tháng 02 năm 2015 của Chính phủ</w:t>
      </w:r>
      <w:bookmarkEnd w:id="30"/>
    </w:p>
    <w:p>
      <w:pPr>
        <w:bidi w:val="0"/>
        <w:spacing w:before="120" w:beforeAutospacing="0" w:after="280" w:afterAutospacing="1"/>
      </w:pPr>
      <w:r>
        <w:rPr>
          <w:rtl w:val="0"/>
        </w:rPr>
        <w:t>“o) Phần chi vượt mức 03 triệu đồng/tháng/người để trích nộp quỹ hưu trí tự nguyện, mua bảo hiểm hưu trí tự nguyện, bảo hiểm nhân thọ cho người lao động; 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người lao động;</w:t>
      </w:r>
    </w:p>
    <w:p>
      <w:pPr>
        <w:bidi w:val="0"/>
        <w:spacing w:before="120" w:beforeAutospacing="0" w:after="280" w:afterAutospacing="1"/>
      </w:pPr>
      <w:r>
        <w:rPr>
          <w:rtl w:val="0"/>
        </w:rPr>
        <w:t>Khoản chi trích nộp quỹ hưu trí tự nguyện, quỹ có tính chất an sinh xã hội, mua bảo hiểm hưu trí tự nguyện, bảo hiểm nhân thọ cho người lao động được tính vào chi phí được trừ ngoài việc không vượt mức quy định tại khoản này còn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w:t>
      </w:r>
    </w:p>
    <w:p>
      <w:pPr>
        <w:bidi w:val="0"/>
        <w:spacing w:before="120" w:beforeAutospacing="0" w:after="280" w:afterAutospacing="1"/>
      </w:pPr>
      <w:bookmarkStart w:id="31" w:name="dieu_3"/>
      <w:r>
        <w:rPr>
          <w:b/>
          <w:bCs/>
          <w:rtl w:val="0"/>
        </w:rPr>
        <w:t>Điều 3. Điều khoản thi hành</w:t>
      </w:r>
      <w:bookmarkEnd w:id="31"/>
    </w:p>
    <w:p>
      <w:pPr>
        <w:bidi w:val="0"/>
        <w:spacing w:before="120" w:beforeAutospacing="0" w:after="280" w:afterAutospacing="1"/>
      </w:pPr>
      <w:r>
        <w:rPr>
          <w:rtl w:val="0"/>
        </w:rPr>
        <w:t>Nghị định này có hiệu lực thi hành từ ngày 01 tháng 02 năm 2018.</w:t>
      </w:r>
    </w:p>
    <w:p>
      <w:pPr>
        <w:bidi w:val="0"/>
        <w:spacing w:before="120" w:beforeAutospacing="0" w:after="280" w:afterAutospacing="1"/>
      </w:pPr>
      <w:bookmarkStart w:id="32" w:name="dieu_4"/>
      <w:r>
        <w:rPr>
          <w:b/>
          <w:bCs/>
          <w:rtl w:val="0"/>
        </w:rPr>
        <w:t>Điều 4. Trách nhiệm tổ chức thực hiện</w:t>
      </w:r>
      <w:bookmarkEnd w:id="32"/>
    </w:p>
    <w:p>
      <w:pPr>
        <w:bidi w:val="0"/>
        <w:spacing w:before="120" w:beforeAutospacing="0" w:after="280" w:afterAutospacing="1"/>
      </w:pPr>
      <w:r>
        <w:rPr>
          <w:rtl w:val="0"/>
        </w:rPr>
        <w:t>1. Bộ Tài chính hướng dẫn thi hành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(2b).KN 204</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