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181/2025/NĐ-CP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01 tháng 7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THI HÀNH MỘT SỐ ĐIỀU CỦA LUẬT THUẾ GIÁ TRỊ GIA TĂNG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cfonnkiqjn"/>
      <w:r>
        <w:rPr>
          <w:i/>
          <w:iCs/>
          <w:rtl w:val="0"/>
        </w:rPr>
        <w:t>Luật Thuế giá trị gia tăng</w:t>
      </w:r>
      <w:bookmarkEnd w:id="3"/>
      <w:r>
        <w:rPr>
          <w:i/>
          <w:iCs/>
          <w:rtl w:val="0"/>
        </w:rPr>
        <w:t xml:space="preserve"> ngày 26 tháng 11 năm 2024;</w:t>
      </w:r>
    </w:p>
    <w:p>
      <w:pPr>
        <w:bidi w:val="0"/>
        <w:spacing w:before="120" w:beforeAutospacing="0" w:after="280" w:afterAutospacing="1"/>
      </w:pPr>
      <w:r>
        <w:rPr>
          <w:i/>
          <w:iCs/>
          <w:rtl w:val="0"/>
        </w:rPr>
        <w:t xml:space="preserve">Căn cứ </w:t>
      </w:r>
      <w:bookmarkStart w:id="4" w:name="tvpllink_hbwjisyjfg"/>
      <w:r>
        <w:rPr>
          <w:i/>
          <w:iCs/>
          <w:rtl w:val="0"/>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4"/>
      <w:r>
        <w:rPr>
          <w:i/>
          <w:iCs/>
          <w:rtl w:val="0"/>
        </w:rPr>
        <w:t xml:space="preserve"> ngày 25 tháng 6 năm 2025;</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thi hành một số điều của </w:t>
      </w:r>
      <w:bookmarkStart w:id="5" w:name="tvpllink_cfonnkiqjn_3"/>
      <w:r>
        <w:rPr>
          <w:i/>
          <w:iCs/>
          <w:rtl w:val="0"/>
        </w:rPr>
        <w:t>Luật Thuế giá trị gia tăng</w:t>
      </w:r>
      <w:bookmarkEnd w:id="5"/>
      <w:r>
        <w:rPr>
          <w:i/>
          <w:iCs/>
          <w:rtl w:val="0"/>
        </w:rPr>
        <w:t>.</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NHỮNG QUY ĐỊNH CHUNG</w:t>
      </w:r>
      <w:bookmarkEnd w:id="7"/>
    </w:p>
    <w:p>
      <w:pPr>
        <w:bidi w:val="0"/>
        <w:spacing w:before="120" w:beforeAutospacing="0" w:after="280" w:afterAutospacing="1"/>
      </w:pPr>
      <w:bookmarkStart w:id="8" w:name="dieu_1_1"/>
      <w:r>
        <w:rPr>
          <w:b/>
          <w:bCs/>
          <w:rtl w:val="0"/>
        </w:rPr>
        <w:t>Điều 1. Phạm vi điều chỉnh</w:t>
      </w:r>
      <w:bookmarkEnd w:id="8"/>
    </w:p>
    <w:p>
      <w:pPr>
        <w:bidi w:val="0"/>
        <w:spacing w:before="120" w:beforeAutospacing="0" w:after="280" w:afterAutospacing="1"/>
      </w:pPr>
      <w:r>
        <w:rPr>
          <w:rtl w:val="0"/>
        </w:rPr>
        <w:t xml:space="preserve">Nghị định này quy định chi tiết về người nộp thuế tại </w:t>
      </w:r>
      <w:bookmarkStart w:id="9" w:name="dc_1"/>
      <w:r>
        <w:rPr>
          <w:rtl w:val="0"/>
        </w:rPr>
        <w:t>khoản 1, 4 và khoản 5 Điều 4</w:t>
      </w:r>
      <w:bookmarkEnd w:id="9"/>
      <w:r>
        <w:rPr>
          <w:rtl w:val="0"/>
        </w:rPr>
        <w:t xml:space="preserve"> và người nộp thuế trong trường hợp nhà cung cấp nước ngoài cung cấp dịch vụ cho người mua là tổ chức kinh doanh tại Việt Nam áp dụng phương pháp khấu trừ thuế quy định tại </w:t>
      </w:r>
      <w:bookmarkStart w:id="10" w:name="dc_2"/>
      <w:r>
        <w:rPr>
          <w:rtl w:val="0"/>
        </w:rPr>
        <w:t>khoản 4 Điều 4</w:t>
      </w:r>
      <w:bookmarkEnd w:id="10"/>
      <w:r>
        <w:rPr>
          <w:rtl w:val="0"/>
        </w:rPr>
        <w:t xml:space="preserve">, đối tượng không chịu thuế tại </w:t>
      </w:r>
      <w:bookmarkStart w:id="11" w:name="dc_3"/>
      <w:r>
        <w:rPr>
          <w:rtl w:val="0"/>
        </w:rPr>
        <w:t>Điều 5</w:t>
      </w:r>
      <w:bookmarkEnd w:id="11"/>
      <w:r>
        <w:rPr>
          <w:rtl w:val="0"/>
        </w:rPr>
        <w:t xml:space="preserve">, giá tính thuế tại </w:t>
      </w:r>
      <w:bookmarkStart w:id="12" w:name="dc_4"/>
      <w:r>
        <w:rPr>
          <w:rtl w:val="0"/>
        </w:rPr>
        <w:t>Điều 7</w:t>
      </w:r>
      <w:bookmarkEnd w:id="12"/>
      <w:r>
        <w:rPr>
          <w:rtl w:val="0"/>
        </w:rPr>
        <w:t xml:space="preserve">, thời điểm xác định thuế giá trị gia tăng tại </w:t>
      </w:r>
      <w:bookmarkStart w:id="13" w:name="dc_5"/>
      <w:r>
        <w:rPr>
          <w:rtl w:val="0"/>
        </w:rPr>
        <w:t>khoản 2 Điều 8</w:t>
      </w:r>
      <w:bookmarkEnd w:id="13"/>
      <w:r>
        <w:rPr>
          <w:rtl w:val="0"/>
        </w:rPr>
        <w:t xml:space="preserve">, thuế suất tại </w:t>
      </w:r>
      <w:bookmarkStart w:id="14" w:name="dc_6"/>
      <w:r>
        <w:rPr>
          <w:rtl w:val="0"/>
        </w:rPr>
        <w:t>khoản 1, 2 Điều 9</w:t>
      </w:r>
      <w:bookmarkEnd w:id="14"/>
      <w:r>
        <w:rPr>
          <w:rtl w:val="0"/>
        </w:rPr>
        <w:t xml:space="preserve">, phương pháp khấu trừ thuế tại </w:t>
      </w:r>
      <w:bookmarkStart w:id="15" w:name="dc_7"/>
      <w:r>
        <w:rPr>
          <w:rtl w:val="0"/>
        </w:rPr>
        <w:t>Điều 11</w:t>
      </w:r>
      <w:bookmarkEnd w:id="15"/>
      <w:r>
        <w:rPr>
          <w:rtl w:val="0"/>
        </w:rPr>
        <w:t xml:space="preserve">, phương pháp tính trực tiếp tại </w:t>
      </w:r>
      <w:bookmarkStart w:id="16" w:name="dc_8"/>
      <w:r>
        <w:rPr>
          <w:rtl w:val="0"/>
        </w:rPr>
        <w:t>khoản 1 Điều 12</w:t>
      </w:r>
      <w:bookmarkEnd w:id="16"/>
      <w:r>
        <w:rPr>
          <w:rtl w:val="0"/>
        </w:rPr>
        <w:t xml:space="preserve">, khấu trừ thuế giá trị gia tăng đầu vào tại </w:t>
      </w:r>
      <w:bookmarkStart w:id="17" w:name="dc_9"/>
      <w:r>
        <w:rPr>
          <w:rtl w:val="0"/>
        </w:rPr>
        <w:t>Điều 14</w:t>
      </w:r>
      <w:bookmarkEnd w:id="17"/>
      <w:r>
        <w:rPr>
          <w:rtl w:val="0"/>
        </w:rPr>
        <w:t xml:space="preserve"> và hoàn thuế giá trị gia tăng tại </w:t>
      </w:r>
      <w:bookmarkStart w:id="18" w:name="dc_10"/>
      <w:r>
        <w:rPr>
          <w:rtl w:val="0"/>
        </w:rPr>
        <w:t>Điều 15 của Luật Thuế giá trị gia tăng</w:t>
      </w:r>
      <w:bookmarkEnd w:id="18"/>
      <w:r>
        <w:rPr>
          <w:rtl w:val="0"/>
        </w:rPr>
        <w:t>.</w:t>
      </w:r>
    </w:p>
    <w:p>
      <w:pPr>
        <w:bidi w:val="0"/>
        <w:spacing w:before="120" w:beforeAutospacing="0" w:after="280" w:afterAutospacing="1"/>
      </w:pPr>
      <w:bookmarkStart w:id="19" w:name="dieu_2"/>
      <w:r>
        <w:rPr>
          <w:b/>
          <w:bCs/>
          <w:rtl w:val="0"/>
        </w:rPr>
        <w:t>Điều 2. Đối tượng áp dụng</w:t>
      </w:r>
      <w:bookmarkEnd w:id="19"/>
    </w:p>
    <w:p>
      <w:pPr>
        <w:bidi w:val="0"/>
        <w:spacing w:before="120" w:beforeAutospacing="0" w:after="280" w:afterAutospacing="1"/>
      </w:pPr>
      <w:r>
        <w:rPr>
          <w:rtl w:val="0"/>
        </w:rPr>
        <w:t>Đối tượng áp dụng của Nghị định này bao gồm:</w:t>
      </w:r>
    </w:p>
    <w:p>
      <w:pPr>
        <w:bidi w:val="0"/>
        <w:spacing w:before="120" w:beforeAutospacing="0" w:after="280" w:afterAutospacing="1"/>
      </w:pPr>
      <w:r>
        <w:rPr>
          <w:rtl w:val="0"/>
        </w:rPr>
        <w:t xml:space="preserve">1. Người nộp thuế quy định tại </w:t>
      </w:r>
      <w:bookmarkStart w:id="20" w:name="tc_1"/>
      <w:r>
        <w:rPr>
          <w:rtl w:val="0"/>
        </w:rPr>
        <w:t>Điều 3 Nghị định này</w:t>
      </w:r>
      <w:bookmarkEnd w:id="20"/>
      <w:r>
        <w:rPr>
          <w:rtl w:val="0"/>
        </w:rPr>
        <w:t>.</w:t>
      </w:r>
    </w:p>
    <w:p>
      <w:pPr>
        <w:bidi w:val="0"/>
        <w:spacing w:before="120" w:beforeAutospacing="0" w:after="280" w:afterAutospacing="1"/>
      </w:pPr>
      <w:r>
        <w:rPr>
          <w:rtl w:val="0"/>
        </w:rPr>
        <w:t>2. Cơ quan quản lý thuế theo quy định của pháp luật về quản lý thuế.</w:t>
      </w:r>
    </w:p>
    <w:p>
      <w:pPr>
        <w:bidi w:val="0"/>
        <w:spacing w:before="120" w:beforeAutospacing="0" w:after="280" w:afterAutospacing="1"/>
      </w:pPr>
      <w:r>
        <w:rPr>
          <w:rtl w:val="0"/>
        </w:rPr>
        <w:t>3. Các tổ chức, cá nhân khác có liên quan.</w:t>
      </w:r>
    </w:p>
    <w:p>
      <w:pPr>
        <w:bidi w:val="0"/>
        <w:spacing w:before="120" w:beforeAutospacing="0" w:after="280" w:afterAutospacing="1"/>
      </w:pPr>
      <w:bookmarkStart w:id="21" w:name="dieu_3"/>
      <w:r>
        <w:rPr>
          <w:b/>
          <w:bCs/>
          <w:rtl w:val="0"/>
        </w:rPr>
        <w:t>Điều 3. Người nộp thuế</w:t>
      </w:r>
      <w:bookmarkEnd w:id="21"/>
    </w:p>
    <w:p>
      <w:pPr>
        <w:bidi w:val="0"/>
        <w:spacing w:before="120" w:beforeAutospacing="0" w:after="280" w:afterAutospacing="1"/>
      </w:pPr>
      <w:r>
        <w:rPr>
          <w:rtl w:val="0"/>
        </w:rPr>
        <w:t xml:space="preserve">Người nộp thuế thực hiện theo quy định tại </w:t>
      </w:r>
      <w:bookmarkStart w:id="22" w:name="dc_11"/>
      <w:r>
        <w:rPr>
          <w:rtl w:val="0"/>
        </w:rPr>
        <w:t>Điều 4 Luật Thuế giá trị gia tăng</w:t>
      </w:r>
      <w:bookmarkEnd w:id="22"/>
      <w:r>
        <w:rPr>
          <w:rtl w:val="0"/>
        </w:rPr>
        <w:t>. Một số trường hợp được quy định chi tiết như sau:</w:t>
      </w:r>
    </w:p>
    <w:p>
      <w:pPr>
        <w:bidi w:val="0"/>
        <w:spacing w:before="120" w:beforeAutospacing="0" w:after="280" w:afterAutospacing="1"/>
      </w:pPr>
      <w:bookmarkStart w:id="23" w:name="khoan_1_3"/>
      <w:r>
        <w:rPr>
          <w:rtl w:val="0"/>
        </w:rPr>
        <w:t>1. Người nộp thuế quy định tại</w:t>
      </w:r>
      <w:bookmarkEnd w:id="23"/>
      <w:r>
        <w:rPr>
          <w:rtl w:val="0"/>
        </w:rPr>
        <w:t xml:space="preserve"> </w:t>
      </w:r>
      <w:bookmarkStart w:id="24" w:name="dc_12"/>
      <w:r>
        <w:rPr>
          <w:rtl w:val="0"/>
        </w:rPr>
        <w:t>khoản 1 Điều 4 Luật Thuế giá trị gia tăng</w:t>
      </w:r>
      <w:bookmarkEnd w:id="24"/>
      <w:r>
        <w:rPr>
          <w:rtl w:val="0"/>
        </w:rPr>
        <w:t xml:space="preserve"> </w:t>
      </w:r>
      <w:bookmarkStart w:id="25" w:name="khoan_1_3_name"/>
      <w:r>
        <w:rPr>
          <w:rtl w:val="0"/>
        </w:rPr>
        <w:t>bao gồm:</w:t>
      </w:r>
      <w:bookmarkEnd w:id="25"/>
    </w:p>
    <w:p>
      <w:pPr>
        <w:bidi w:val="0"/>
        <w:spacing w:before="120" w:beforeAutospacing="0" w:after="280" w:afterAutospacing="1"/>
      </w:pPr>
      <w:r>
        <w:rPr>
          <w:rtl w:val="0"/>
        </w:rPr>
        <w:t xml:space="preserve">a) Các tổ chức được thành lập và đăng ký kinh doanh theo </w:t>
      </w:r>
      <w:bookmarkStart w:id="26" w:name="tvpllink_vschxswiyw"/>
      <w:r>
        <w:rPr>
          <w:rtl w:val="0"/>
        </w:rPr>
        <w:t>Luật Doanh nghiệp</w:t>
      </w:r>
      <w:bookmarkEnd w:id="26"/>
      <w:r>
        <w:rPr>
          <w:rtl w:val="0"/>
        </w:rPr>
        <w:t xml:space="preserve">, </w:t>
      </w:r>
      <w:bookmarkStart w:id="27" w:name="tvpllink_vkhttfmgzy"/>
      <w:r>
        <w:rPr>
          <w:rtl w:val="0"/>
        </w:rPr>
        <w:t>Luật Hợp tác xã</w:t>
      </w:r>
      <w:bookmarkEnd w:id="27"/>
      <w:r>
        <w:rPr>
          <w:rtl w:val="0"/>
        </w:rPr>
        <w:t xml:space="preserve"> và pháp luật chuyên ngành khác.</w:t>
      </w:r>
    </w:p>
    <w:p>
      <w:pPr>
        <w:bidi w:val="0"/>
        <w:spacing w:before="120" w:beforeAutospacing="0" w:after="280" w:afterAutospacing="1"/>
      </w:pPr>
      <w:r>
        <w:rPr>
          <w:rtl w:val="0"/>
        </w:rPr>
        <w:t>b) Các tổ chức kinh tế của tổ chức chính trị, tổ chức chính trị - xã hội, tổ chức xã hội, tổ chức xã hội - nghề nghiệp, đơn vị vũ trang nhân dân, tổ chức sự nghiệp và các tổ chức khác.</w:t>
      </w:r>
    </w:p>
    <w:p>
      <w:pPr>
        <w:bidi w:val="0"/>
        <w:spacing w:before="120" w:beforeAutospacing="0" w:after="280" w:afterAutospacing="1"/>
      </w:pPr>
      <w:r>
        <w:rPr>
          <w:rtl w:val="0"/>
        </w:rPr>
        <w:t xml:space="preserve">c) Các doanh nghiệp có vốn đầu tư nước ngoài và bên nước ngoài tham gia hợp tác kinh doanh theo </w:t>
      </w:r>
      <w:bookmarkStart w:id="28" w:name="tvpllink_gwozgqnrqo"/>
      <w:r>
        <w:rPr>
          <w:rtl w:val="0"/>
        </w:rPr>
        <w:t>Luật Đầu tư</w:t>
      </w:r>
      <w:bookmarkEnd w:id="28"/>
      <w:r>
        <w:rPr>
          <w:rtl w:val="0"/>
        </w:rPr>
        <w:t>; các tổ chức, cá nhân nước ngoài hoạt động kinh doanh ở Việt Nam nhưng không thành lập pháp nhân tại Việt Nam.</w:t>
      </w:r>
    </w:p>
    <w:p>
      <w:pPr>
        <w:bidi w:val="0"/>
        <w:spacing w:before="120" w:beforeAutospacing="0" w:after="280" w:afterAutospacing="1"/>
      </w:pPr>
      <w:r>
        <w:rPr>
          <w:rtl w:val="0"/>
        </w:rPr>
        <w:t>d) Doanh nghiệp chế xuất thực hiện các hoạt động kinh doanh khác theo quy định của pháp luật về quản lý khu công nghiệp và khu kinh tế.</w:t>
      </w:r>
    </w:p>
    <w:p>
      <w:pPr>
        <w:bidi w:val="0"/>
        <w:spacing w:before="120" w:beforeAutospacing="0" w:after="280" w:afterAutospacing="1"/>
      </w:pPr>
      <w:r>
        <w:rPr>
          <w:rtl w:val="0"/>
        </w:rPr>
        <w:t>đ) Hộ, cá nhân sản xuất, kinh doanh; nhóm người kinh doanh độc lập.</w:t>
      </w:r>
    </w:p>
    <w:p>
      <w:pPr>
        <w:bidi w:val="0"/>
        <w:spacing w:before="120" w:beforeAutospacing="0" w:after="280" w:afterAutospacing="1"/>
      </w:pPr>
      <w:r>
        <w:rPr>
          <w:rtl w:val="0"/>
        </w:rPr>
        <w:t>e) Tổ chức, cá nhân khác có hoạt động sản xuất, kinh doanh.</w:t>
      </w:r>
    </w:p>
    <w:p>
      <w:pPr>
        <w:bidi w:val="0"/>
        <w:spacing w:before="120" w:beforeAutospacing="0" w:after="280" w:afterAutospacing="1"/>
      </w:pPr>
      <w:r>
        <w:rPr>
          <w:rtl w:val="0"/>
        </w:rPr>
        <w:t xml:space="preserve">2. Người nộp thuế quy định tại </w:t>
      </w:r>
      <w:bookmarkStart w:id="29" w:name="dc_13"/>
      <w:r>
        <w:rPr>
          <w:rtl w:val="0"/>
        </w:rPr>
        <w:t>khoản 4, khoản 5 Điều 4 Luật Thuế giá trị gia tăng</w:t>
      </w:r>
      <w:bookmarkEnd w:id="29"/>
      <w:r>
        <w:rPr>
          <w:rtl w:val="0"/>
        </w:rPr>
        <w:t xml:space="preserve"> gồm:</w:t>
      </w:r>
    </w:p>
    <w:p>
      <w:pPr>
        <w:bidi w:val="0"/>
        <w:spacing w:before="120" w:beforeAutospacing="0" w:after="280" w:afterAutospacing="1"/>
      </w:pPr>
      <w:bookmarkStart w:id="30" w:name="diem_a_2_3"/>
      <w:r>
        <w:rPr>
          <w:rtl w:val="0"/>
        </w:rP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Việc thực hiện khấu trừ, nộp thay nghĩa vụ thuế phải nộp của nhà cung cấp nước ngoài của người nộp thuế quy định tại điểm này thực hiện theo quy định của pháp luật về quản lý thuế.</w:t>
      </w:r>
      <w:bookmarkEnd w:id="30"/>
    </w:p>
    <w:p>
      <w:pPr>
        <w:bidi w:val="0"/>
        <w:spacing w:before="120" w:beforeAutospacing="0" w:after="280" w:afterAutospacing="1"/>
      </w:pPr>
      <w:bookmarkStart w:id="31" w:name="diem_b_2_3"/>
      <w:r>
        <w:rPr>
          <w:rtl w:val="0"/>
        </w:rPr>
        <w:t>b) Người nộp thuế quy định tại</w:t>
      </w:r>
      <w:bookmarkEnd w:id="31"/>
      <w:r>
        <w:rPr>
          <w:rtl w:val="0"/>
        </w:rPr>
        <w:t xml:space="preserve"> </w:t>
      </w:r>
      <w:bookmarkStart w:id="32" w:name="dc_14"/>
      <w:r>
        <w:rPr>
          <w:rtl w:val="0"/>
        </w:rPr>
        <w:t>khoản 5 Điều 4 Luật Thuế giá trị gia tăng</w:t>
      </w:r>
      <w:bookmarkEnd w:id="32"/>
      <w:r>
        <w:rPr>
          <w:rtl w:val="0"/>
        </w:rPr>
        <w:t xml:space="preserve"> </w:t>
      </w:r>
      <w:bookmarkStart w:id="33" w:name="diem_b_2_3_name"/>
      <w:r>
        <w:rPr>
          <w:rtl w:val="0"/>
        </w:rPr>
        <w:t>là tổ chức quản lý sàn giao dịch thương mại điện tử, tổ chức quản lý nền tảng số có chức năng thanh toán thực hiện theo quy định của Nghị định số</w:t>
      </w:r>
      <w:bookmarkEnd w:id="33"/>
      <w:r>
        <w:rPr>
          <w:rtl w:val="0"/>
        </w:rPr>
        <w:t xml:space="preserve"> </w:t>
      </w:r>
      <w:bookmarkStart w:id="34" w:name="tvpllink_urdrtgldbj"/>
      <w:r>
        <w:rPr>
          <w:rtl w:val="0"/>
        </w:rPr>
        <w:t>117/2025/NĐ-CP</w:t>
      </w:r>
      <w:bookmarkEnd w:id="34"/>
      <w:r>
        <w:rPr>
          <w:rtl w:val="0"/>
        </w:rPr>
        <w:t xml:space="preserve"> </w:t>
      </w:r>
      <w:bookmarkStart w:id="35" w:name="diem_b_2_3_name_name"/>
      <w:r>
        <w:rPr>
          <w:rtl w:val="0"/>
        </w:rPr>
        <w:t>ngày 09 tháng 6 năm 2025 của Chính phủ quy định quản lý thuế đối với hoạt động kinh doanh trên nền tảng thương mại điện tử, nền tảng số của hộ, cá nhân.</w:t>
      </w:r>
      <w:bookmarkEnd w:id="35"/>
    </w:p>
    <w:p>
      <w:pPr>
        <w:bidi w:val="0"/>
        <w:spacing w:before="120" w:beforeAutospacing="0" w:after="280" w:afterAutospacing="1"/>
      </w:pPr>
      <w:bookmarkStart w:id="36" w:name="dieu_4"/>
      <w:r>
        <w:rPr>
          <w:b/>
          <w:bCs/>
          <w:rtl w:val="0"/>
        </w:rPr>
        <w:t>Điều 4. Đối tượng không chịu thuế</w:t>
      </w:r>
      <w:bookmarkEnd w:id="36"/>
    </w:p>
    <w:p>
      <w:pPr>
        <w:bidi w:val="0"/>
        <w:spacing w:before="120" w:beforeAutospacing="0" w:after="280" w:afterAutospacing="1"/>
      </w:pPr>
      <w:r>
        <w:rPr>
          <w:rtl w:val="0"/>
        </w:rPr>
        <w:t xml:space="preserve">Đối tượng không chịu thuế thực hiện theo quy định tại </w:t>
      </w:r>
      <w:bookmarkStart w:id="37" w:name="dc_15"/>
      <w:r>
        <w:rPr>
          <w:rtl w:val="0"/>
        </w:rPr>
        <w:t>Điều 5 Luật Thuế giá trị gia tăng</w:t>
      </w:r>
      <w:bookmarkEnd w:id="37"/>
      <w:r>
        <w:rPr>
          <w:rtl w:val="0"/>
        </w:rPr>
        <w:t>. Một số trường hợp được quy định chi tiết như sau:</w:t>
      </w:r>
    </w:p>
    <w:p>
      <w:pPr>
        <w:bidi w:val="0"/>
        <w:spacing w:before="120" w:beforeAutospacing="0" w:after="280" w:afterAutospacing="1"/>
      </w:pPr>
      <w:r>
        <w:rPr>
          <w:rtl w:val="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pPr>
        <w:bidi w:val="0"/>
        <w:spacing w:before="120" w:beforeAutospacing="0" w:after="280" w:afterAutospacing="1"/>
      </w:pPr>
      <w:r>
        <w:rPr>
          <w:rtl w:val="0"/>
        </w:rP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pPr>
        <w:bidi w:val="0"/>
        <w:spacing w:before="120" w:beforeAutospacing="0" w:after="280" w:afterAutospacing="1"/>
      </w:pPr>
      <w:r>
        <w:rPr>
          <w:rtl w:val="0"/>
        </w:rPr>
        <w:t>2. Nhà ở thuộc tài sản công do Nhà nước bán cho người đang thuê. Trong đó, nhà ở thuộc tài sản công theo quy định của pháp luật về nhà ở.</w:t>
      </w:r>
    </w:p>
    <w:p>
      <w:pPr>
        <w:bidi w:val="0"/>
        <w:spacing w:before="120" w:beforeAutospacing="0" w:after="280" w:afterAutospacing="1"/>
      </w:pPr>
      <w:bookmarkStart w:id="38" w:name="khoan_3_4_1"/>
      <w:r>
        <w:rPr>
          <w:rtl w:val="0"/>
        </w:rPr>
        <w:t>3. Chuyển quyền sử dụng đất theo quy định của pháp luật về đất đai.</w:t>
      </w:r>
      <w:bookmarkEnd w:id="38"/>
    </w:p>
    <w:p>
      <w:pPr>
        <w:bidi w:val="0"/>
        <w:spacing w:before="120" w:beforeAutospacing="0" w:after="280" w:afterAutospacing="1"/>
      </w:pPr>
      <w:r>
        <w:rPr>
          <w:rtl w:val="0"/>
        </w:rPr>
        <w:t>4. Các dịch vụ tài chính, ngân hàng, kinh doanh chứng khoán, thương mại sau đây:</w:t>
      </w:r>
    </w:p>
    <w:p>
      <w:pPr>
        <w:bidi w:val="0"/>
        <w:spacing w:before="120" w:beforeAutospacing="0" w:after="280" w:afterAutospacing="1"/>
      </w:pPr>
      <w:r>
        <w:rPr>
          <w:rtl w:val="0"/>
        </w:rPr>
        <w:t>a) Dịch vụ cấp tín dụng theo quy định của pháp luật về các tổ chức tín dụng và các khoản phí được nêu cụ thể tại Hợp đồng vay vốn của Chính phủ Việt Nam với Bên cho vay nước ngoài.</w:t>
      </w:r>
    </w:p>
    <w:p>
      <w:pPr>
        <w:bidi w:val="0"/>
        <w:spacing w:before="120" w:beforeAutospacing="0" w:after="280" w:afterAutospacing="1"/>
      </w:pPr>
      <w:r>
        <w:rPr>
          <w:rtl w:val="0"/>
        </w:rPr>
        <w:t>b) Dịch vụ cho vay của người nộp thuế không phải là tổ chức tín dụng.</w:t>
      </w:r>
    </w:p>
    <w:p>
      <w:pPr>
        <w:bidi w:val="0"/>
        <w:spacing w:before="120" w:beforeAutospacing="0" w:after="280" w:afterAutospacing="1"/>
      </w:pPr>
      <w:bookmarkStart w:id="39" w:name="diem_c_4_4"/>
      <w:r>
        <w:rPr>
          <w:rtl w:val="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bookmarkEnd w:id="39"/>
    </w:p>
    <w:p>
      <w:pPr>
        <w:bidi w:val="0"/>
        <w:spacing w:before="120" w:beforeAutospacing="0" w:after="280" w:afterAutospacing="1"/>
      </w:pPr>
      <w:bookmarkStart w:id="40" w:name="diem_d_4_4"/>
      <w:r>
        <w:rPr>
          <w:rtl w:val="0"/>
        </w:rP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bookmarkEnd w:id="40"/>
    </w:p>
    <w:p>
      <w:pPr>
        <w:bidi w:val="0"/>
        <w:spacing w:before="120" w:beforeAutospacing="0" w:after="280" w:afterAutospacing="1"/>
      </w:pPr>
      <w:bookmarkStart w:id="41" w:name="diem_dd_4_4"/>
      <w:r>
        <w:rPr>
          <w:rtl w:val="0"/>
        </w:rPr>
        <w:t>đ) Bán nợ bao gồm bán khoản phải trả và khoản phải thu, bán chứng chỉ tiền gửi giữa người nộp thuế không phải là tổ chức tín dụng.</w:t>
      </w:r>
      <w:bookmarkEnd w:id="41"/>
    </w:p>
    <w:p>
      <w:pPr>
        <w:bidi w:val="0"/>
        <w:spacing w:before="120" w:beforeAutospacing="0" w:after="280" w:afterAutospacing="1"/>
      </w:pPr>
      <w:r>
        <w:rPr>
          <w:rtl w:val="0"/>
        </w:rPr>
        <w:t>e) Kinh doanh ngoại tệ.</w:t>
      </w:r>
    </w:p>
    <w:p>
      <w:pPr>
        <w:bidi w:val="0"/>
        <w:spacing w:before="120" w:beforeAutospacing="0" w:after="280" w:afterAutospacing="1"/>
      </w:pPr>
      <w:r>
        <w:rPr>
          <w:rtl w:val="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bidi w:val="0"/>
        <w:spacing w:before="120" w:beforeAutospacing="0" w:after="280" w:afterAutospacing="1"/>
      </w:pPr>
      <w:r>
        <w:rPr>
          <w:rtl w:val="0"/>
        </w:rPr>
        <w:t>h) Bán tài sản bảo đảm của khoản nợ của tổ chức mà Nhà nước sở hữu 100% vốn điều lệ do Chính phủ thành lập có chức năng mua, bán nợ để xử lý nợ xấu của các tổ chức tín dụng Việt Nam.</w:t>
      </w:r>
    </w:p>
    <w:p>
      <w:pPr>
        <w:bidi w:val="0"/>
        <w:spacing w:before="120" w:beforeAutospacing="0" w:after="280" w:afterAutospacing="1"/>
      </w:pPr>
      <w:r>
        <w:rPr>
          <w:rtl w:val="0"/>
        </w:rPr>
        <w:t>Bộ Tài chính quy định chi tiết các dịch vụ kinh doanh chứng khoán và chuyển nhượng chứng khoán quy định tại điểm c và điểm d khoản này.</w:t>
      </w:r>
    </w:p>
    <w:p>
      <w:pPr>
        <w:bidi w:val="0"/>
        <w:spacing w:before="120" w:beforeAutospacing="0" w:after="280" w:afterAutospacing="1"/>
      </w:pPr>
      <w:r>
        <w:rPr>
          <w:rtl w:val="0"/>
        </w:rPr>
        <w:t>5. 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pPr>
        <w:bidi w:val="0"/>
        <w:spacing w:before="120" w:beforeAutospacing="0" w:after="280" w:afterAutospacing="1"/>
      </w:pPr>
      <w:r>
        <w:rPr>
          <w:rtl w:val="0"/>
        </w:rPr>
        <w:t>6. Hoạt động duy tu, sửa chữa, xây dựng bằng nguồn vốn đóng góp của nhân dân, vốn viện trợ nhân đạo (chiếm từ 50% tổng số vốn sử dụng cho công trình trở lên; trường hợp nguồn vốn đóng góp của nhân dân, vốn viện trợ nhân đạo chiếm dưới 50% tổng số nguồn vốn sử dụng cho công trình thì toàn bộ giá trị công trình thuộc đối tượng chịu thuế giá trị gia tăng) đối với các di tích lịch sử - văn hóa, danh lam thắng cảnh, các công trình văn hóa, nghệ thuật, công trình phục vụ công cộng, cơ sở hạ tầng và nhà ở cho đối tượng chính sách xã hội. Trong đó:</w:t>
      </w:r>
    </w:p>
    <w:p>
      <w:pPr>
        <w:bidi w:val="0"/>
        <w:spacing w:before="120" w:beforeAutospacing="0" w:after="280" w:afterAutospacing="1"/>
      </w:pPr>
      <w:r>
        <w:rPr>
          <w:rtl w:val="0"/>
        </w:rPr>
        <w:t>a) Nguồn vốn đóng góp của nhân dân bao gồm cả vốn đóng góp, tài trợ của tổ chức, cá nhân.</w:t>
      </w:r>
    </w:p>
    <w:p>
      <w:pPr>
        <w:bidi w:val="0"/>
        <w:spacing w:before="120" w:beforeAutospacing="0" w:after="280" w:afterAutospacing="1"/>
      </w:pPr>
      <w:r>
        <w:rPr>
          <w:rtl w:val="0"/>
        </w:rPr>
        <w:t>b) Di tích lịch sử - văn hóa, danh lam thắng cảnh quy định tại khoản này thực hiện theo quy định của pháp luật về di sản văn hóa.</w:t>
      </w:r>
    </w:p>
    <w:p>
      <w:pPr>
        <w:bidi w:val="0"/>
        <w:spacing w:before="120" w:beforeAutospacing="0" w:after="280" w:afterAutospacing="1"/>
      </w:pPr>
      <w:r>
        <w:rPr>
          <w:rtl w:val="0"/>
        </w:rPr>
        <w:t xml:space="preserve">c) Công trình phục vụ công cộng, cơ sở hạ tầng là công trình không phục vụ mục đích kinh doanh, không thu tiền. Công trình quy định tại điểm này được thực hiện theo quy định tại </w:t>
      </w:r>
      <w:bookmarkStart w:id="42" w:name="dc_16"/>
      <w:r>
        <w:rPr>
          <w:rtl w:val="0"/>
        </w:rPr>
        <w:t>điểm 2 Mục I và Mục III Phụ lục I ban hành kèm theo Nghị định số 06/2021/NĐ-CP</w:t>
      </w:r>
      <w:bookmarkEnd w:id="42"/>
      <w:r>
        <w:rPr>
          <w:rtl w:val="0"/>
        </w:rPr>
        <w:t xml:space="preserve"> ngày 26 tháng 01 năm 2021 của Chính phủ quy định chi tiết về quản lý chất lượng, thi công xây dựng và bảo trì công trình xây dựng.</w:t>
      </w:r>
    </w:p>
    <w:p>
      <w:pPr>
        <w:bidi w:val="0"/>
        <w:spacing w:before="120" w:beforeAutospacing="0" w:after="280" w:afterAutospacing="1"/>
      </w:pPr>
      <w:r>
        <w:rPr>
          <w:rtl w:val="0"/>
        </w:rP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bidi w:val="0"/>
        <w:spacing w:before="120" w:beforeAutospacing="0" w:after="280" w:afterAutospacing="1"/>
      </w:pPr>
      <w:r>
        <w:rPr>
          <w:rtl w:val="0"/>
        </w:rPr>
        <w:t>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 các tổ chức, cá nhân cung cấp cho các cơ sở dạy học, dạy nghề phải chịu thuế giá trị gia tăng theo quy định.</w:t>
      </w:r>
    </w:p>
    <w:p>
      <w:pPr>
        <w:bidi w:val="0"/>
        <w:spacing w:before="120" w:beforeAutospacing="0" w:after="280" w:afterAutospacing="1"/>
      </w:pPr>
      <w:bookmarkStart w:id="43" w:name="khoan_8_4"/>
      <w:r>
        <w:rPr>
          <w:rtl w:val="0"/>
        </w:rPr>
        <w:t>8.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 Trong đó:</w:t>
      </w:r>
      <w:bookmarkEnd w:id="43"/>
    </w:p>
    <w:p>
      <w:pPr>
        <w:bidi w:val="0"/>
        <w:spacing w:before="120" w:beforeAutospacing="0" w:after="280" w:afterAutospacing="1"/>
      </w:pPr>
      <w:r>
        <w:rPr>
          <w:rtl w:val="0"/>
        </w:rPr>
        <w:t>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pPr>
        <w:bidi w:val="0"/>
        <w:spacing w:before="120" w:beforeAutospacing="0" w:after="280" w:afterAutospacing="1"/>
      </w:pPr>
      <w:r>
        <w:rPr>
          <w:rtl w:val="0"/>
        </w:rPr>
        <w:t>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pPr>
        <w:bidi w:val="0"/>
        <w:spacing w:before="120" w:beforeAutospacing="0" w:after="280" w:afterAutospacing="1"/>
      </w:pPr>
      <w:r>
        <w:rPr>
          <w:rtl w:val="0"/>
        </w:rPr>
        <w:t>c) Giáo trình là sách dùng để giảng dạy và học tập trong các trường đại học, cao đẳng, trung học chuyên nghiệp và dạy nghề.</w:t>
      </w:r>
    </w:p>
    <w:p>
      <w:pPr>
        <w:bidi w:val="0"/>
        <w:spacing w:before="120" w:beforeAutospacing="0" w:after="280" w:afterAutospacing="1"/>
      </w:pPr>
      <w:r>
        <w:rPr>
          <w:rtl w:val="0"/>
        </w:rPr>
        <w:t>d) Sách văn bản pháp luật là sách in các văn bản quy phạm pháp luật của Nhà nước.</w:t>
      </w:r>
    </w:p>
    <w:p>
      <w:pPr>
        <w:bidi w:val="0"/>
        <w:spacing w:before="120" w:beforeAutospacing="0" w:after="280" w:afterAutospacing="1"/>
      </w:pPr>
      <w:r>
        <w:rPr>
          <w:rtl w:val="0"/>
        </w:rPr>
        <w:t>đ) Sách khoa học - kỹ thuật là sách dùng để giới thiệu, hướng dẫn những kiến thức khoa học, kỹ thuật có quan hệ trực tiếp đến sản xuất và các ngành khoa học, kỹ thuật.</w:t>
      </w:r>
    </w:p>
    <w:p>
      <w:pPr>
        <w:bidi w:val="0"/>
        <w:spacing w:before="120" w:beforeAutospacing="0" w:after="280" w:afterAutospacing="1"/>
      </w:pPr>
      <w:r>
        <w:rPr>
          <w:rtl w:val="0"/>
        </w:rPr>
        <w:t>e) Sách in bằng chữ dân tộc thiểu số bao gồm cả sách in song ngữ chữ phổ thông và chữ dân tộc thiểu số.</w:t>
      </w:r>
    </w:p>
    <w:p>
      <w:pPr>
        <w:bidi w:val="0"/>
        <w:spacing w:before="120" w:beforeAutospacing="0" w:after="280" w:afterAutospacing="1"/>
      </w:pPr>
      <w:r>
        <w:rPr>
          <w:rtl w:val="0"/>
        </w:rPr>
        <w:t>g) Tranh, ảnh, áp phích tuyên truyền cổ động là tranh, ảnh, áp phích, các loại tờ rơi, tờ gấp phục vụ cho mục đích tuyên truyền, cổ động, khẩu hiệu, ảnh lãnh tụ, Đảng kỳ, Quốc kỳ, Đoàn kỳ, Đội kỳ.</w:t>
      </w:r>
    </w:p>
    <w:p>
      <w:pPr>
        <w:bidi w:val="0"/>
        <w:spacing w:before="120" w:beforeAutospacing="0" w:after="280" w:afterAutospacing="1"/>
      </w:pPr>
      <w:r>
        <w:rPr>
          <w:rtl w:val="0"/>
        </w:rPr>
        <w:t xml:space="preserve">h) Sách phục vụ thông tin đối ngoại, trong đó thông tin đối ngoại thực hiện theo Nghị định số </w:t>
      </w:r>
      <w:bookmarkStart w:id="44" w:name="tvpllink_keywpyqiqe"/>
      <w:r>
        <w:rPr>
          <w:rtl w:val="0"/>
        </w:rPr>
        <w:t>72/2015/NĐ-CP</w:t>
      </w:r>
      <w:bookmarkEnd w:id="44"/>
      <w:r>
        <w:rPr>
          <w:rtl w:val="0"/>
        </w:rPr>
        <w:t xml:space="preserve"> ngày 07 tháng 9 năm 2015 của Chính phủ về quản lý hoạt động thông tin đối ngoại.</w:t>
      </w:r>
    </w:p>
    <w:p>
      <w:pPr>
        <w:bidi w:val="0"/>
        <w:spacing w:before="120" w:beforeAutospacing="0" w:after="280" w:afterAutospacing="1"/>
      </w:pPr>
      <w:r>
        <w:rPr>
          <w:rtl w:val="0"/>
        </w:rPr>
        <w:t>9. Vận chuyển hành khách công cộng bằng xe buýt, tàu điện, phương tiện thủy nội địa thực hiện nội tỉnh, trong đô thị và các tuyến lân cận ngoại tỉnh có các điểm dừng đón, trả khách.</w:t>
      </w:r>
    </w:p>
    <w:p>
      <w:pPr>
        <w:bidi w:val="0"/>
        <w:spacing w:before="120" w:beforeAutospacing="0" w:after="280" w:afterAutospacing="1"/>
      </w:pPr>
      <w:r>
        <w:rPr>
          <w:rtl w:val="0"/>
        </w:rPr>
        <w:t>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Trong đó:</w:t>
      </w:r>
    </w:p>
    <w:p>
      <w:pPr>
        <w:bidi w:val="0"/>
        <w:spacing w:before="120" w:beforeAutospacing="0" w:after="280" w:afterAutospacing="1"/>
      </w:pPr>
      <w:r>
        <w:rPr>
          <w:rtl w:val="0"/>
        </w:rPr>
        <w:t>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pPr>
        <w:bidi w:val="0"/>
        <w:spacing w:before="120" w:beforeAutospacing="0" w:after="280" w:afterAutospacing="1"/>
      </w:pPr>
      <w:r>
        <w:rPr>
          <w:rtl w:val="0"/>
        </w:rP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pPr>
        <w:bidi w:val="0"/>
        <w:spacing w:before="120" w:beforeAutospacing="0" w:after="280" w:afterAutospacing="1"/>
      </w:pPr>
      <w:r>
        <w:rPr>
          <w:rtl w:val="0"/>
        </w:rP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pPr>
        <w:bidi w:val="0"/>
        <w:spacing w:before="120" w:beforeAutospacing="0" w:after="280" w:afterAutospacing="1"/>
      </w:pPr>
      <w:r>
        <w:rPr>
          <w:rtl w:val="0"/>
        </w:rP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pPr>
        <w:bidi w:val="0"/>
        <w:spacing w:before="120" w:beforeAutospacing="0" w:after="280" w:afterAutospacing="1"/>
      </w:pPr>
      <w:r>
        <w:rPr>
          <w:rtl w:val="0"/>
        </w:rP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pPr>
        <w:bidi w:val="0"/>
        <w:spacing w:before="120" w:beforeAutospacing="0" w:after="280" w:afterAutospacing="1"/>
      </w:pPr>
      <w:r>
        <w:rPr>
          <w:rtl w:val="0"/>
        </w:rPr>
        <w:t xml:space="preserve">13. Chuyển giao công nghệ theo quy định của </w:t>
      </w:r>
      <w:bookmarkStart w:id="45" w:name="tvpllink_kdsjezrrqd"/>
      <w:r>
        <w:rPr>
          <w:rtl w:val="0"/>
        </w:rPr>
        <w:t>Luật Chuyển giao công nghệ</w:t>
      </w:r>
      <w:bookmarkEnd w:id="45"/>
      <w:r>
        <w:rPr>
          <w:rtl w:val="0"/>
        </w:rPr>
        <w:t xml:space="preserve">; chuyển nhượng quyền sở hữu trí tuệ theo quy định của </w:t>
      </w:r>
      <w:bookmarkStart w:id="46" w:name="tvpllink_dzwelzxvyq"/>
      <w:r>
        <w:rPr>
          <w:rtl w:val="0"/>
        </w:rPr>
        <w:t>Luật Sở hữu trí tuệ</w:t>
      </w:r>
      <w:bookmarkEnd w:id="46"/>
      <w:r>
        <w:rPr>
          <w:rtl w:val="0"/>
        </w:rPr>
        <w:t>; sản phẩm phần mềm và dịch vụ phần mềm theo quy định của pháp luật về công nghệ thông tin, pháp luật về công nghiệp công nghệ số và pháp luật liên quan.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pPr>
        <w:bidi w:val="0"/>
        <w:spacing w:before="120" w:beforeAutospacing="0" w:after="280" w:afterAutospacing="1"/>
      </w:pPr>
      <w:bookmarkStart w:id="47" w:name="khoan_14_4"/>
      <w:r>
        <w:rPr>
          <w:rtl w:val="0"/>
        </w:rP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w:t>
      </w:r>
      <w:bookmarkEnd w:id="47"/>
      <w:r>
        <w:rPr>
          <w:rtl w:val="0"/>
        </w:rPr>
        <w:t xml:space="preserve"> (</w:t>
      </w:r>
      <w:bookmarkStart w:id="48" w:name="bieumau_pl_01"/>
      <w:r>
        <w:rPr>
          <w:rtl w:val="0"/>
        </w:rPr>
        <w:t>Phụ lục I</w:t>
      </w:r>
      <w:bookmarkEnd w:id="48"/>
      <w:r>
        <w:rPr>
          <w:rtl w:val="0"/>
        </w:rPr>
        <w:t xml:space="preserve">, </w:t>
      </w:r>
      <w:bookmarkStart w:id="49" w:name="bieumau_pl_02"/>
      <w:r>
        <w:rPr>
          <w:rtl w:val="0"/>
        </w:rPr>
        <w:t>Phụ lục II</w:t>
      </w:r>
      <w:bookmarkEnd w:id="49"/>
      <w:r>
        <w:rPr>
          <w:rtl w:val="0"/>
        </w:rPr>
        <w:t xml:space="preserve">) </w:t>
      </w:r>
      <w:bookmarkStart w:id="50" w:name="khoan_14_4_name"/>
      <w:r>
        <w:rPr>
          <w:rtl w:val="0"/>
        </w:rPr>
        <w:t>ban hành kèm theo Nghị định này.</w:t>
      </w:r>
      <w:bookmarkEnd w:id="50"/>
    </w:p>
    <w:p>
      <w:pPr>
        <w:bidi w:val="0"/>
        <w:spacing w:before="120" w:beforeAutospacing="0" w:after="280" w:afterAutospacing="1"/>
      </w:pPr>
      <w:r>
        <w:rPr>
          <w:rtl w:val="0"/>
        </w:rPr>
        <w:t>Trong trường hợp cần thiết phải điều chỉnh sản phẩm xuất khẩu tại Danh mục (</w:t>
      </w:r>
      <w:bookmarkStart w:id="51" w:name="bieumau_pl_01_1"/>
      <w:r>
        <w:rPr>
          <w:rtl w:val="0"/>
        </w:rPr>
        <w:t>Phụ lục I</w:t>
      </w:r>
      <w:bookmarkEnd w:id="51"/>
      <w:r>
        <w:rPr>
          <w:rtl w:val="0"/>
        </w:rPr>
        <w:t xml:space="preserve">, </w:t>
      </w:r>
      <w:bookmarkStart w:id="52" w:name="bieumau_pl_02_1"/>
      <w:r>
        <w:rPr>
          <w:rtl w:val="0"/>
        </w:rPr>
        <w:t>Phụ lục II</w:t>
      </w:r>
      <w:bookmarkEnd w:id="52"/>
      <w:r>
        <w:rPr>
          <w:rtl w:val="0"/>
        </w:rPr>
        <w:t>) để phù hợp với bối cảnh kinh tế - xã hội trong từng thời kỳ, giao Bộ Tài chính phối hợp với các bộ liên quan báo cáo Chính phủ xem xét, quyết định.</w:t>
      </w:r>
    </w:p>
    <w:p>
      <w:pPr>
        <w:bidi w:val="0"/>
        <w:spacing w:before="120" w:beforeAutospacing="0" w:after="280" w:afterAutospacing="1"/>
      </w:pPr>
      <w:r>
        <w:rPr>
          <w:rtl w:val="0"/>
        </w:rPr>
        <w:t>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pPr>
        <w:bidi w:val="0"/>
        <w:spacing w:before="120" w:beforeAutospacing="0" w:after="280" w:afterAutospacing="1"/>
      </w:pPr>
      <w:r>
        <w:rPr>
          <w:rtl w:val="0"/>
        </w:rPr>
        <w:t>15. Hàng hóa nhập khẩu trong trường hợp sau:</w:t>
      </w:r>
    </w:p>
    <w:p>
      <w:pPr>
        <w:bidi w:val="0"/>
        <w:spacing w:before="120" w:beforeAutospacing="0" w:after="280" w:afterAutospacing="1"/>
      </w:pPr>
      <w:r>
        <w:rPr>
          <w:rtl w:val="0"/>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bidi w:val="0"/>
        <w:spacing w:before="120" w:beforeAutospacing="0" w:after="280" w:afterAutospacing="1"/>
      </w:pPr>
      <w:r>
        <w:rPr>
          <w:rtl w:val="0"/>
        </w:rP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pPr>
        <w:bidi w:val="0"/>
        <w:spacing w:before="120" w:beforeAutospacing="0" w:after="280" w:afterAutospacing="1"/>
      </w:pPr>
      <w:r>
        <w:rPr>
          <w:rtl w:val="0"/>
        </w:rPr>
        <w:t>c) Hàng hóa trong tiêu chuẩn hành lý miễn thuế nhập khẩu theo quy định của pháp luật về thuế xuất khẩu, thuế nhập khẩu.</w:t>
      </w:r>
    </w:p>
    <w:p>
      <w:pPr>
        <w:bidi w:val="0"/>
        <w:spacing w:before="120" w:beforeAutospacing="0" w:after="280" w:afterAutospacing="1"/>
      </w:pPr>
      <w:bookmarkStart w:id="53" w:name="diem_d_15_4"/>
      <w:r>
        <w:rPr>
          <w:rtl w:val="0"/>
        </w:rPr>
        <w:t>d) Hàng hóa nhập khẩu ủng hộ, tài trợ cho phòng, chống, khắc phục hậu quả thảm họa, thiên tai, dịch bệnh, chiến tranh là hàng hóa ủng hộ, tài trợ được các bộ, cơ quan ngang bộ, Ủy ban nhân dân các tỉnh, thành phố, Ủy ban Mặt trận Tổ quốc Việt Nam các tỉnh, thành phố tiếp nhận. Các cơ quan, tổ chức tiếp nhận có trách nhiệm ban hành văn bản tiếp nhận theo đề nghị của tổ chức, cá nhân ủng hộ, tài trợ.</w:t>
      </w:r>
      <w:bookmarkEnd w:id="53"/>
    </w:p>
    <w:p>
      <w:pPr>
        <w:bidi w:val="0"/>
        <w:spacing w:before="120" w:beforeAutospacing="0" w:after="280" w:afterAutospacing="1"/>
      </w:pPr>
      <w:r>
        <w:rPr>
          <w:rtl w:val="0"/>
        </w:rPr>
        <w:t>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pPr>
        <w:bidi w:val="0"/>
        <w:spacing w:before="120" w:beforeAutospacing="0" w:after="280" w:afterAutospacing="1"/>
      </w:pPr>
      <w:r>
        <w:rPr>
          <w:rtl w:val="0"/>
        </w:rPr>
        <w:t>e) Di vật, cổ vật, bảo vật quốc gia theo quy định của pháp luật về di sản văn hóa do cơ quan nhà nước có thẩm quyền nhập khẩu bao gồm cả trường hợp ủy quyền và ủy thác nhập khẩu.</w:t>
      </w:r>
    </w:p>
    <w:p>
      <w:pPr>
        <w:bidi w:val="0"/>
        <w:spacing w:before="120" w:beforeAutospacing="0" w:after="280" w:afterAutospacing="1"/>
      </w:pPr>
      <w:r>
        <w:rPr>
          <w:rtl w:val="0"/>
        </w:rPr>
        <w:t xml:space="preserve">16. 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w:t>
      </w:r>
      <w:bookmarkStart w:id="54" w:name="dc_17"/>
      <w:r>
        <w:rPr>
          <w:rtl w:val="0"/>
        </w:rPr>
        <w:t>khoản 1 Điều 9 của Luật Thuế giá trị gia tăng</w:t>
      </w:r>
      <w:bookmarkEnd w:id="54"/>
      <w:r>
        <w:rPr>
          <w:rtl w:val="0"/>
        </w:rPr>
        <w:t>.</w:t>
      </w:r>
    </w:p>
    <w:p>
      <w:pPr>
        <w:bidi w:val="0"/>
        <w:spacing w:before="120" w:beforeAutospacing="0" w:after="280" w:afterAutospacing="1"/>
      </w:pPr>
      <w:bookmarkStart w:id="55" w:name="chuong_2"/>
      <w:r>
        <w:rPr>
          <w:b/>
          <w:bCs/>
          <w:rtl w:val="0"/>
        </w:rPr>
        <w:t>Chương II</w:t>
      </w:r>
      <w:bookmarkEnd w:id="55"/>
    </w:p>
    <w:p>
      <w:pPr>
        <w:bidi w:val="0"/>
        <w:spacing w:before="120" w:beforeAutospacing="0" w:after="280" w:afterAutospacing="1"/>
        <w:jc w:val="center"/>
      </w:pPr>
      <w:bookmarkStart w:id="56" w:name="chuong_2_name"/>
      <w:r>
        <w:rPr>
          <w:b/>
          <w:bCs/>
          <w:sz w:val="24"/>
          <w:rtl w:val="0"/>
        </w:rPr>
        <w:t>CĂN CỨ VÀ PHƯƠNG PHÁP TÍNH THUẾ</w:t>
      </w:r>
      <w:bookmarkEnd w:id="56"/>
    </w:p>
    <w:p>
      <w:pPr>
        <w:bidi w:val="0"/>
        <w:spacing w:before="120" w:beforeAutospacing="0" w:after="280" w:afterAutospacing="1"/>
      </w:pPr>
      <w:bookmarkStart w:id="57" w:name="muc_1"/>
      <w:r>
        <w:rPr>
          <w:b/>
          <w:bCs/>
          <w:rtl w:val="0"/>
        </w:rPr>
        <w:t>Mục 1. GIÁ TÍNH THUẾ</w:t>
      </w:r>
      <w:bookmarkEnd w:id="57"/>
    </w:p>
    <w:p>
      <w:pPr>
        <w:bidi w:val="0"/>
        <w:spacing w:before="120" w:beforeAutospacing="0" w:after="280" w:afterAutospacing="1"/>
      </w:pPr>
      <w:bookmarkStart w:id="58" w:name="dieu_5"/>
      <w:r>
        <w:rPr>
          <w:b/>
          <w:bCs/>
          <w:rtl w:val="0"/>
        </w:rPr>
        <w:t>Điều 5. Giá tính thuế đối với hàng hóa, dịch vụ bán ra và hàng hóa nhập khẩu</w:t>
      </w:r>
      <w:bookmarkEnd w:id="58"/>
    </w:p>
    <w:p>
      <w:pPr>
        <w:bidi w:val="0"/>
        <w:spacing w:before="120" w:beforeAutospacing="0" w:after="280" w:afterAutospacing="1"/>
      </w:pPr>
      <w:bookmarkStart w:id="59" w:name="khoan_1_5"/>
      <w:r>
        <w:rPr>
          <w:rtl w:val="0"/>
        </w:rPr>
        <w:t>1.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bookmarkEnd w:id="59"/>
    </w:p>
    <w:p>
      <w:pPr>
        <w:bidi w:val="0"/>
        <w:spacing w:before="120" w:beforeAutospacing="0" w:after="280" w:afterAutospacing="1"/>
      </w:pPr>
      <w:bookmarkStart w:id="60" w:name="khoan_2_5"/>
      <w:r>
        <w:rPr>
          <w:rtl w:val="0"/>
        </w:rPr>
        <w:t>2.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w:t>
      </w:r>
      <w:bookmarkEnd w:id="60"/>
    </w:p>
    <w:p>
      <w:pPr>
        <w:bidi w:val="0"/>
        <w:spacing w:before="120" w:beforeAutospacing="0" w:after="280" w:afterAutospacing="1"/>
      </w:pPr>
      <w:r>
        <w:rPr>
          <w:rtl w:val="0"/>
        </w:rPr>
        <w:t>a) Trường hợp hàng hóa nhập khẩu được miễn thuế nhập khẩu thì giá tính thuế giá trị gia tăng là trị giá tính thuế nhập khẩu.</w:t>
      </w:r>
    </w:p>
    <w:p>
      <w:pPr>
        <w:bidi w:val="0"/>
        <w:spacing w:before="120" w:beforeAutospacing="0" w:after="280" w:afterAutospacing="1"/>
      </w:pPr>
      <w:r>
        <w:rPr>
          <w:rtl w:val="0"/>
        </w:rP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pPr>
        <w:bidi w:val="0"/>
        <w:spacing w:before="120" w:beforeAutospacing="0" w:after="280" w:afterAutospacing="1"/>
      </w:pPr>
      <w:r>
        <w:rPr>
          <w:rtl w:val="0"/>
        </w:rP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pPr>
        <w:bidi w:val="0"/>
        <w:spacing w:before="120" w:beforeAutospacing="0" w:after="280" w:afterAutospacing="1"/>
      </w:pPr>
      <w:bookmarkStart w:id="61" w:name="dieu_6"/>
      <w:r>
        <w:rPr>
          <w:b/>
          <w:bCs/>
          <w:rtl w:val="0"/>
        </w:rPr>
        <w:t>Điều 6. Giá tính thuế đối với hàng hóa, dịch vụ dùng để trao đổi, tiêu dùng nội bộ, biếu, tặng, cho và hàng hóa, dịch vụ dùng để khuyến mại</w:t>
      </w:r>
      <w:bookmarkEnd w:id="61"/>
    </w:p>
    <w:p>
      <w:pPr>
        <w:bidi w:val="0"/>
        <w:spacing w:before="120" w:beforeAutospacing="0" w:after="280" w:afterAutospacing="1"/>
      </w:pPr>
      <w:bookmarkStart w:id="62" w:name="khoan_1_6"/>
      <w:r>
        <w:rPr>
          <w:rtl w:val="0"/>
        </w:rPr>
        <w:t>1. Đối với hàng hóa, dịch vụ dùng để trao đổi, tiêu dùng nội bộ, biếu, tặng, cho là giá tính thuế giá trị gia tăng của hàng hóa, dịch vụ cùng loại hoặc tương đương tại thời điểm phát sinh các hoạt động này. Trong đó, hàng hóa, dịch vụ tiêu dùng nội bộ là hàng hóa, dịch vụ do cơ sở kinh doanh xuất hoặc cung cấp sử dụng cho tiêu dùng, không bao gồm:</w:t>
      </w:r>
      <w:bookmarkEnd w:id="62"/>
    </w:p>
    <w:p>
      <w:pPr>
        <w:bidi w:val="0"/>
        <w:spacing w:before="120" w:beforeAutospacing="0" w:after="280" w:afterAutospacing="1"/>
      </w:pPr>
      <w:r>
        <w:rPr>
          <w:rtl w:val="0"/>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pPr>
        <w:bidi w:val="0"/>
        <w:spacing w:before="120" w:beforeAutospacing="0" w:after="280" w:afterAutospacing="1"/>
      </w:pPr>
      <w:r>
        <w:rPr>
          <w:rtl w:val="0"/>
        </w:rPr>
        <w:t>b) Hàng hóa, dịch vụ do cơ sở kinh doanh xuất hoặc cung cấp sử dụng phục vụ hoạt động sản xuất, kinh doanh (bao gồm cả tài sản cố định do cơ sở kinh doanh tự xây dựng, tự sản xuất).</w:t>
      </w:r>
    </w:p>
    <w:p>
      <w:pPr>
        <w:bidi w:val="0"/>
        <w:spacing w:before="120" w:beforeAutospacing="0" w:after="280" w:afterAutospacing="1"/>
      </w:pPr>
      <w:r>
        <w:rPr>
          <w:rtl w:val="0"/>
        </w:rPr>
        <w:t>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 Cơ sở kinh doanh có tài sản điều chuyển phải có lệnh điều chuyển tài sản, kèm theo bộ hồ sơ nguồn gốc tài sản.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pPr>
        <w:bidi w:val="0"/>
        <w:spacing w:before="120" w:beforeAutospacing="0" w:after="280" w:afterAutospacing="1"/>
      </w:pPr>
      <w:r>
        <w:rPr>
          <w:rtl w:val="0"/>
        </w:rPr>
        <w:t>Cơ sở kinh doanh có hàng hóa, dịch vụ quy định tại điểm a, b, c khoản này thì không phải tính thuế giá trị gia tăng.</w:t>
      </w:r>
    </w:p>
    <w:p>
      <w:pPr>
        <w:bidi w:val="0"/>
        <w:spacing w:before="120" w:beforeAutospacing="0" w:after="280" w:afterAutospacing="1"/>
      </w:pPr>
      <w:bookmarkStart w:id="63" w:name="khoan_2_6"/>
      <w:r>
        <w:rPr>
          <w:rtl w:val="0"/>
        </w:rPr>
        <w:t>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w:t>
      </w:r>
      <w:bookmarkEnd w:id="63"/>
    </w:p>
    <w:p>
      <w:pPr>
        <w:bidi w:val="0"/>
        <w:spacing w:before="120" w:beforeAutospacing="0" w:after="280" w:afterAutospacing="1"/>
      </w:pPr>
      <w:r>
        <w:rPr>
          <w:rtl w:val="0"/>
        </w:rPr>
        <w:t>a) Đưa hàng mẫu, cung cấp dịch vụ mẫu để khách hàng dùng thử không phải trả tiền thì hàng mẫu, dịch vụ mẫu có giá tính thuế bằng không (0).</w:t>
      </w:r>
    </w:p>
    <w:p>
      <w:pPr>
        <w:bidi w:val="0"/>
        <w:spacing w:before="120" w:beforeAutospacing="0" w:after="280" w:afterAutospacing="1"/>
      </w:pPr>
      <w:r>
        <w:rPr>
          <w:rtl w:val="0"/>
        </w:rPr>
        <w:t>b) Tặng hàng hóa, cung cấp dịch vụ không thu tiền thì hàng hóa, dịch vụ tặng có giá tính thuế bằng không (0).</w:t>
      </w:r>
    </w:p>
    <w:p>
      <w:pPr>
        <w:bidi w:val="0"/>
        <w:spacing w:before="120" w:beforeAutospacing="0" w:after="280" w:afterAutospacing="1"/>
      </w:pPr>
      <w:r>
        <w:rPr>
          <w:rtl w:val="0"/>
        </w:rPr>
        <w:t>c) Bán hàng hóa, cung cấp dịch vụ có kèm theo phiếu mua hàng hóa, phiếu sử dụng dịch vụ thì giá tính thuế của hàng hóa, dịch vụ không bao gồm giá trị phiếu mua hàng hóa, phiếu sử dụng dịch vụ.</w:t>
      </w:r>
    </w:p>
    <w:p>
      <w:pPr>
        <w:bidi w:val="0"/>
        <w:spacing w:before="120" w:beforeAutospacing="0" w:after="280" w:afterAutospacing="1"/>
      </w:pPr>
      <w:r>
        <w:rPr>
          <w:rtl w:val="0"/>
        </w:rP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pPr>
        <w:bidi w:val="0"/>
        <w:spacing w:before="120" w:beforeAutospacing="0" w:after="280" w:afterAutospacing="1"/>
      </w:pPr>
      <w:r>
        <w:rPr>
          <w:rtl w:val="0"/>
        </w:rP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pPr>
        <w:bidi w:val="0"/>
        <w:spacing w:before="120" w:beforeAutospacing="0" w:after="280" w:afterAutospacing="1"/>
      </w:pPr>
      <w:r>
        <w:rPr>
          <w:rtl w:val="0"/>
        </w:rP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pPr>
        <w:bidi w:val="0"/>
        <w:spacing w:before="120" w:beforeAutospacing="0" w:after="280" w:afterAutospacing="1"/>
      </w:pPr>
      <w:r>
        <w:rPr>
          <w:rtl w:val="0"/>
        </w:rPr>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pPr>
        <w:bidi w:val="0"/>
        <w:spacing w:before="120" w:beforeAutospacing="0" w:after="280" w:afterAutospacing="1"/>
      </w:pPr>
      <w:bookmarkStart w:id="64" w:name="dieu_7"/>
      <w:r>
        <w:rPr>
          <w:b/>
          <w:bCs/>
          <w:rtl w:val="0"/>
        </w:rPr>
        <w:t>Điều 7. Giá tính thuế đối với hoạt động cho thuê tài sản, gia công hàng hóa và hoạt động xây dựng, lắp đặt</w:t>
      </w:r>
      <w:bookmarkEnd w:id="64"/>
    </w:p>
    <w:p>
      <w:pPr>
        <w:bidi w:val="0"/>
        <w:spacing w:before="120" w:beforeAutospacing="0" w:after="280" w:afterAutospacing="1"/>
      </w:pPr>
      <w:bookmarkStart w:id="65" w:name="khoan_1_7"/>
      <w:r>
        <w:rPr>
          <w:rtl w:val="0"/>
        </w:rPr>
        <w:t>1. Đối với hoạt động cho thuê tài sản là số tiền cho thuê chưa có thuế giá trị gia tăng. Trong đó:</w:t>
      </w:r>
      <w:bookmarkEnd w:id="65"/>
    </w:p>
    <w:p>
      <w:pPr>
        <w:bidi w:val="0"/>
        <w:spacing w:before="120" w:beforeAutospacing="0" w:after="280" w:afterAutospacing="1"/>
      </w:pPr>
      <w:r>
        <w:rPr>
          <w:rtl w:val="0"/>
        </w:rPr>
        <w:t>a) Số tiền cho thuê tài sản là giá thuê được quy định trong hợp đồng cho thuê tài sản.</w:t>
      </w:r>
    </w:p>
    <w:p>
      <w:pPr>
        <w:bidi w:val="0"/>
        <w:spacing w:before="120" w:beforeAutospacing="0" w:after="280" w:afterAutospacing="1"/>
      </w:pPr>
      <w:r>
        <w:rPr>
          <w:rtl w:val="0"/>
        </w:rP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bidi w:val="0"/>
        <w:spacing w:before="120" w:beforeAutospacing="0" w:after="280" w:afterAutospacing="1"/>
      </w:pPr>
      <w:bookmarkStart w:id="66" w:name="khoan_2_7"/>
      <w:r>
        <w:rPr>
          <w:rtl w:val="0"/>
        </w:rP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bookmarkEnd w:id="66"/>
    </w:p>
    <w:p>
      <w:pPr>
        <w:bidi w:val="0"/>
        <w:spacing w:before="120" w:beforeAutospacing="0" w:after="280" w:afterAutospacing="1"/>
      </w:pPr>
      <w:bookmarkStart w:id="67" w:name="khoan_3_7"/>
      <w:r>
        <w:rPr>
          <w:rtl w:val="0"/>
        </w:rP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bookmarkEnd w:id="67"/>
    </w:p>
    <w:p>
      <w:pPr>
        <w:bidi w:val="0"/>
        <w:spacing w:before="120" w:beforeAutospacing="0" w:after="280" w:afterAutospacing="1"/>
      </w:pPr>
      <w:bookmarkStart w:id="68" w:name="dieu_8"/>
      <w:r>
        <w:rPr>
          <w:b/>
          <w:bCs/>
          <w:rtl w:val="0"/>
        </w:rPr>
        <w:t>Điều 8. Giá tính thuế đối với hoạt động kinh doanh bất động sản</w:t>
      </w:r>
      <w:bookmarkEnd w:id="68"/>
    </w:p>
    <w:p>
      <w:pPr>
        <w:bidi w:val="0"/>
        <w:spacing w:before="120" w:beforeAutospacing="0" w:after="280" w:afterAutospacing="1"/>
      </w:pPr>
      <w:r>
        <w:rPr>
          <w:rtl w:val="0"/>
        </w:rPr>
        <w:t>Đối với hoạt động kinh doanh bất động sản là giá bán bất động sản chưa có thuế giá trị gia tăng, trừ tiền sử dụng đất hoặc tiền thuê đất nộp ngân sách nhà nước (giá đất được trừ). Giá đất được trừ để tính thuế giá trị gia tăng được xác định trong một số trường hợp như sau:</w:t>
      </w:r>
    </w:p>
    <w:p>
      <w:pPr>
        <w:bidi w:val="0"/>
        <w:spacing w:before="120" w:beforeAutospacing="0" w:after="280" w:afterAutospacing="1"/>
      </w:pPr>
      <w:r>
        <w:rPr>
          <w:rtl w:val="0"/>
        </w:rPr>
        <w:t>1. 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pPr>
        <w:bidi w:val="0"/>
        <w:spacing w:before="120" w:beforeAutospacing="0" w:after="280" w:afterAutospacing="1"/>
      </w:pPr>
      <w:r>
        <w:rPr>
          <w:rtl w:val="0"/>
        </w:rPr>
        <w:t>2. 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 Cơ sở kinh doanh được khấu trừ thuế giá trị gia tăng đầu vào của cơ sở hạ tầng (nếu có).</w:t>
      </w:r>
    </w:p>
    <w:p>
      <w:pPr>
        <w:bidi w:val="0"/>
        <w:spacing w:before="120" w:beforeAutospacing="0" w:after="280" w:afterAutospacing="1"/>
      </w:pPr>
      <w:r>
        <w:rPr>
          <w:rtl w:val="0"/>
        </w:rPr>
        <w:t>3. Trường hợp cơ sở kinh doanh nhận góp vốn bằng quyền sử dụng đất của tổ chức, cá nhân thì giá đất được trừ để tính thuế giá trị gia tăng là tiền sử dụng đất, tiền thuê đất nộp ngân sách nhà nước.</w:t>
      </w:r>
    </w:p>
    <w:p>
      <w:pPr>
        <w:bidi w:val="0"/>
        <w:spacing w:before="120" w:beforeAutospacing="0" w:after="280" w:afterAutospacing="1"/>
      </w:pPr>
      <w:r>
        <w:rPr>
          <w:rtl w:val="0"/>
        </w:rP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pPr>
        <w:bidi w:val="0"/>
        <w:spacing w:before="120" w:beforeAutospacing="0" w:after="280" w:afterAutospacing="1"/>
      </w:pPr>
      <w:r>
        <w:rPr>
          <w:rtl w:val="0"/>
        </w:rP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pPr>
        <w:bidi w:val="0"/>
        <w:spacing w:before="120" w:beforeAutospacing="0" w:after="280" w:afterAutospacing="1"/>
      </w:pPr>
      <w:r>
        <w:rPr>
          <w:rtl w:val="0"/>
        </w:rPr>
        <w:t>6. Trường hợp cơ sở kinh doanh xây dựng nhà nhiều tầng nhiều hộ ở, nhà chung cư để bán thì giá đất được trừ tính cho 01 m² nhà để bán được xác định bằng giá đất được trừ theo quy định ở các khoản 1, 2, 3, 4 Điều này chia (:) số m² sàn xây dựng không bao gồm diện tích dùng chung như hành lang, cầu thang, tầng hầm, công trình xây dựng dưới mặt đất.</w:t>
      </w:r>
    </w:p>
    <w:p>
      <w:pPr>
        <w:bidi w:val="0"/>
        <w:spacing w:before="120" w:beforeAutospacing="0" w:after="280" w:afterAutospacing="1"/>
      </w:pPr>
      <w:r>
        <w:rPr>
          <w:rtl w:val="0"/>
        </w:rPr>
        <w:t>7. Trường hợp cơ sở kinh doanh nhận chuyển nhượng bất động sản, nhận góp vốn bằng quyền sử dụng đất của tổ chức, cá nhân quy định tại khoản 2, khoản 3 Điều này không xác định được tiền sử dụng đất hoặc tiền thuê đất nộp ngân sách nhà nước thì giá tính thuế giá trị gia tăng là giá chuyển nhượng chưa có thuế giá trị gia tăng.</w:t>
      </w:r>
    </w:p>
    <w:p>
      <w:pPr>
        <w:bidi w:val="0"/>
        <w:spacing w:before="120" w:beforeAutospacing="0" w:after="280" w:afterAutospacing="1"/>
      </w:pPr>
      <w:bookmarkStart w:id="69" w:name="dieu_9"/>
      <w:r>
        <w:rPr>
          <w:b/>
          <w:bCs/>
          <w:rtl w:val="0"/>
        </w:rPr>
        <w:t>Điều 9. Giá tính thuế đối với hoạt động đại lý, môi giới mua bán hàng hóa, dịch vụ hưởng hoa hồng và hàng hóa, dịch vụ được sử dụng hóa đơn thanh toán ghi giá thanh toán</w:t>
      </w:r>
      <w:bookmarkEnd w:id="69"/>
    </w:p>
    <w:p>
      <w:pPr>
        <w:bidi w:val="0"/>
        <w:spacing w:before="120" w:beforeAutospacing="0" w:after="280" w:afterAutospacing="1"/>
      </w:pPr>
      <w:bookmarkStart w:id="70" w:name="khoan_1_9"/>
      <w:r>
        <w:rPr>
          <w:rtl w:val="0"/>
        </w:rPr>
        <w:t>1. 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w:t>
      </w:r>
      <w:bookmarkEnd w:id="70"/>
    </w:p>
    <w:p>
      <w:pPr>
        <w:bidi w:val="0"/>
        <w:spacing w:before="120" w:beforeAutospacing="0" w:after="280" w:afterAutospacing="1"/>
      </w:pPr>
      <w:r>
        <w:rPr>
          <w:rtl w:val="0"/>
        </w:rPr>
        <w:t>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pPr>
        <w:bidi w:val="0"/>
        <w:spacing w:before="120" w:beforeAutospacing="0" w:after="280" w:afterAutospacing="1"/>
      </w:pPr>
      <w:bookmarkStart w:id="71" w:name="diem_b_1_9"/>
      <w:r>
        <w:rPr>
          <w:rtl w:val="0"/>
        </w:rPr>
        <w:t>b) Doanh thu hàng hóa, dịch vụ và doanh thu hoa hồng đại lý được hưởng từ hoạt động đại lý bán hàng hóa, dịch vụ thuộc diện không chịu thuế giá trị gia tăng.</w:t>
      </w:r>
      <w:bookmarkEnd w:id="71"/>
    </w:p>
    <w:p>
      <w:pPr>
        <w:bidi w:val="0"/>
        <w:spacing w:before="120" w:beforeAutospacing="0" w:after="280" w:afterAutospacing="1"/>
      </w:pPr>
      <w:bookmarkStart w:id="72" w:name="khoan_2_9"/>
      <w:r>
        <w:rPr>
          <w:rtl w:val="0"/>
        </w:rPr>
        <w:t>2. Đối với hàng hóa, dịch vụ được sử dụng hóa đơn thanh toán ghi giá thanh toán là giá đã có thuế giá trị gia tăng thì giá tính thuế được xác định theo công thức sau:</w:t>
      </w:r>
      <w:bookmarkEnd w:id="72"/>
    </w:p>
    <w:tbl>
      <w:tblPr>
        <w:tblW w:w="4410" w:type="pct"/>
        <w:jc w:val="left"/>
        <w:tblCellMar>
          <w:top w:w="0" w:type="dxa"/>
          <w:left w:w="0" w:type="dxa"/>
          <w:bottom w:w="0" w:type="dxa"/>
          <w:right w:w="0" w:type="dxa"/>
        </w:tblCellMar>
      </w:tblPr>
      <w:tblGrid>
        <w:gridCol w:w="3118"/>
        <w:gridCol w:w="363"/>
        <w:gridCol w:w="4140"/>
      </w:tblGrid>
      <w:tr>
        <w:tblPrEx>
          <w:tblW w:w="4410" w:type="pct"/>
          <w:jc w:val="left"/>
          <w:tblCellMar>
            <w:top w:w="0" w:type="dxa"/>
            <w:left w:w="0" w:type="dxa"/>
            <w:bottom w:w="0" w:type="dxa"/>
            <w:right w:w="0" w:type="dxa"/>
          </w:tblCellMar>
        </w:tblPrEx>
        <w:trPr>
          <w:jc w:val="left"/>
        </w:trPr>
        <w:tc>
          <w:tcPr>
            <w:tcW w:w="2046"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chưa có thuế giá trị gia tăng</w:t>
            </w:r>
          </w:p>
        </w:tc>
        <w:tc>
          <w:tcPr>
            <w:tcW w:w="238"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717"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thanh toán</w:t>
            </w:r>
          </w:p>
        </w:tc>
      </w:tr>
      <w:tr>
        <w:tblPrEx>
          <w:tblW w:w="441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71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thuế suất của hàng hóa, dịch vụ (%)</w:t>
            </w:r>
          </w:p>
        </w:tc>
      </w:tr>
    </w:tbl>
    <w:p>
      <w:pPr>
        <w:bidi w:val="0"/>
        <w:spacing w:before="120" w:beforeAutospacing="0" w:after="280" w:afterAutospacing="1"/>
      </w:pPr>
      <w:bookmarkStart w:id="73" w:name="dieu_10"/>
      <w:r>
        <w:rPr>
          <w:b/>
          <w:bCs/>
          <w:rtl w:val="0"/>
        </w:rPr>
        <w:t>Điều 10. Giá tính thuế đối với dịch vụ kinh doanh ca-si-nô, trò chơi điện tử có thưởng và dịch vụ kinh doanh đặt cược</w:t>
      </w:r>
      <w:bookmarkEnd w:id="73"/>
    </w:p>
    <w:p>
      <w:pPr>
        <w:bidi w:val="0"/>
        <w:spacing w:before="120" w:beforeAutospacing="0" w:after="280" w:afterAutospacing="1"/>
      </w:pPr>
      <w:r>
        <w:rPr>
          <w:rtl w:val="0"/>
        </w:rPr>
        <w:t>1. 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pPr>
        <w:bidi w:val="0"/>
        <w:spacing w:before="120" w:beforeAutospacing="0" w:after="280" w:afterAutospacing="1"/>
      </w:pPr>
      <w:r>
        <w:rPr>
          <w:rtl w:val="0"/>
        </w:rPr>
        <w:t>2. Đối với dịch vụ kinh doanh đặt cược là số tiền thu được từ bán vé đặt cược trừ số tiền đã trả thưởng cho khách (nếu có), đã có thuế tiêu thụ đặc biệt, chưa có thuế giá trị gia tăng.</w:t>
      </w:r>
    </w:p>
    <w:p>
      <w:pPr>
        <w:bidi w:val="0"/>
        <w:spacing w:before="120" w:beforeAutospacing="0" w:after="280" w:afterAutospacing="1"/>
      </w:pPr>
      <w:bookmarkStart w:id="74" w:name="dieu_11"/>
      <w:r>
        <w:rPr>
          <w:b/>
          <w:bCs/>
          <w:rtl w:val="0"/>
        </w:rPr>
        <w:t>Điều 11. Giá tính thuế đối với một số hoạt động sản xuất, kinh doanh khác</w:t>
      </w:r>
      <w:bookmarkEnd w:id="74"/>
    </w:p>
    <w:p>
      <w:pPr>
        <w:bidi w:val="0"/>
        <w:spacing w:before="120" w:beforeAutospacing="0" w:after="280" w:afterAutospacing="1"/>
      </w:pPr>
      <w:r>
        <w:rPr>
          <w:rtl w:val="0"/>
        </w:rP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pPr>
        <w:bidi w:val="0"/>
        <w:spacing w:before="120" w:beforeAutospacing="0" w:after="280" w:afterAutospacing="1"/>
      </w:pPr>
      <w:r>
        <w:rPr>
          <w:rtl w:val="0"/>
        </w:rPr>
        <w:t>1. Đối với hoạt động sản xuất điện của Tập đoàn Điện lực Việt Nam:</w:t>
      </w:r>
    </w:p>
    <w:p>
      <w:pPr>
        <w:bidi w:val="0"/>
        <w:spacing w:before="120" w:beforeAutospacing="0" w:after="280" w:afterAutospacing="1"/>
      </w:pPr>
      <w:r>
        <w:rPr>
          <w:rtl w:val="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2. Đối với vận tải, bốc xếp là giá cước vận tải, bốc xếp chưa có thuế giá trị gia tăng, không phân biệt cơ sở trực tiếp vận tải, bốc xếp hay thuê lại.</w:t>
      </w:r>
    </w:p>
    <w:p>
      <w:pPr>
        <w:bidi w:val="0"/>
        <w:spacing w:before="120" w:beforeAutospacing="0" w:after="280" w:afterAutospacing="1"/>
      </w:pPr>
      <w:r>
        <w:rPr>
          <w:rtl w:val="0"/>
        </w:rPr>
        <w:t>3. Đối với dịch vụ du lịch theo hình thức lữ hành, hợp đồng ký với khách hàng theo giá trọn gói (ăn, ở, đi lại) thì giá trọn gói được xác định là giá đã có thuế giá trị gia tăng.</w:t>
      </w:r>
    </w:p>
    <w:p>
      <w:pPr>
        <w:bidi w:val="0"/>
        <w:spacing w:before="120" w:beforeAutospacing="0" w:after="280" w:afterAutospacing="1"/>
      </w:pPr>
      <w:r>
        <w:rPr>
          <w:rtl w:val="0"/>
        </w:rPr>
        <w:t>Giá tính thuế được xác định theo công thức sau:</w:t>
      </w:r>
    </w:p>
    <w:tbl>
      <w:tblPr>
        <w:tblW w:w="4167" w:type="pct"/>
        <w:jc w:val="left"/>
        <w:tblCellMar>
          <w:top w:w="0" w:type="dxa"/>
          <w:left w:w="0" w:type="dxa"/>
          <w:bottom w:w="0" w:type="dxa"/>
          <w:right w:w="0" w:type="dxa"/>
        </w:tblCellMar>
      </w:tblPr>
      <w:tblGrid>
        <w:gridCol w:w="2520"/>
        <w:gridCol w:w="960"/>
        <w:gridCol w:w="3720"/>
      </w:tblGrid>
      <w:tr>
        <w:tblPrEx>
          <w:tblW w:w="4167" w:type="pct"/>
          <w:jc w:val="left"/>
          <w:tblCellMar>
            <w:top w:w="0" w:type="dxa"/>
            <w:left w:w="0" w:type="dxa"/>
            <w:bottom w:w="0" w:type="dxa"/>
            <w:right w:w="0" w:type="dxa"/>
          </w:tblCellMar>
        </w:tblPrEx>
        <w:trPr>
          <w:jc w:val="left"/>
        </w:trPr>
        <w:tc>
          <w:tcPr>
            <w:tcW w:w="1750"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tính thuế</w:t>
            </w:r>
          </w:p>
        </w:tc>
        <w:tc>
          <w:tcPr>
            <w:tcW w:w="667"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584"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trọn gói</w:t>
            </w:r>
          </w:p>
        </w:tc>
      </w:tr>
      <w:tr>
        <w:tblPrEx>
          <w:tblW w:w="4167"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584"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thuế suất</w:t>
            </w:r>
          </w:p>
        </w:tc>
      </w:tr>
    </w:tbl>
    <w:p>
      <w:pPr>
        <w:bidi w:val="0"/>
        <w:spacing w:before="120" w:beforeAutospacing="0" w:after="280" w:afterAutospacing="1"/>
      </w:pPr>
      <w:r>
        <w:rPr>
          <w:rtl w:val="0"/>
        </w:rPr>
        <w:t>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giá trị gia tăng. Thuế giá trị gia tăng đầu vào phục vụ hoạt động du lịch trọn gói được khấu trừ toàn bộ theo quy định.</w:t>
      </w:r>
    </w:p>
    <w:p>
      <w:pPr>
        <w:bidi w:val="0"/>
        <w:spacing w:before="120" w:beforeAutospacing="0" w:after="280" w:afterAutospacing="1"/>
      </w:pPr>
      <w:r>
        <w:rPr>
          <w:rtl w:val="0"/>
        </w:rP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W w:w="4167" w:type="pct"/>
        <w:jc w:val="left"/>
        <w:tblCellMar>
          <w:top w:w="0" w:type="dxa"/>
          <w:left w:w="0" w:type="dxa"/>
          <w:bottom w:w="0" w:type="dxa"/>
          <w:right w:w="0" w:type="dxa"/>
        </w:tblCellMar>
      </w:tblPr>
      <w:tblGrid>
        <w:gridCol w:w="3118"/>
        <w:gridCol w:w="361"/>
        <w:gridCol w:w="3721"/>
      </w:tblGrid>
      <w:tr>
        <w:tblPrEx>
          <w:tblW w:w="4167" w:type="pct"/>
          <w:jc w:val="left"/>
          <w:tblCellMar>
            <w:top w:w="0" w:type="dxa"/>
            <w:left w:w="0" w:type="dxa"/>
            <w:bottom w:w="0" w:type="dxa"/>
            <w:right w:w="0" w:type="dxa"/>
          </w:tblCellMar>
        </w:tblPrEx>
        <w:trPr>
          <w:jc w:val="left"/>
        </w:trPr>
        <w:tc>
          <w:tcPr>
            <w:tcW w:w="2165"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tính thuế</w:t>
            </w:r>
          </w:p>
        </w:tc>
        <w:tc>
          <w:tcPr>
            <w:tcW w:w="251"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584"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tiền phải thu</w:t>
            </w:r>
          </w:p>
        </w:tc>
      </w:tr>
      <w:tr>
        <w:tblPrEx>
          <w:tblW w:w="4167"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584"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thuế suất</w:t>
            </w:r>
          </w:p>
        </w:tc>
      </w:tr>
    </w:tbl>
    <w:p>
      <w:pPr>
        <w:bidi w:val="0"/>
        <w:spacing w:before="120" w:beforeAutospacing="0" w:after="280" w:afterAutospacing="1"/>
      </w:pPr>
      <w:r>
        <w:rPr>
          <w:rtl w:val="0"/>
        </w:rPr>
        <w:t xml:space="preserve">5. Đối với sách chịu thuế giá trị gia tăng bán theo đúng giá phát hành (giá bìa) theo quy định của </w:t>
      </w:r>
      <w:bookmarkStart w:id="75" w:name="tvpllink_knljrggmct"/>
      <w:r>
        <w:rPr>
          <w:rtl w:val="0"/>
        </w:rPr>
        <w:t>Luật Xuất bản</w:t>
      </w:r>
      <w:bookmarkEnd w:id="75"/>
      <w:r>
        <w:rPr>
          <w:rtl w:val="0"/>
        </w:rPr>
        <w:t xml:space="preserve"> thì giá bán đó được xác định là giá đã có thuế giá trị gia tăng. Các trường hợp bán không theo giá bìa thì thuế giá trị gia tăng tính trên giá bán ra chưa có thuế giá trị gia tăng.</w:t>
      </w:r>
    </w:p>
    <w:p>
      <w:pPr>
        <w:bidi w:val="0"/>
        <w:spacing w:before="120" w:beforeAutospacing="0" w:after="280" w:afterAutospacing="1"/>
      </w:pPr>
      <w:r>
        <w:rPr>
          <w:rtl w:val="0"/>
        </w:rP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pPr>
        <w:bidi w:val="0"/>
        <w:spacing w:before="120" w:beforeAutospacing="0" w:after="280" w:afterAutospacing="1"/>
      </w:pPr>
      <w:r>
        <w:rPr>
          <w:rtl w:val="0"/>
        </w:rP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pPr>
        <w:bidi w:val="0"/>
        <w:spacing w:before="120" w:beforeAutospacing="0" w:after="280" w:afterAutospacing="1"/>
      </w:pPr>
      <w:bookmarkStart w:id="76" w:name="dieu_12"/>
      <w:r>
        <w:rPr>
          <w:b/>
          <w:bCs/>
          <w:rtl w:val="0"/>
        </w:rPr>
        <w:t>Điều 12. Giá tính thuế đối với dịch vụ viễn thông quốc tế</w:t>
      </w:r>
      <w:bookmarkEnd w:id="76"/>
    </w:p>
    <w:p>
      <w:pPr>
        <w:bidi w:val="0"/>
        <w:spacing w:before="120" w:beforeAutospacing="0" w:after="280" w:afterAutospacing="1"/>
      </w:pPr>
      <w:r>
        <w:rPr>
          <w:rtl w:val="0"/>
        </w:rPr>
        <w:t>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w:t>
      </w:r>
    </w:p>
    <w:p>
      <w:pPr>
        <w:bidi w:val="0"/>
        <w:spacing w:before="120" w:beforeAutospacing="0" w:after="280" w:afterAutospacing="1"/>
      </w:pPr>
      <w:bookmarkStart w:id="77" w:name="dieu_13"/>
      <w:r>
        <w:rPr>
          <w:b/>
          <w:bCs/>
          <w:rtl w:val="0"/>
        </w:rPr>
        <w:t>Điều 13. Giá tính thuế đối với dịch vụ do tổ chức nước ngoài, cá nhân ở nước ngoài cung cấp</w:t>
      </w:r>
      <w:bookmarkEnd w:id="77"/>
    </w:p>
    <w:p>
      <w:pPr>
        <w:bidi w:val="0"/>
        <w:spacing w:before="120" w:beforeAutospacing="0" w:after="280" w:afterAutospacing="1"/>
      </w:pPr>
      <w:r>
        <w:rPr>
          <w:rtl w:val="0"/>
        </w:rPr>
        <w:t xml:space="preserve">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w:t>
      </w:r>
      <w:bookmarkStart w:id="78" w:name="dc_18"/>
      <w:r>
        <w:rPr>
          <w:rtl w:val="0"/>
        </w:rPr>
        <w:t>khoản 4 Điều 4 của Luật Thuế giá trị gia tăng</w:t>
      </w:r>
      <w:bookmarkEnd w:id="78"/>
      <w:r>
        <w:rPr>
          <w:rtl w:val="0"/>
        </w:rPr>
        <w:t xml:space="preserve">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pPr>
        <w:bidi w:val="0"/>
        <w:spacing w:before="120" w:beforeAutospacing="0" w:after="280" w:afterAutospacing="1"/>
      </w:pPr>
      <w:bookmarkStart w:id="79" w:name="dieu_14"/>
      <w:r>
        <w:rPr>
          <w:b/>
          <w:bCs/>
          <w:rtl w:val="0"/>
        </w:rPr>
        <w:t>Điều 14. Nguyên tắc xác định giá tính thuế giá trị gia tăng</w:t>
      </w:r>
      <w:bookmarkEnd w:id="79"/>
    </w:p>
    <w:p>
      <w:pPr>
        <w:bidi w:val="0"/>
        <w:spacing w:before="120" w:beforeAutospacing="0" w:after="280" w:afterAutospacing="1"/>
      </w:pPr>
      <w:bookmarkStart w:id="80" w:name="khoan_1_14"/>
      <w:r>
        <w:rPr>
          <w:rtl w:val="0"/>
        </w:rPr>
        <w:t>1. Giá tính thuế đối với các loại hàng hóa, dịch vụ quy định tại Mục này:</w:t>
      </w:r>
      <w:bookmarkEnd w:id="80"/>
    </w:p>
    <w:p>
      <w:pPr>
        <w:bidi w:val="0"/>
        <w:spacing w:before="120" w:beforeAutospacing="0" w:after="280" w:afterAutospacing="1"/>
      </w:pPr>
      <w:r>
        <w:rPr>
          <w:rtl w:val="0"/>
        </w:rPr>
        <w:t>a) Bao gồm cả khoản phụ thu và phí thu thêm ngoài giá hàng hóa, dịch vụ mà cơ sở kinh doanh được hưởng.</w:t>
      </w:r>
    </w:p>
    <w:p>
      <w:pPr>
        <w:bidi w:val="0"/>
        <w:spacing w:before="120" w:beforeAutospacing="0" w:after="280" w:afterAutospacing="1"/>
      </w:pPr>
      <w:r>
        <w:rPr>
          <w:rtl w:val="0"/>
        </w:rPr>
        <w:t>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pPr>
        <w:bidi w:val="0"/>
        <w:spacing w:before="120" w:beforeAutospacing="0" w:after="280" w:afterAutospacing="1"/>
      </w:pPr>
      <w:r>
        <w:rPr>
          <w:rtl w:val="0"/>
        </w:rP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pPr>
        <w:bidi w:val="0"/>
        <w:spacing w:before="120" w:beforeAutospacing="0" w:after="280" w:afterAutospacing="1"/>
      </w:pPr>
      <w:r>
        <w:rPr>
          <w:rtl w:val="0"/>
        </w:rPr>
        <w:t>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w:t>
      </w:r>
    </w:p>
    <w:p>
      <w:pPr>
        <w:bidi w:val="0"/>
        <w:spacing w:before="120" w:beforeAutospacing="0" w:after="280" w:afterAutospacing="1"/>
      </w:pPr>
      <w:bookmarkStart w:id="81" w:name="muc_2"/>
      <w:r>
        <w:rPr>
          <w:b/>
          <w:bCs/>
          <w:rtl w:val="0"/>
        </w:rPr>
        <w:t>Mục 2. THỜI ĐIỂM XÁC ĐỊNH THUẾ GIÁ TRỊ GIA TĂNG</w:t>
      </w:r>
      <w:bookmarkEnd w:id="81"/>
    </w:p>
    <w:p>
      <w:pPr>
        <w:bidi w:val="0"/>
        <w:spacing w:before="120" w:beforeAutospacing="0" w:after="280" w:afterAutospacing="1"/>
      </w:pPr>
      <w:bookmarkStart w:id="82" w:name="dieu_15"/>
      <w:r>
        <w:rPr>
          <w:b/>
          <w:bCs/>
          <w:rtl w:val="0"/>
        </w:rPr>
        <w:t>Điều 15. Thời điểm xác định thuế giá trị gia tăng đối với hàng hóa xuất khẩu, hàng hóa nhập khẩu</w:t>
      </w:r>
      <w:bookmarkEnd w:id="82"/>
    </w:p>
    <w:p>
      <w:pPr>
        <w:bidi w:val="0"/>
        <w:spacing w:before="120" w:beforeAutospacing="0" w:after="280" w:afterAutospacing="1"/>
      </w:pPr>
      <w:r>
        <w:rPr>
          <w:rtl w:val="0"/>
        </w:rP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pPr>
        <w:bidi w:val="0"/>
        <w:spacing w:before="120" w:beforeAutospacing="0" w:after="280" w:afterAutospacing="1"/>
      </w:pPr>
      <w:r>
        <w:rPr>
          <w:rtl w:val="0"/>
        </w:rPr>
        <w:t>2. Đối với hàng hóa nhập khẩu, thời điểm xác định thuế giá trị gia tăng là thời điểm xác định thuế nhập khẩu theo quy định của pháp luật về thuế xuất khẩu, thuế nhập khẩu.</w:t>
      </w:r>
    </w:p>
    <w:p>
      <w:pPr>
        <w:bidi w:val="0"/>
        <w:spacing w:before="120" w:beforeAutospacing="0" w:after="280" w:afterAutospacing="1"/>
      </w:pPr>
      <w:bookmarkStart w:id="83" w:name="dieu_16"/>
      <w:r>
        <w:rPr>
          <w:b/>
          <w:bCs/>
          <w:rtl w:val="0"/>
        </w:rPr>
        <w:t>Điều 16. Thời điểm xác định thuế giá trị gia tăng đối với một số hàng hóa, dịch vụ khác</w:t>
      </w:r>
      <w:bookmarkEnd w:id="83"/>
    </w:p>
    <w:p>
      <w:pPr>
        <w:bidi w:val="0"/>
        <w:spacing w:before="120" w:beforeAutospacing="0" w:after="280" w:afterAutospacing="1"/>
      </w:pPr>
      <w:bookmarkStart w:id="84" w:name="khoan_1_16"/>
      <w:r>
        <w:rPr>
          <w:rtl w:val="0"/>
        </w:rPr>
        <w:t>1. Đối với dịch vụ viễn thông (bao gồm cả dịch vụ viễn thông giá trị gia tăng):</w:t>
      </w:r>
      <w:bookmarkEnd w:id="84"/>
    </w:p>
    <w:p>
      <w:pPr>
        <w:bidi w:val="0"/>
        <w:spacing w:before="120" w:beforeAutospacing="0" w:after="280" w:afterAutospacing="1"/>
      </w:pPr>
      <w:r>
        <w:rPr>
          <w:rtl w:val="0"/>
        </w:rPr>
        <w:t>a) Đối với dịch vụ viễn thông (bao gồm cả dịch vụ viễn thông giá trị gia tăng) phải thực 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pPr>
        <w:bidi w:val="0"/>
        <w:spacing w:before="120" w:beforeAutospacing="0" w:after="280" w:afterAutospacing="1"/>
      </w:pPr>
      <w:r>
        <w:rPr>
          <w:rtl w:val="0"/>
        </w:rP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pPr>
        <w:bidi w:val="0"/>
        <w:spacing w:before="120" w:beforeAutospacing="0" w:after="280" w:afterAutospacing="1"/>
      </w:pPr>
      <w:r>
        <w:rPr>
          <w:rtl w:val="0"/>
        </w:rP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pPr>
        <w:bidi w:val="0"/>
        <w:spacing w:before="120" w:beforeAutospacing="0" w:after="280" w:afterAutospacing="1"/>
      </w:pPr>
      <w:bookmarkStart w:id="85" w:name="khoan_2_16"/>
      <w:r>
        <w:rPr>
          <w:rtl w:val="0"/>
        </w:rPr>
        <w:t>2. Đối với hoạt động bán điện:</w:t>
      </w:r>
      <w:bookmarkEnd w:id="85"/>
    </w:p>
    <w:p>
      <w:pPr>
        <w:bidi w:val="0"/>
        <w:spacing w:before="120" w:beforeAutospacing="0" w:after="280" w:afterAutospacing="1"/>
      </w:pPr>
      <w:r>
        <w:rPr>
          <w:rtl w:val="0"/>
        </w:rPr>
        <w:t>a) Đối với hoạt động bán điện của các công ty phát điện trên thị trường điện, thời điểm xác định thuế giá trị gia tăng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pPr>
        <w:bidi w:val="0"/>
        <w:spacing w:before="120" w:beforeAutospacing="0" w:after="280" w:afterAutospacing="1"/>
      </w:pPr>
      <w:r>
        <w:rPr>
          <w:rtl w:val="0"/>
        </w:rPr>
        <w:t>b) Đối với hoạt động bán điện (trừ trường hợp nêu tại điểm a khoản này), thời điểm xác định thuế giá trị gia tăng 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pPr>
        <w:bidi w:val="0"/>
        <w:spacing w:before="120" w:beforeAutospacing="0" w:after="280" w:afterAutospacing="1"/>
      </w:pPr>
      <w:bookmarkStart w:id="86" w:name="khoan_3_16"/>
      <w:r>
        <w:rPr>
          <w:rtl w:val="0"/>
        </w:rPr>
        <w:t>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bookmarkEnd w:id="86"/>
    </w:p>
    <w:p>
      <w:pPr>
        <w:bidi w:val="0"/>
        <w:spacing w:before="120" w:beforeAutospacing="0" w:after="280" w:afterAutospacing="1"/>
      </w:pPr>
      <w:bookmarkStart w:id="87" w:name="khoan_4_16"/>
      <w:r>
        <w:rPr>
          <w:rtl w:val="0"/>
        </w:rPr>
        <w:t>4. Đối với hoạt động kinh doanh bảo hiểm, thời điểm xác định thuế giá trị gia tăng là thời điểm ghi nhận doanh thu bảo hiểm theo quy định của pháp luật về kinh doanh bảo hiểm.</w:t>
      </w:r>
      <w:bookmarkEnd w:id="87"/>
    </w:p>
    <w:p>
      <w:pPr>
        <w:bidi w:val="0"/>
        <w:spacing w:before="120" w:beforeAutospacing="0" w:after="280" w:afterAutospacing="1"/>
      </w:pPr>
      <w:bookmarkStart w:id="88" w:name="khoan_5_16"/>
      <w:r>
        <w:rPr>
          <w:rtl w:val="0"/>
        </w:rPr>
        <w:t>5. Đối với hoạt động kinh doanh bất động sản, xây dựng cơ sở hạ tầng, xây dựng nhà để bán, chuyển nhượng hoặc cho thuê:</w:t>
      </w:r>
      <w:bookmarkEnd w:id="88"/>
    </w:p>
    <w:p>
      <w:pPr>
        <w:bidi w:val="0"/>
        <w:spacing w:before="120" w:beforeAutospacing="0" w:after="280" w:afterAutospacing="1"/>
      </w:pPr>
      <w:r>
        <w:rPr>
          <w:rtl w:val="0"/>
        </w:rP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pPr>
        <w:bidi w:val="0"/>
        <w:spacing w:before="120" w:beforeAutospacing="0" w:after="280" w:afterAutospacing="1"/>
      </w:pPr>
      <w:r>
        <w:rPr>
          <w:rtl w:val="0"/>
        </w:rP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pPr>
        <w:bidi w:val="0"/>
        <w:spacing w:before="120" w:beforeAutospacing="0" w:after="280" w:afterAutospacing="1"/>
      </w:pPr>
      <w:bookmarkStart w:id="89" w:name="khoan_6_16"/>
      <w:r>
        <w:rPr>
          <w:rtl w:val="0"/>
        </w:rP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bookmarkEnd w:id="89"/>
    </w:p>
    <w:p>
      <w:pPr>
        <w:bidi w:val="0"/>
        <w:spacing w:before="120" w:beforeAutospacing="0" w:after="280" w:afterAutospacing="1"/>
      </w:pPr>
      <w:r>
        <w:rPr>
          <w:rtl w:val="0"/>
        </w:rPr>
        <w:t>7. Đối với hoạt động dầu khí:</w:t>
      </w:r>
    </w:p>
    <w:p>
      <w:pPr>
        <w:bidi w:val="0"/>
        <w:spacing w:before="120" w:beforeAutospacing="0" w:after="280" w:afterAutospacing="1"/>
      </w:pPr>
      <w:r>
        <w:rPr>
          <w:rtl w:val="0"/>
        </w:rP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bidi w:val="0"/>
        <w:spacing w:before="120" w:beforeAutospacing="0" w:after="280" w:afterAutospacing="1"/>
      </w:pPr>
      <w:r>
        <w:rPr>
          <w:rtl w:val="0"/>
        </w:rPr>
        <w:t>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pPr>
        <w:bidi w:val="0"/>
        <w:spacing w:before="120" w:beforeAutospacing="0" w:after="280" w:afterAutospacing="1"/>
      </w:pPr>
      <w:bookmarkStart w:id="90" w:name="muc_3"/>
      <w:r>
        <w:rPr>
          <w:b/>
          <w:bCs/>
          <w:rtl w:val="0"/>
        </w:rPr>
        <w:t>Mục 3. THUẾ SUẤT</w:t>
      </w:r>
      <w:bookmarkEnd w:id="90"/>
    </w:p>
    <w:p>
      <w:pPr>
        <w:bidi w:val="0"/>
        <w:spacing w:before="120" w:beforeAutospacing="0" w:after="280" w:afterAutospacing="1"/>
      </w:pPr>
      <w:bookmarkStart w:id="91" w:name="dieu_17"/>
      <w:r>
        <w:rPr>
          <w:b/>
          <w:bCs/>
          <w:rtl w:val="0"/>
        </w:rPr>
        <w:t>Điều 17. Mức thuế suất 0%</w:t>
      </w:r>
      <w:bookmarkEnd w:id="91"/>
    </w:p>
    <w:p>
      <w:pPr>
        <w:bidi w:val="0"/>
        <w:spacing w:before="120" w:beforeAutospacing="0" w:after="280" w:afterAutospacing="1"/>
      </w:pPr>
      <w:r>
        <w:rPr>
          <w:rtl w:val="0"/>
        </w:rPr>
        <w:t xml:space="preserve">Mức thuế suất 0% áp dụng đối với hàng hóa, dịch vụ quy định tại </w:t>
      </w:r>
      <w:bookmarkStart w:id="92" w:name="dc_19"/>
      <w:r>
        <w:rPr>
          <w:rtl w:val="0"/>
        </w:rPr>
        <w:t>khoản 1 Điều 9 Luật Thuế giá trị gia tăng</w:t>
      </w:r>
      <w:bookmarkEnd w:id="92"/>
      <w:r>
        <w:rPr>
          <w:rtl w:val="0"/>
        </w:rPr>
        <w:t>. Trong đó:</w:t>
      </w:r>
    </w:p>
    <w:p>
      <w:pPr>
        <w:bidi w:val="0"/>
        <w:spacing w:before="120" w:beforeAutospacing="0" w:after="280" w:afterAutospacing="1"/>
      </w:pPr>
      <w:bookmarkStart w:id="93" w:name="khoan_1_17"/>
      <w:r>
        <w:rPr>
          <w:rtl w:val="0"/>
        </w:rPr>
        <w:t>1. Hàng hóa xuất khẩu bao gồm:</w:t>
      </w:r>
      <w:bookmarkEnd w:id="93"/>
    </w:p>
    <w:p>
      <w:pPr>
        <w:bidi w:val="0"/>
        <w:spacing w:before="120" w:beforeAutospacing="0" w:after="280" w:afterAutospacing="1"/>
      </w:pPr>
      <w:r>
        <w:rPr>
          <w:rtl w:val="0"/>
        </w:rPr>
        <w:t>a) Hàng hóa từ Việt Nam bán cho tổ chức, cá nhân ở nước ngoài và được tiêu dùng ở ngoài Việt Nam.</w:t>
      </w:r>
    </w:p>
    <w:p>
      <w:pPr>
        <w:bidi w:val="0"/>
        <w:spacing w:before="120" w:beforeAutospacing="0" w:after="280" w:afterAutospacing="1"/>
      </w:pPr>
      <w:r>
        <w:rPr>
          <w:rtl w:val="0"/>
        </w:rPr>
        <w:t>b) Hàng hóa từ nội địa Việt Nam bán cho tổ chức trong khu phi thuế quan và được tiêu dùng trong khu phi thuế quan phục vụ trực tiếp cho hoạt động sản xuất xuất khẩu.</w:t>
      </w:r>
    </w:p>
    <w:p>
      <w:pPr>
        <w:bidi w:val="0"/>
        <w:spacing w:before="120" w:beforeAutospacing="0" w:after="280" w:afterAutospacing="1"/>
      </w:pPr>
      <w:r>
        <w:rPr>
          <w:rtl w:val="0"/>
        </w:rPr>
        <w:t xml:space="preserve">c) Hàng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Nghị định số </w:t>
      </w:r>
      <w:bookmarkStart w:id="94" w:name="tvpllink_nnjwjueueo"/>
      <w:r>
        <w:rPr>
          <w:rtl w:val="0"/>
        </w:rPr>
        <w:t>68/2016/NĐ-CP</w:t>
      </w:r>
      <w:bookmarkEnd w:id="94"/>
      <w:r>
        <w:rPr>
          <w:rtl w:val="0"/>
        </w:rPr>
        <w:t xml:space="preserve"> ngày 01 tháng 7 năm 2016 của Chính phủ quy định về điều kiện kinh doanh hàng miễn thuế, kho bãi, địa điểm làm thủ tục hải quan, tập kết, kiểm tra, giám sát hải quan (đã được sửa đổi, bổ sung bởi Nghị định số </w:t>
      </w:r>
      <w:bookmarkStart w:id="95" w:name="tvpllink_gmuifwqmqe"/>
      <w:r>
        <w:rPr>
          <w:rtl w:val="0"/>
        </w:rPr>
        <w:t>67/2020/NĐ-CP</w:t>
      </w:r>
      <w:bookmarkEnd w:id="95"/>
      <w:r>
        <w:rPr>
          <w:rtl w:val="0"/>
        </w:rPr>
        <w:t xml:space="preserve"> ngày 15 tháng 6 năm 2020 của Chính phủ).</w:t>
      </w:r>
    </w:p>
    <w:p>
      <w:pPr>
        <w:bidi w:val="0"/>
        <w:spacing w:before="120" w:beforeAutospacing="0" w:after="280" w:afterAutospacing="1"/>
      </w:pPr>
      <w:bookmarkStart w:id="96" w:name="khoan_2_17"/>
      <w:r>
        <w:rPr>
          <w:rtl w:val="0"/>
        </w:rPr>
        <w:t>2. Dịch vụ xuất khẩu bao gồm:</w:t>
      </w:r>
      <w:bookmarkEnd w:id="96"/>
    </w:p>
    <w:p>
      <w:pPr>
        <w:bidi w:val="0"/>
        <w:spacing w:before="120" w:beforeAutospacing="0" w:after="280" w:afterAutospacing="1"/>
      </w:pPr>
      <w:r>
        <w:rPr>
          <w:rtl w:val="0"/>
        </w:rPr>
        <w:t>a) Dịch vụ cung cấp trực tiếp cho tổ chức, cá nhân ở nước ngoài và được tiêu dùng ở ngoài Việt Nam. Trong đó, cá nhân ở nước ngoài đáp ứng điều kiện ở ngoài Việt Nam trong thời gian diễn ra việc cung cấp dịch vụ.</w:t>
      </w:r>
    </w:p>
    <w:p>
      <w:pPr>
        <w:bidi w:val="0"/>
        <w:spacing w:before="120" w:beforeAutospacing="0" w:after="280" w:afterAutospacing="1"/>
      </w:pPr>
      <w:r>
        <w:rPr>
          <w:rtl w:val="0"/>
        </w:rPr>
        <w:t>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Tổ chức trong khu phi thuế quan là tổ chức có đăng ký kinh doanh.</w:t>
      </w:r>
    </w:p>
    <w:p>
      <w:pPr>
        <w:bidi w:val="0"/>
        <w:spacing w:before="120" w:beforeAutospacing="0" w:after="280" w:afterAutospacing="1"/>
      </w:pPr>
      <w:bookmarkStart w:id="97" w:name="khoan_3_17"/>
      <w:r>
        <w:rPr>
          <w:rtl w:val="0"/>
        </w:rPr>
        <w:t>3.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bookmarkEnd w:id="97"/>
    </w:p>
    <w:p>
      <w:pPr>
        <w:bidi w:val="0"/>
        <w:spacing w:before="120" w:beforeAutospacing="0" w:after="280" w:afterAutospacing="1"/>
      </w:pPr>
      <w:r>
        <w:rPr>
          <w:rtl w:val="0"/>
        </w:rPr>
        <w:t>a) Vận tải quốc tế bao gồm vận tải hành khách, hành lý, hàng hóa theo chặng quốc tế từ Việt Nam ra nước ngoài hoặc từ nước ngoài đến Việt Nam, hoặc cả điểm đi và đến ở nước ngoài, không phân biệt có phương tiện trực tiếp vận tải hay không có phương tiện. Trường hợp, hợp đồng vận tải quốc tế bao gồm cả chặng vận tải nội địa thì vận tải quốc tế bao gồm cả chặng nội địa.</w:t>
      </w:r>
    </w:p>
    <w:p>
      <w:pPr>
        <w:bidi w:val="0"/>
        <w:spacing w:before="120" w:beforeAutospacing="0" w:after="280" w:afterAutospacing="1"/>
      </w:pPr>
      <w:r>
        <w:rPr>
          <w:rtl w:val="0"/>
        </w:rPr>
        <w:t>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 Dịch vụ của ngành hàng không áp dụng thuế suất 0% là những dịch vụ được thực hiện trong khu vực cảng hàng không quốc tế, sân bay, nhà ga hàng hóa hàng không quốc tế.</w:t>
      </w:r>
    </w:p>
    <w:p>
      <w:pPr>
        <w:bidi w:val="0"/>
        <w:spacing w:before="120" w:beforeAutospacing="0" w:after="280" w:afterAutospacing="1"/>
      </w:pPr>
      <w:r>
        <w:rPr>
          <w:rtl w:val="0"/>
        </w:rPr>
        <w:t>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pPr>
        <w:bidi w:val="0"/>
        <w:spacing w:before="120" w:beforeAutospacing="0" w:after="280" w:afterAutospacing="1"/>
      </w:pPr>
      <w:r>
        <w:rPr>
          <w:rtl w:val="0"/>
        </w:rP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pPr>
        <w:bidi w:val="0"/>
        <w:spacing w:before="120" w:beforeAutospacing="0" w:after="280" w:afterAutospacing="1"/>
      </w:pPr>
      <w:bookmarkStart w:id="98" w:name="khoan_4_17"/>
      <w:r>
        <w:rPr>
          <w:rtl w:val="0"/>
        </w:rPr>
        <w:t>4. Các trường hợp không áp dụng thuế suất 0% quy định tại</w:t>
      </w:r>
      <w:bookmarkEnd w:id="98"/>
      <w:r>
        <w:rPr>
          <w:rtl w:val="0"/>
        </w:rPr>
        <w:t xml:space="preserve"> </w:t>
      </w:r>
      <w:bookmarkStart w:id="99" w:name="dc_20"/>
      <w:r>
        <w:rPr>
          <w:rtl w:val="0"/>
        </w:rPr>
        <w:t>điểm b và d khoản 1 Điều 9 Luật Thuế giá trị gia tăng</w:t>
      </w:r>
      <w:bookmarkEnd w:id="99"/>
      <w:r>
        <w:rPr>
          <w:rtl w:val="0"/>
        </w:rPr>
        <w:t xml:space="preserve"> </w:t>
      </w:r>
      <w:bookmarkStart w:id="100" w:name="khoan_4_17_name"/>
      <w:r>
        <w:rPr>
          <w:rtl w:val="0"/>
        </w:rPr>
        <w:t>bao gồm:</w:t>
      </w:r>
      <w:bookmarkEnd w:id="100"/>
    </w:p>
    <w:p>
      <w:pPr>
        <w:bidi w:val="0"/>
        <w:spacing w:before="120" w:beforeAutospacing="0" w:after="280" w:afterAutospacing="1"/>
      </w:pPr>
      <w:r>
        <w:rPr>
          <w:rtl w:val="0"/>
        </w:rPr>
        <w:t>a) Chuyển giao công nghệ, chuyển nhượng quyền sở hữu trí tuệ ra nước ngoài.</w:t>
      </w:r>
    </w:p>
    <w:p>
      <w:pPr>
        <w:bidi w:val="0"/>
        <w:spacing w:before="120" w:beforeAutospacing="0" w:after="280" w:afterAutospacing="1"/>
      </w:pPr>
      <w:r>
        <w:rPr>
          <w:rtl w:val="0"/>
        </w:rPr>
        <w:t>b) Dịch vụ tái bảo hiểm ra nước ngoài.</w:t>
      </w:r>
    </w:p>
    <w:p>
      <w:pPr>
        <w:bidi w:val="0"/>
        <w:spacing w:before="120" w:beforeAutospacing="0" w:after="280" w:afterAutospacing="1"/>
      </w:pPr>
      <w:r>
        <w:rPr>
          <w:rtl w:val="0"/>
        </w:rPr>
        <w:t>c) Dịch vụ cấp tín dụng.</w:t>
      </w:r>
    </w:p>
    <w:p>
      <w:pPr>
        <w:bidi w:val="0"/>
        <w:spacing w:before="120" w:beforeAutospacing="0" w:after="280" w:afterAutospacing="1"/>
      </w:pPr>
      <w:r>
        <w:rPr>
          <w:rtl w:val="0"/>
        </w:rPr>
        <w:t>d) Chuyển nhượng vốn.</w:t>
      </w:r>
    </w:p>
    <w:p>
      <w:pPr>
        <w:bidi w:val="0"/>
        <w:spacing w:before="120" w:beforeAutospacing="0" w:after="280" w:afterAutospacing="1"/>
      </w:pPr>
      <w:r>
        <w:rPr>
          <w:rtl w:val="0"/>
        </w:rPr>
        <w:t>đ) Sản phẩm phái sinh.</w:t>
      </w:r>
    </w:p>
    <w:p>
      <w:pPr>
        <w:bidi w:val="0"/>
        <w:spacing w:before="120" w:beforeAutospacing="0" w:after="280" w:afterAutospacing="1"/>
      </w:pPr>
      <w:r>
        <w:rPr>
          <w:rtl w:val="0"/>
        </w:rPr>
        <w:t>e) Dịch vụ bưu chính, viễn thông.</w:t>
      </w:r>
    </w:p>
    <w:p>
      <w:pPr>
        <w:bidi w:val="0"/>
        <w:spacing w:before="120" w:beforeAutospacing="0" w:after="280" w:afterAutospacing="1"/>
      </w:pPr>
      <w:r>
        <w:rPr>
          <w:rtl w:val="0"/>
        </w:rPr>
        <w:t xml:space="preserve">g) Sản phẩm xuất khẩu quy định tại </w:t>
      </w:r>
      <w:bookmarkStart w:id="101" w:name="tc_2"/>
      <w:r>
        <w:rPr>
          <w:rtl w:val="0"/>
        </w:rPr>
        <w:t>khoản 14 Điều 4 của Nghị định này</w:t>
      </w:r>
      <w:bookmarkEnd w:id="101"/>
      <w:r>
        <w:rPr>
          <w:rtl w:val="0"/>
        </w:rPr>
        <w:t>.</w:t>
      </w:r>
    </w:p>
    <w:p>
      <w:pPr>
        <w:bidi w:val="0"/>
        <w:spacing w:before="120" w:beforeAutospacing="0" w:after="280" w:afterAutospacing="1"/>
      </w:pPr>
      <w:r>
        <w:rPr>
          <w:rtl w:val="0"/>
        </w:rPr>
        <w:t>h) Thuốc lá, rượu, bia nhập khẩu sau đó xuất khẩu.</w:t>
      </w:r>
    </w:p>
    <w:p>
      <w:pPr>
        <w:bidi w:val="0"/>
        <w:spacing w:before="120" w:beforeAutospacing="0" w:after="280" w:afterAutospacing="1"/>
      </w:pPr>
      <w:r>
        <w:rPr>
          <w:rtl w:val="0"/>
        </w:rPr>
        <w:t>i) Xăng, dầu mua tại nội địa bán cho cơ sở kinh doanh trong khu phi thuế quan; xe ô tô bán cho tổ chức, cá nhân trong khu phi thuế quan.</w:t>
      </w:r>
    </w:p>
    <w:p>
      <w:pPr>
        <w:bidi w:val="0"/>
        <w:spacing w:before="120" w:beforeAutospacing="0" w:after="280" w:afterAutospacing="1"/>
      </w:pPr>
      <w:r>
        <w:rPr>
          <w:rtl w:val="0"/>
        </w:rPr>
        <w:t>k) 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pPr>
        <w:bidi w:val="0"/>
        <w:spacing w:before="120" w:beforeAutospacing="0" w:after="280" w:afterAutospacing="1"/>
      </w:pPr>
      <w:r>
        <w:rPr>
          <w:rtl w:val="0"/>
        </w:rPr>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pPr>
        <w:bidi w:val="0"/>
        <w:spacing w:before="120" w:beforeAutospacing="0" w:after="280" w:afterAutospacing="1"/>
      </w:pPr>
      <w:r>
        <w:rPr>
          <w:rtl w:val="0"/>
        </w:rPr>
        <w:t>5. 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pPr>
        <w:bidi w:val="0"/>
        <w:spacing w:before="120" w:beforeAutospacing="0" w:after="280" w:afterAutospacing="1"/>
      </w:pPr>
      <w:r>
        <w:rPr>
          <w:rtl w:val="0"/>
        </w:rPr>
        <w:t>6. Bộ Tài chính quy định chi tiết Điều này trong trường hợp cần thiết để thực hiện chức năng quản lý nhà nước.</w:t>
      </w:r>
    </w:p>
    <w:p>
      <w:pPr>
        <w:bidi w:val="0"/>
        <w:spacing w:before="120" w:beforeAutospacing="0" w:after="280" w:afterAutospacing="1"/>
      </w:pPr>
      <w:bookmarkStart w:id="102" w:name="dieu_18"/>
      <w:r>
        <w:rPr>
          <w:b/>
          <w:bCs/>
          <w:rtl w:val="0"/>
        </w:rPr>
        <w:t>Điều 18. Điều kiện áp dụng thuế suất 0%</w:t>
      </w:r>
      <w:bookmarkEnd w:id="102"/>
    </w:p>
    <w:p>
      <w:pPr>
        <w:bidi w:val="0"/>
        <w:spacing w:before="120" w:beforeAutospacing="0" w:after="280" w:afterAutospacing="1"/>
      </w:pPr>
      <w:r>
        <w:rPr>
          <w:rtl w:val="0"/>
        </w:rPr>
        <w:t xml:space="preserve">Hàng hóa, dịch vụ xuất khẩu áp dụng thuế suất 0% quy định tại </w:t>
      </w:r>
      <w:bookmarkStart w:id="103" w:name="tc_3"/>
      <w:r>
        <w:rPr>
          <w:rtl w:val="0"/>
        </w:rPr>
        <w:t>Điều 17 Nghị định này</w:t>
      </w:r>
      <w:bookmarkEnd w:id="103"/>
      <w:r>
        <w:rPr>
          <w:rtl w:val="0"/>
        </w:rPr>
        <w:t xml:space="preserve"> (trừ một số trường hợp đặc thù quy định tại </w:t>
      </w:r>
      <w:bookmarkStart w:id="104" w:name="tc_4"/>
      <w:r>
        <w:rPr>
          <w:rtl w:val="0"/>
        </w:rPr>
        <w:t>Điều 27, Điều 28 Nghị định này</w:t>
      </w:r>
      <w:bookmarkEnd w:id="104"/>
      <w:r>
        <w:rPr>
          <w:rtl w:val="0"/>
        </w:rPr>
        <w:t>) phải đáp ứng quy định sau:</w:t>
      </w:r>
    </w:p>
    <w:p>
      <w:pPr>
        <w:bidi w:val="0"/>
        <w:spacing w:before="120" w:beforeAutospacing="0" w:after="280" w:afterAutospacing="1"/>
      </w:pPr>
      <w:r>
        <w:rPr>
          <w:rtl w:val="0"/>
        </w:rPr>
        <w:t>1. Đối với hàng hóa xuất khẩu, phải có:</w:t>
      </w:r>
    </w:p>
    <w:p>
      <w:pPr>
        <w:bidi w:val="0"/>
        <w:spacing w:before="120" w:beforeAutospacing="0" w:after="280" w:afterAutospacing="1"/>
      </w:pPr>
      <w:r>
        <w:rPr>
          <w:rtl w:val="0"/>
        </w:rPr>
        <w:t>a) Hợp đồng bán, gia công hàng hóa xuất khẩu (đối với trường hợp bán, gia công); hợp đồng ủy thác xuất khẩu (đối với trường hợp ủy thác xuất khẩu).</w:t>
      </w:r>
    </w:p>
    <w:p>
      <w:pPr>
        <w:bidi w:val="0"/>
        <w:spacing w:before="120" w:beforeAutospacing="0" w:after="280" w:afterAutospacing="1"/>
      </w:pPr>
      <w:r>
        <w:rPr>
          <w:rtl w:val="0"/>
        </w:rPr>
        <w:t>b) Chứng từ thanh toán không dùng tiền mặt đối với hàng hóa xuất khẩu.</w:t>
      </w:r>
    </w:p>
    <w:p>
      <w:pPr>
        <w:bidi w:val="0"/>
        <w:spacing w:before="120" w:beforeAutospacing="0" w:after="280" w:afterAutospacing="1"/>
      </w:pPr>
      <w:r>
        <w:rPr>
          <w:rtl w:val="0"/>
        </w:rPr>
        <w:t>c) Tờ khai hải quan theo quy định.</w:t>
      </w:r>
    </w:p>
    <w:p>
      <w:pPr>
        <w:bidi w:val="0"/>
        <w:spacing w:before="120" w:beforeAutospacing="0" w:after="280" w:afterAutospacing="1"/>
      </w:pPr>
      <w:r>
        <w:rPr>
          <w:rtl w:val="0"/>
        </w:rPr>
        <w:t>2. Đối với dịch vụ xuất khẩu, trừ quy định tại khoản 3, 4, 5 Điều này, phải có:</w:t>
      </w:r>
    </w:p>
    <w:p>
      <w:pPr>
        <w:bidi w:val="0"/>
        <w:spacing w:before="120" w:beforeAutospacing="0" w:after="280" w:afterAutospacing="1"/>
      </w:pPr>
      <w:r>
        <w:rPr>
          <w:rtl w:val="0"/>
        </w:rPr>
        <w:t>a) Hợp đồng cung cấp dịch vụ với tổ chức, cá nhân ở nước ngoài hoặc ở trong khu phi thuế quan.</w:t>
      </w:r>
    </w:p>
    <w:p>
      <w:pPr>
        <w:bidi w:val="0"/>
        <w:spacing w:before="120" w:beforeAutospacing="0" w:after="280" w:afterAutospacing="1"/>
      </w:pPr>
      <w:r>
        <w:rPr>
          <w:rtl w:val="0"/>
        </w:rPr>
        <w:t>b) Chứng từ thanh toán không dùng tiền mặt đối với dịch vụ xuất khẩu.</w:t>
      </w:r>
    </w:p>
    <w:p>
      <w:pPr>
        <w:bidi w:val="0"/>
        <w:spacing w:before="120" w:beforeAutospacing="0" w:after="280" w:afterAutospacing="1"/>
      </w:pPr>
      <w:r>
        <w:rPr>
          <w:rtl w:val="0"/>
        </w:rPr>
        <w:t>3. Đối với vận tải quốc tế, phải có:</w:t>
      </w:r>
    </w:p>
    <w:p>
      <w:pPr>
        <w:bidi w:val="0"/>
        <w:spacing w:before="120" w:beforeAutospacing="0" w:after="280" w:afterAutospacing="1"/>
      </w:pPr>
      <w:r>
        <w:rPr>
          <w:rtl w:val="0"/>
        </w:rP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pPr>
        <w:bidi w:val="0"/>
        <w:spacing w:before="120" w:beforeAutospacing="0" w:after="280" w:afterAutospacing="1"/>
      </w:pPr>
      <w:r>
        <w:rPr>
          <w:rtl w:val="0"/>
        </w:rPr>
        <w:t>b) Chứng từ thanh toán không dùng tiền mặt. Đối với trường hợp vận chuyển hành khách là cá nhân, có chứng từ thanh toán trực tiếp.</w:t>
      </w:r>
    </w:p>
    <w:p>
      <w:pPr>
        <w:bidi w:val="0"/>
        <w:spacing w:before="120" w:beforeAutospacing="0" w:after="280" w:afterAutospacing="1"/>
      </w:pPr>
      <w:r>
        <w:rPr>
          <w:rtl w:val="0"/>
        </w:rPr>
        <w:t>4. Đối với dịch vụ của ngành hàng không, phải có:</w:t>
      </w:r>
    </w:p>
    <w:p>
      <w:pPr>
        <w:bidi w:val="0"/>
        <w:spacing w:before="120" w:beforeAutospacing="0" w:after="280" w:afterAutospacing="1"/>
      </w:pPr>
      <w:r>
        <w:rPr>
          <w:rtl w:val="0"/>
        </w:rPr>
        <w:t>a) Hợp đồng cung cấp dịch vụ với tổ chức ở nước ngoài, hãng hàng không nước ngoài hoặc yêu cầu cung cấp dịch vụ của tổ chức ở nước ngoài, hãng hàng không nước ngoài.</w:t>
      </w:r>
    </w:p>
    <w:p>
      <w:pPr>
        <w:bidi w:val="0"/>
        <w:spacing w:before="120" w:beforeAutospacing="0" w:after="280" w:afterAutospacing="1"/>
      </w:pPr>
      <w:r>
        <w:rPr>
          <w:rtl w:val="0"/>
        </w:rP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pPr>
        <w:bidi w:val="0"/>
        <w:spacing w:before="120" w:beforeAutospacing="0" w:after="280" w:afterAutospacing="1"/>
      </w:pPr>
      <w:r>
        <w:rPr>
          <w:rtl w:val="0"/>
        </w:rPr>
        <w:t>Các quy định về hợp đồng và chứng từ thanh toán nêu tại khoản này không áp dụng đối với dịch vụ phục vụ hành khách đi chuyến bay quốc tế từ cảng hàng không Việt Nam (passenger service charges).</w:t>
      </w:r>
    </w:p>
    <w:p>
      <w:pPr>
        <w:bidi w:val="0"/>
        <w:spacing w:before="120" w:beforeAutospacing="0" w:after="280" w:afterAutospacing="1"/>
      </w:pPr>
      <w:r>
        <w:rPr>
          <w:rtl w:val="0"/>
        </w:rPr>
        <w:t>Riêng đối với dịch vụ sửa chữa tàu bay cung cấp cho tổ chức, cá nhân nước ngoài, để được áp dụng thuế suất 0%, tàu bay đưa vào Việt Nam phải làm thủ tục tạm nhập khẩu, tái xuất khẩu theo quy định.</w:t>
      </w:r>
    </w:p>
    <w:p>
      <w:pPr>
        <w:bidi w:val="0"/>
        <w:spacing w:before="120" w:beforeAutospacing="0" w:after="280" w:afterAutospacing="1"/>
      </w:pPr>
      <w:r>
        <w:rPr>
          <w:rtl w:val="0"/>
        </w:rPr>
        <w:t>5. Đối với dịch vụ của ngành hàng hải, phải có:</w:t>
      </w:r>
    </w:p>
    <w:p>
      <w:pPr>
        <w:bidi w:val="0"/>
        <w:spacing w:before="120" w:beforeAutospacing="0" w:after="280" w:afterAutospacing="1"/>
      </w:pPr>
      <w:r>
        <w:rPr>
          <w:rtl w:val="0"/>
        </w:rPr>
        <w:t>a) Hợp đồng cung cấp dịch vụ với tổ chức ở nước ngoài, người đại lý tàu biển hoặc yêu cầu cung cấp dịch vụ của tổ chức ở nước ngoài hoặc người đại lý tàu biển.</w:t>
      </w:r>
    </w:p>
    <w:p>
      <w:pPr>
        <w:bidi w:val="0"/>
        <w:spacing w:before="120" w:beforeAutospacing="0" w:after="280" w:afterAutospacing="1"/>
      </w:pPr>
      <w:r>
        <w:rPr>
          <w:rtl w:val="0"/>
        </w:rPr>
        <w:t>b) Chứng từ thanh toán không dùng tiền mặt của tổ chức ở nước ngoài hoặc có chứng từ thanh toán không dùng tiền mặt của người đại lý tàu biển cho cơ sở kinh doanh cung cấp dịch vụ.</w:t>
      </w:r>
    </w:p>
    <w:p>
      <w:pPr>
        <w:bidi w:val="0"/>
        <w:spacing w:before="120" w:beforeAutospacing="0" w:after="280" w:afterAutospacing="1"/>
      </w:pPr>
      <w:r>
        <w:rPr>
          <w:rtl w:val="0"/>
        </w:rPr>
        <w:t>Riêng đối với dịch vụ sửa chữa tàu biển cung cấp cho tổ chức, cá nhân nước ngoài, để được áp dụng thuế suất 0%, tàu biển đưa vào Việt Nam phải làm thủ tục tạm nhập khẩu, tái xuất khẩu theo quy định.</w:t>
      </w:r>
    </w:p>
    <w:p>
      <w:pPr>
        <w:bidi w:val="0"/>
        <w:spacing w:before="120" w:beforeAutospacing="0" w:after="280" w:afterAutospacing="1"/>
      </w:pPr>
      <w:bookmarkStart w:id="105" w:name="dieu_19"/>
      <w:r>
        <w:rPr>
          <w:b/>
          <w:bCs/>
          <w:rtl w:val="0"/>
        </w:rPr>
        <w:t>Điều 19. Mức thuế suất 5%</w:t>
      </w:r>
      <w:bookmarkEnd w:id="105"/>
    </w:p>
    <w:p>
      <w:pPr>
        <w:bidi w:val="0"/>
        <w:spacing w:before="120" w:beforeAutospacing="0" w:after="280" w:afterAutospacing="1"/>
      </w:pPr>
      <w:r>
        <w:rPr>
          <w:rtl w:val="0"/>
        </w:rPr>
        <w:t xml:space="preserve">Mức thuế suất 5% áp dụng đối với hàng hóa, dịch vụ quy định tại </w:t>
      </w:r>
      <w:bookmarkStart w:id="106" w:name="dc_21"/>
      <w:r>
        <w:rPr>
          <w:rtl w:val="0"/>
        </w:rPr>
        <w:t>khoản 2 Điều 9 Luật Thuế giá trị gia tăng</w:t>
      </w:r>
      <w:bookmarkEnd w:id="106"/>
      <w:r>
        <w:rPr>
          <w:rtl w:val="0"/>
        </w:rPr>
        <w:t>. Một số trường hợp được quy định chi tiết như sau:</w:t>
      </w:r>
    </w:p>
    <w:p>
      <w:pPr>
        <w:bidi w:val="0"/>
        <w:spacing w:before="120" w:beforeAutospacing="0" w:after="280" w:afterAutospacing="1"/>
      </w:pPr>
      <w:bookmarkStart w:id="107" w:name="khoan_1_19"/>
      <w:r>
        <w:rPr>
          <w:rtl w:val="0"/>
        </w:rPr>
        <w:t>1. 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Apatít dùng để sản xuất các loại phân bón chứa lân, đất bùn làm phân vi sinh; thuốc bảo vệ thực vật thực hiện theo quy định của pháp luật về bảo vệ và kiểm dịch thực vật.</w:t>
      </w:r>
      <w:bookmarkEnd w:id="107"/>
    </w:p>
    <w:p>
      <w:pPr>
        <w:bidi w:val="0"/>
        <w:spacing w:before="120" w:beforeAutospacing="0" w:after="280" w:afterAutospacing="1"/>
      </w:pPr>
      <w:bookmarkStart w:id="108" w:name="khoan_2_19"/>
      <w:r>
        <w:rPr>
          <w:rtl w:val="0"/>
        </w:rPr>
        <w:t>2. Dịch vụ đào đắp, nạo vét kênh, mương, ao hồ phục vụ sản xuất nông nghiệp; nuôi trồng, chăm sóc, phòng trừ sâu bệnh cho cây trồng; sơ chế, bảo quản sản phẩm nông nghiệp. Trong đó,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bookmarkEnd w:id="108"/>
    </w:p>
    <w:p>
      <w:pPr>
        <w:bidi w:val="0"/>
        <w:spacing w:before="120" w:beforeAutospacing="0" w:after="280" w:afterAutospacing="1"/>
      </w:pPr>
      <w:bookmarkStart w:id="109" w:name="khoan_3_19"/>
      <w:r>
        <w:rPr>
          <w:rtl w:val="0"/>
        </w:rPr>
        <w:t>3. Sản phẩm cây trồng, rừng trồng (trừ gỗ, măng), chăn nuôi, thủy sản nuôi trồng, đánh bắt chưa chế biến thành các sản phẩm khác hoặc chỉ qua sơ chế thông thường, trừ sản phẩm quy định</w:t>
      </w:r>
      <w:bookmarkEnd w:id="109"/>
      <w:r>
        <w:rPr>
          <w:rtl w:val="0"/>
        </w:rPr>
        <w:t xml:space="preserve"> tại </w:t>
      </w:r>
      <w:bookmarkStart w:id="110" w:name="tc_5"/>
      <w:r>
        <w:rPr>
          <w:rtl w:val="0"/>
        </w:rPr>
        <w:t>khoản 1 Điều 4 của Nghị định này</w:t>
      </w:r>
      <w:bookmarkEnd w:id="110"/>
      <w:r>
        <w:rPr>
          <w:rtl w:val="0"/>
        </w:rPr>
        <w:t>.</w:t>
      </w:r>
    </w:p>
    <w:p>
      <w:pPr>
        <w:bidi w:val="0"/>
        <w:spacing w:before="120" w:beforeAutospacing="0" w:after="280" w:afterAutospacing="1"/>
      </w:pPr>
      <w:bookmarkStart w:id="111" w:name="khoan_4_19"/>
      <w:r>
        <w:rPr>
          <w:rtl w:val="0"/>
        </w:rPr>
        <w:t>4. Mủ cao su dạng mủ cờ rếp, mủ tờ, mủ bún, mủ cốm; lưới, dây giềng và sợi để đan lưới đánh cá. Trong đó, lưới, dây giềng và sợi để đan lưới đánh cá bao gồm các loại lưới đánh cá, các loại sợi, dây giềng loại chuyên dùng để đan lưới đánh cá không phân biệt nguyên liệu sản xuất.</w:t>
      </w:r>
      <w:bookmarkEnd w:id="111"/>
    </w:p>
    <w:p>
      <w:pPr>
        <w:bidi w:val="0"/>
        <w:spacing w:before="120" w:beforeAutospacing="0" w:after="280" w:afterAutospacing="1"/>
      </w:pPr>
      <w:bookmarkStart w:id="112" w:name="khoan_5_19"/>
      <w:r>
        <w:rPr>
          <w:rtl w:val="0"/>
        </w:rP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bookmarkEnd w:id="112"/>
    </w:p>
    <w:p>
      <w:pPr>
        <w:bidi w:val="0"/>
        <w:spacing w:before="120" w:beforeAutospacing="0" w:after="280" w:afterAutospacing="1"/>
      </w:pPr>
      <w:bookmarkStart w:id="113" w:name="khoan_6_19"/>
      <w:r>
        <w:rPr>
          <w:rtl w:val="0"/>
        </w:rP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bookmarkEnd w:id="113"/>
    </w:p>
    <w:p>
      <w:pPr>
        <w:bidi w:val="0"/>
        <w:spacing w:before="120" w:beforeAutospacing="0" w:after="280" w:afterAutospacing="1"/>
      </w:pPr>
      <w:bookmarkStart w:id="114" w:name="cumtu_1"/>
      <w:r>
        <w:rPr>
          <w:rtl w:val="0"/>
        </w:rP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bookmarkEnd w:id="114"/>
    </w:p>
    <w:p>
      <w:pPr>
        <w:bidi w:val="0"/>
        <w:spacing w:before="120" w:beforeAutospacing="0" w:after="280" w:afterAutospacing="1"/>
      </w:pPr>
      <w:bookmarkStart w:id="115" w:name="khoan_7_19"/>
      <w:r>
        <w:rPr>
          <w:rtl w:val="0"/>
        </w:rPr>
        <w:t>7. Thiết bị y tế theo quy định của pháp luật về quản lý thiết bị y tế; thuốc phòng bệnh, chữa bệnh; dược chất, dược liệu là nguyên liệu sản xuất thuốc chữa bệnh, thuốc phòng bệnh. Trong đó:</w:t>
      </w:r>
      <w:bookmarkEnd w:id="115"/>
    </w:p>
    <w:p>
      <w:pPr>
        <w:bidi w:val="0"/>
        <w:spacing w:before="120" w:beforeAutospacing="0" w:after="280" w:afterAutospacing="1"/>
      </w:pPr>
      <w:r>
        <w:rPr>
          <w:rtl w:val="0"/>
        </w:rPr>
        <w:t>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pPr>
        <w:bidi w:val="0"/>
        <w:spacing w:before="120" w:beforeAutospacing="0" w:after="280" w:afterAutospacing="1"/>
      </w:pPr>
      <w:r>
        <w:rPr>
          <w:rtl w:val="0"/>
        </w:rPr>
        <w:t>b) Thuốc phòng bệnh, chữa bệnh bao gồm thuốc thành phẩm, nguyên liệu làm thuốc, trừ thực phẩm chức năng; vắc-xin; sinh phẩm y tế, nước cất để pha chế thuốc tiêm, dịch truyền.</w:t>
      </w:r>
    </w:p>
    <w:p>
      <w:pPr>
        <w:bidi w:val="0"/>
        <w:spacing w:before="120" w:beforeAutospacing="0" w:after="280" w:afterAutospacing="1"/>
      </w:pPr>
      <w:bookmarkStart w:id="116" w:name="khoan_8_19"/>
      <w:r>
        <w:rPr>
          <w:rtl w:val="0"/>
        </w:rPr>
        <w:t>8. Hoạt động nghệ thuật biểu diễn truyền thống, dân gian là các hoạt động nghệ thuật biểu diễn, nghệ thuật trình diễn dân gian theo quy định pháp luật về nghệ thuật biểu diễn và di sản văn hóa.</w:t>
      </w:r>
      <w:bookmarkEnd w:id="116"/>
    </w:p>
    <w:p>
      <w:pPr>
        <w:bidi w:val="0"/>
        <w:spacing w:before="120" w:beforeAutospacing="0" w:after="280" w:afterAutospacing="1"/>
      </w:pPr>
      <w:bookmarkStart w:id="117" w:name="khoan_9_19"/>
      <w:r>
        <w:rPr>
          <w:rtl w:val="0"/>
        </w:rPr>
        <w:t>9. Đồ chơi cho trẻ em; sách các loại, trừ sách quy định tại</w:t>
      </w:r>
      <w:bookmarkEnd w:id="117"/>
      <w:r>
        <w:rPr>
          <w:rtl w:val="0"/>
        </w:rPr>
        <w:t xml:space="preserve"> </w:t>
      </w:r>
      <w:bookmarkStart w:id="118" w:name="tc_6"/>
      <w:r>
        <w:rPr>
          <w:rtl w:val="0"/>
        </w:rPr>
        <w:t>khoản 8 Điều 4 của Nghị định này</w:t>
      </w:r>
      <w:bookmarkEnd w:id="118"/>
      <w:r>
        <w:rPr>
          <w:rtl w:val="0"/>
        </w:rPr>
        <w:t>.</w:t>
      </w:r>
    </w:p>
    <w:p>
      <w:pPr>
        <w:bidi w:val="0"/>
        <w:spacing w:before="120" w:beforeAutospacing="0" w:after="280" w:afterAutospacing="1"/>
      </w:pPr>
      <w:bookmarkStart w:id="119" w:name="muc_4"/>
      <w:r>
        <w:rPr>
          <w:b/>
          <w:bCs/>
          <w:rtl w:val="0"/>
        </w:rPr>
        <w:t>Mục 4. PHƯƠNG PHÁP KHẤU TRỪ THUẾ</w:t>
      </w:r>
      <w:bookmarkEnd w:id="119"/>
    </w:p>
    <w:p>
      <w:pPr>
        <w:bidi w:val="0"/>
        <w:spacing w:before="120" w:beforeAutospacing="0" w:after="280" w:afterAutospacing="1"/>
      </w:pPr>
      <w:bookmarkStart w:id="120" w:name="dieu_20"/>
      <w:r>
        <w:rPr>
          <w:b/>
          <w:bCs/>
          <w:rtl w:val="0"/>
        </w:rPr>
        <w:t>Điều 20. Phương pháp khấu trừ thuế</w:t>
      </w:r>
      <w:bookmarkEnd w:id="120"/>
    </w:p>
    <w:p>
      <w:pPr>
        <w:bidi w:val="0"/>
        <w:spacing w:before="120" w:beforeAutospacing="0" w:after="280" w:afterAutospacing="1"/>
      </w:pPr>
      <w:r>
        <w:rPr>
          <w:rtl w:val="0"/>
        </w:rPr>
        <w:t>1. Số thuế giá trị gia tăng phải nộp theo phương pháp khấu trừ thuế bằng số thuế giá trị gia tăng đầu ra trừ số thuế giá trị gia tăng đầu vào được khấu trừ.</w:t>
      </w:r>
    </w:p>
    <w:p>
      <w:pPr>
        <w:bidi w:val="0"/>
        <w:spacing w:before="120" w:beforeAutospacing="0" w:after="280" w:afterAutospacing="1"/>
      </w:pPr>
      <w:r>
        <w:rPr>
          <w:rtl w:val="0"/>
        </w:rPr>
        <w:t>2. Số thuế giá trị gia tăng đầu ra bằng tổng số thuế giá trị gia tăng của hàng hóa, dịch vụ bán ra ghi trên hóa đơn giá trị gia tăng.</w:t>
      </w:r>
    </w:p>
    <w:p>
      <w:pPr>
        <w:bidi w:val="0"/>
        <w:spacing w:before="120" w:beforeAutospacing="0" w:after="280" w:afterAutospacing="1"/>
      </w:pPr>
      <w:r>
        <w:rPr>
          <w:rtl w:val="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bidi w:val="0"/>
        <w:spacing w:before="120" w:beforeAutospacing="0" w:after="280" w:afterAutospacing="1"/>
      </w:pPr>
      <w:r>
        <w:rPr>
          <w:rtl w:val="0"/>
        </w:rPr>
        <w:t xml:space="preserve">Trường hợp sử dụng hóa đơn ghi giá thanh toán là giá đã có thuế giá trị gia tăng thì thuế giá trị gia tăng đầu ra được xác định bằng giá thanh toán trừ giá tính thuế giá trị gia tăng xác định theo quy định tại </w:t>
      </w:r>
      <w:bookmarkStart w:id="121" w:name="tc_7"/>
      <w:r>
        <w:rPr>
          <w:rtl w:val="0"/>
        </w:rPr>
        <w:t>khoản 2 Điều 9 Nghị định này</w:t>
      </w:r>
      <w:bookmarkEnd w:id="121"/>
      <w:r>
        <w:rPr>
          <w:rtl w:val="0"/>
        </w:rPr>
        <w:t>.</w:t>
      </w:r>
    </w:p>
    <w:p>
      <w:pPr>
        <w:bidi w:val="0"/>
        <w:spacing w:before="120" w:beforeAutospacing="0" w:after="280" w:afterAutospacing="1"/>
      </w:pPr>
      <w:r>
        <w:rPr>
          <w:rtl w:val="0"/>
        </w:rPr>
        <w:t xml:space="preserve">3.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 Trong đó, chứng từ nộp thuế đối với trường hợp mua dịch vụ thực hiện theo quy định tại </w:t>
      </w:r>
      <w:bookmarkStart w:id="122" w:name="tc_8"/>
      <w:r>
        <w:rPr>
          <w:rtl w:val="0"/>
        </w:rPr>
        <w:t>điểm a khoản 2 Điều 3 của Nghị định này</w:t>
      </w:r>
      <w:bookmarkEnd w:id="122"/>
      <w:r>
        <w:rPr>
          <w:rtl w:val="0"/>
        </w:rPr>
        <w:t xml:space="preserve">, </w:t>
      </w:r>
      <w:bookmarkStart w:id="123" w:name="dc_22"/>
      <w:r>
        <w:rPr>
          <w:rtl w:val="0"/>
        </w:rPr>
        <w:t>khoản 3 Điều 4 Luật Thuế giá trị gia tăng</w:t>
      </w:r>
      <w:bookmarkEnd w:id="123"/>
      <w:r>
        <w:rPr>
          <w:rtl w:val="0"/>
        </w:rPr>
        <w:t>.</w:t>
      </w:r>
    </w:p>
    <w:p>
      <w:pPr>
        <w:bidi w:val="0"/>
        <w:spacing w:before="120" w:beforeAutospacing="0" w:after="280" w:afterAutospacing="1"/>
      </w:pPr>
      <w:bookmarkStart w:id="124" w:name="dieu_21"/>
      <w:r>
        <w:rPr>
          <w:b/>
          <w:bCs/>
          <w:rtl w:val="0"/>
        </w:rPr>
        <w:t>Điều 21. Đối tượng áp dụng phương pháp khấu trừ thuế</w:t>
      </w:r>
      <w:bookmarkEnd w:id="124"/>
    </w:p>
    <w:p>
      <w:pPr>
        <w:bidi w:val="0"/>
        <w:spacing w:before="120" w:beforeAutospacing="0" w:after="280" w:afterAutospacing="1"/>
      </w:pPr>
      <w:r>
        <w:rPr>
          <w:rtl w:val="0"/>
        </w:rPr>
        <w:t>Phương pháp khấu trừ thuế áp dụng đối với cơ sở kinh doanh thực hiện đầy đủ chế độ kế toán, hóa đơn, chứng từ theo quy định của pháp luật về kế toán, hóa đơn, chứng từ bao gồm:</w:t>
      </w:r>
    </w:p>
    <w:p>
      <w:pPr>
        <w:bidi w:val="0"/>
        <w:spacing w:before="120" w:beforeAutospacing="0" w:after="280" w:afterAutospacing="1"/>
      </w:pPr>
      <w:bookmarkStart w:id="125" w:name="khoan_1_21"/>
      <w:r>
        <w:rPr>
          <w:rtl w:val="0"/>
        </w:rPr>
        <w:t>1. Cơ sở kinh doanh có doanh thu hằng năm từ bán hàng hóa, cung cấp dịch vụ từ 01 tỷ đồng trở lên, trừ hộ, cá nhân sản xuất, kinh doanh. Trong đó:</w:t>
      </w:r>
      <w:bookmarkEnd w:id="125"/>
    </w:p>
    <w:p>
      <w:pPr>
        <w:bidi w:val="0"/>
        <w:spacing w:before="120" w:beforeAutospacing="0" w:after="280" w:afterAutospacing="1"/>
      </w:pPr>
      <w:r>
        <w:rPr>
          <w:rtl w:val="0"/>
        </w:rPr>
        <w:t>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định phương pháp tính thuế giá trị gia tăng. Thời gian áp dụng ổn định phương pháp tính thuế là 02 năm liên tục.</w:t>
      </w:r>
    </w:p>
    <w:p>
      <w:pPr>
        <w:bidi w:val="0"/>
        <w:spacing w:before="120" w:beforeAutospacing="0" w:after="280" w:afterAutospacing="1"/>
      </w:pPr>
      <w:r>
        <w:rPr>
          <w:rtl w:val="0"/>
        </w:rPr>
        <w:t>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pPr>
        <w:bidi w:val="0"/>
        <w:spacing w:before="120" w:beforeAutospacing="0" w:after="280" w:afterAutospacing="1"/>
      </w:pPr>
      <w:r>
        <w:rPr>
          <w:rtl w:val="0"/>
        </w:rP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pPr>
        <w:bidi w:val="0"/>
        <w:spacing w:before="120" w:beforeAutospacing="0" w:after="280" w:afterAutospacing="1"/>
      </w:pPr>
      <w:bookmarkStart w:id="126" w:name="khoan_2_21"/>
      <w:r>
        <w:rPr>
          <w:rtl w:val="0"/>
        </w:rPr>
        <w:t>2. Cơ sở kinh doanh tự nguyện áp dụng phương pháp khấu trừ thuế, trừ hộ, cá nhân sản xuất, kinh doanh. Trong đó:</w:t>
      </w:r>
      <w:bookmarkEnd w:id="126"/>
    </w:p>
    <w:p>
      <w:pPr>
        <w:bidi w:val="0"/>
        <w:spacing w:before="120" w:beforeAutospacing="0" w:after="280" w:afterAutospacing="1"/>
      </w:pPr>
      <w:r>
        <w:rPr>
          <w:rtl w:val="0"/>
        </w:rPr>
        <w:t>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pPr>
        <w:bidi w:val="0"/>
        <w:spacing w:before="120" w:beforeAutospacing="0" w:after="280" w:afterAutospacing="1"/>
      </w:pPr>
      <w:r>
        <w:rPr>
          <w:rtl w:val="0"/>
        </w:rPr>
        <w:t>b) Doanh nghiệp mới thành lập từ dự án đầu tư của cơ sở kinh doanh đang hoạt động nộp thuế giá trị gia tăng theo phương pháp khấu trừ thuế.</w:t>
      </w:r>
    </w:p>
    <w:p>
      <w:pPr>
        <w:bidi w:val="0"/>
        <w:spacing w:before="120" w:beforeAutospacing="0" w:after="280" w:afterAutospacing="1"/>
      </w:pPr>
      <w:r>
        <w:rPr>
          <w:rtl w:val="0"/>
        </w:rPr>
        <w:t>c) Doanh nghiệp mới thành lập có thực hiện đầu tư theo dự án đầu tư được cấp có thẩm quyền phê duyệt thuộc trường hợp đăng ký tự nguyện áp dụng phương pháp khấu trừ thuế.</w:t>
      </w:r>
    </w:p>
    <w:p>
      <w:pPr>
        <w:bidi w:val="0"/>
        <w:spacing w:before="120" w:beforeAutospacing="0" w:after="280" w:afterAutospacing="1"/>
      </w:pPr>
      <w:r>
        <w:rPr>
          <w:rtl w:val="0"/>
        </w:rP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pPr>
        <w:bidi w:val="0"/>
        <w:spacing w:before="120" w:beforeAutospacing="0" w:after="280" w:afterAutospacing="1"/>
      </w:pPr>
      <w:r>
        <w:rPr>
          <w:rtl w:val="0"/>
        </w:rP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pPr>
        <w:bidi w:val="0"/>
        <w:spacing w:before="120" w:beforeAutospacing="0" w:after="280" w:afterAutospacing="1"/>
      </w:pPr>
      <w:r>
        <w:rPr>
          <w:rtl w:val="0"/>
        </w:rPr>
        <w:t>e) Tổ chức nước ngoài có cơ sở thường trú tại Việt Nam, cá nhân ở nước ngoài là đối tượng cư trú tại Việt Nam có doanh thu phát sinh tại Việt Nam.</w:t>
      </w:r>
    </w:p>
    <w:p>
      <w:pPr>
        <w:bidi w:val="0"/>
        <w:spacing w:before="120" w:beforeAutospacing="0" w:after="280" w:afterAutospacing="1"/>
      </w:pPr>
      <w:r>
        <w:rPr>
          <w:rtl w:val="0"/>
        </w:rPr>
        <w:t>g) Tổ chức kinh tế khác hạch toán được thuế giá trị gia tăng đầu vào, đầu ra, không bao gồm doanh nghiệp, hợp tác xã, liên hiệp hợp tác xã.</w:t>
      </w:r>
    </w:p>
    <w:p>
      <w:pPr>
        <w:bidi w:val="0"/>
        <w:spacing w:before="120" w:beforeAutospacing="0" w:after="280" w:afterAutospacing="1"/>
      </w:pPr>
      <w:bookmarkStart w:id="127" w:name="khoan_3_21"/>
      <w:r>
        <w:rPr>
          <w:rtl w:val="0"/>
        </w:rPr>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bookmarkEnd w:id="127"/>
    </w:p>
    <w:p>
      <w:pPr>
        <w:bidi w:val="0"/>
        <w:spacing w:before="120" w:beforeAutospacing="0" w:after="280" w:afterAutospacing="1"/>
      </w:pPr>
      <w:r>
        <w:rPr>
          <w:rtl w:val="0"/>
        </w:rPr>
        <w:t>4. 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pPr>
        <w:bidi w:val="0"/>
        <w:spacing w:before="120" w:beforeAutospacing="0" w:after="280" w:afterAutospacing="1"/>
      </w:pPr>
      <w:bookmarkStart w:id="128" w:name="muc_5"/>
      <w:r>
        <w:rPr>
          <w:b/>
          <w:bCs/>
          <w:rtl w:val="0"/>
        </w:rPr>
        <w:t>Mục 5. PHƯƠNG PHÁP TÍNH TRỰC TIẾP TRÊN GIÁ TRỊ GIA TĂNG ĐỐI VỚI HOẠT ĐỘNG MUA, BÁN, CHẾ TÁC VÀNG, BẠC, ĐÁ QUÝ</w:t>
      </w:r>
      <w:bookmarkEnd w:id="128"/>
    </w:p>
    <w:p>
      <w:pPr>
        <w:bidi w:val="0"/>
        <w:spacing w:before="120" w:beforeAutospacing="0" w:after="280" w:afterAutospacing="1"/>
      </w:pPr>
      <w:bookmarkStart w:id="129" w:name="dieu_22"/>
      <w:r>
        <w:rPr>
          <w:b/>
          <w:bCs/>
          <w:rtl w:val="0"/>
        </w:rPr>
        <w:t>Điều 22. Phương pháp tính trực tiếp trên giá trị gia tăng đối với hoạt động mua, bán, chế tác vàng, bạc, đá quý</w:t>
      </w:r>
      <w:bookmarkEnd w:id="129"/>
    </w:p>
    <w:p>
      <w:pPr>
        <w:bidi w:val="0"/>
        <w:spacing w:before="120" w:beforeAutospacing="0" w:after="280" w:afterAutospacing="1"/>
      </w:pPr>
      <w:r>
        <w:rPr>
          <w:rtl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pPr>
        <w:bidi w:val="0"/>
        <w:spacing w:before="120" w:beforeAutospacing="0" w:after="280" w:afterAutospacing="1"/>
      </w:pPr>
      <w:r>
        <w:rPr>
          <w:rtl w:val="0"/>
        </w:rPr>
        <w:t>2. Giá trị gia tăng của hoạt động mua, bán, chế tác vàng, bạc, đá quý được xác định bằng giá thanh toán của vàng, bạc, đá quý bán ra trừ giá thanh toán của vàng, bạc, đá quý mua vào tương ứng. Trong đó:</w:t>
      </w:r>
    </w:p>
    <w:p>
      <w:pPr>
        <w:bidi w:val="0"/>
        <w:spacing w:before="120" w:beforeAutospacing="0" w:after="280" w:afterAutospacing="1"/>
      </w:pPr>
      <w:r>
        <w:rPr>
          <w:rtl w:val="0"/>
        </w:rP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pPr>
        <w:bidi w:val="0"/>
        <w:spacing w:before="120" w:beforeAutospacing="0" w:after="280" w:afterAutospacing="1"/>
      </w:pPr>
      <w:r>
        <w:rPr>
          <w:rtl w:val="0"/>
        </w:rPr>
        <w:t>b) Giá thanh toán của vàng, bạc, đá quý mua vào được xác định bằng giá trị vàng, bạc, đá quý mua vào hoặc nhập khẩu, đã có thuế giá trị gia tăng dùng cho mua, bán, chế tác vàng, bạc, đá quý bán ra tương ứng.</w:t>
      </w:r>
    </w:p>
    <w:p>
      <w:pPr>
        <w:bidi w:val="0"/>
        <w:spacing w:before="120" w:beforeAutospacing="0" w:after="280" w:afterAutospacing="1"/>
      </w:pPr>
      <w:r>
        <w:rPr>
          <w:rtl w:val="0"/>
        </w:rPr>
        <w:t>3. Trường hợp cơ sở kinh doanh có hoạt động mua, bán, chế tác vàng, bạc, đá quý thì cơ sở kinh doanh phải hạch toán riêng hoạt động này để nộp thuế theo phương pháp tính trực tiếp trên giá trị gia tăng.</w:t>
      </w:r>
    </w:p>
    <w:p>
      <w:pPr>
        <w:bidi w:val="0"/>
        <w:spacing w:before="120" w:beforeAutospacing="0" w:after="280" w:afterAutospacing="1"/>
      </w:pPr>
      <w:r>
        <w:rPr>
          <w:rtl w:val="0"/>
        </w:rP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pPr>
        <w:bidi w:val="0"/>
        <w:spacing w:before="120" w:beforeAutospacing="0" w:after="280" w:afterAutospacing="1"/>
      </w:pPr>
      <w:bookmarkStart w:id="130" w:name="chuong_3"/>
      <w:r>
        <w:rPr>
          <w:b/>
          <w:bCs/>
          <w:rtl w:val="0"/>
        </w:rPr>
        <w:t>Chương III</w:t>
      </w:r>
      <w:bookmarkEnd w:id="130"/>
    </w:p>
    <w:p>
      <w:pPr>
        <w:bidi w:val="0"/>
        <w:spacing w:before="120" w:beforeAutospacing="0" w:after="280" w:afterAutospacing="1"/>
        <w:jc w:val="center"/>
      </w:pPr>
      <w:bookmarkStart w:id="131" w:name="chuong_3_name"/>
      <w:r>
        <w:rPr>
          <w:b/>
          <w:bCs/>
          <w:sz w:val="24"/>
          <w:rtl w:val="0"/>
        </w:rPr>
        <w:t>KHẤU TRỪ, HOÀN THUẾ</w:t>
      </w:r>
      <w:bookmarkEnd w:id="131"/>
    </w:p>
    <w:p>
      <w:pPr>
        <w:bidi w:val="0"/>
        <w:spacing w:before="120" w:beforeAutospacing="0" w:after="280" w:afterAutospacing="1"/>
      </w:pPr>
      <w:bookmarkStart w:id="132" w:name="muc_1_3"/>
      <w:r>
        <w:rPr>
          <w:b/>
          <w:bCs/>
          <w:rtl w:val="0"/>
        </w:rPr>
        <w:t>Mục 1. NGUYÊN TẮC KHẤU TRỪ THUẾ GIÁ TRỊ GIA TĂNG ĐẦU VÀO</w:t>
      </w:r>
      <w:bookmarkEnd w:id="132"/>
    </w:p>
    <w:p>
      <w:pPr>
        <w:bidi w:val="0"/>
        <w:spacing w:before="120" w:beforeAutospacing="0" w:after="280" w:afterAutospacing="1"/>
      </w:pPr>
      <w:bookmarkStart w:id="133" w:name="dieu_23"/>
      <w:r>
        <w:rPr>
          <w:b/>
          <w:bCs/>
          <w:rtl w:val="0"/>
        </w:rPr>
        <w:t>Điều 23. Khấu trừ thuế giá trị gia tăng</w:t>
      </w:r>
      <w:bookmarkEnd w:id="133"/>
    </w:p>
    <w:p>
      <w:pPr>
        <w:bidi w:val="0"/>
        <w:spacing w:before="120" w:beforeAutospacing="0" w:after="280" w:afterAutospacing="1"/>
      </w:pPr>
      <w:r>
        <w:rPr>
          <w:rtl w:val="0"/>
        </w:rP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pPr>
        <w:bidi w:val="0"/>
        <w:spacing w:before="120" w:beforeAutospacing="0" w:after="280" w:afterAutospacing="1"/>
      </w:pPr>
      <w:bookmarkStart w:id="134" w:name="khoan_2_23"/>
      <w:r>
        <w:rPr>
          <w:rtl w:val="0"/>
        </w:rPr>
        <w:t>2. 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w:t>
      </w:r>
      <w:bookmarkEnd w:id="134"/>
      <w:r>
        <w:rPr>
          <w:rtl w:val="0"/>
        </w:rPr>
        <w:t xml:space="preserve"> </w:t>
      </w:r>
      <w:bookmarkStart w:id="135" w:name="khoan_2_23_name"/>
      <w:r>
        <w:rPr>
          <w:rtl w:val="0"/>
        </w:rPr>
        <w:t>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bookmarkEnd w:id="135"/>
    </w:p>
    <w:p>
      <w:pPr>
        <w:bidi w:val="0"/>
        <w:spacing w:before="120" w:beforeAutospacing="0" w:after="280" w:afterAutospacing="1"/>
      </w:pPr>
      <w:bookmarkStart w:id="136" w:name="diem_a_2_23"/>
      <w:r>
        <w:rPr>
          <w:rtl w:val="0"/>
        </w:rPr>
        <w:t>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w:t>
      </w:r>
      <w:bookmarkEnd w:id="136"/>
      <w:r>
        <w:rPr>
          <w:rtl w:val="0"/>
        </w:rPr>
        <w:t xml:space="preserve"> </w:t>
      </w:r>
      <w:bookmarkStart w:id="137" w:name="tc_9"/>
      <w:r>
        <w:rPr>
          <w:rtl w:val="0"/>
        </w:rPr>
        <w:t>khoản 2 Điều 40 Nghị định này</w:t>
      </w:r>
      <w:bookmarkEnd w:id="137"/>
      <w:r>
        <w:rPr>
          <w:rtl w:val="0"/>
        </w:rPr>
        <w:t xml:space="preserve"> </w:t>
      </w:r>
      <w:bookmarkStart w:id="138" w:name="diem_a_2_23_name"/>
      <w:r>
        <w:rPr>
          <w:rtl w:val="0"/>
        </w:rPr>
        <w:t>(nếu có). Riêng hoạt động kinh doanh ngoại tệ, mua bán chứng khoán thì doanh thu là chênh lệch giữa giá bán và giá mua (trừ trường hợp chênh lệch âm (-)).</w:t>
      </w:r>
      <w:bookmarkEnd w:id="138"/>
    </w:p>
    <w:p>
      <w:pPr>
        <w:bidi w:val="0"/>
        <w:spacing w:before="120" w:beforeAutospacing="0" w:after="280" w:afterAutospacing="1"/>
      </w:pPr>
      <w:r>
        <w:rPr>
          <w:rtl w:val="0"/>
        </w:rPr>
        <w:t>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 Cơ sở kinh doanh không bị xử phạt vi phạm hành chính về thuế đối với số thuế giá trị gia tăng chênh lệch do điều chỉnh giảm.</w:t>
      </w:r>
    </w:p>
    <w:p>
      <w:pPr>
        <w:bidi w:val="0"/>
        <w:spacing w:before="120" w:beforeAutospacing="0" w:after="280" w:afterAutospacing="1"/>
      </w:pPr>
      <w:r>
        <w:rPr>
          <w:rtl w:val="0"/>
        </w:rPr>
        <w:t>3. Thuế giá trị gia tăng đầu vào của hàng hóa, dịch vụ bán cho tổ chức, cá nhân sử dụng vốn viện trợ nhân đạo, viện trợ không hoàn lại được khấu trừ toàn bộ.</w:t>
      </w:r>
    </w:p>
    <w:p>
      <w:pPr>
        <w:bidi w:val="0"/>
        <w:spacing w:before="120" w:beforeAutospacing="0" w:after="280" w:afterAutospacing="1"/>
      </w:pPr>
      <w:r>
        <w:rPr>
          <w:rtl w:val="0"/>
        </w:rPr>
        <w:t>4. Thuế giá trị gia tăng đầu vào của hàng hóa, dịch vụ sử dụng cho hoạt động tìm kiếm thăm dò, phát triển mỏ dầu khí được khấu trừ toàn bộ.</w:t>
      </w:r>
    </w:p>
    <w:p>
      <w:pPr>
        <w:bidi w:val="0"/>
        <w:spacing w:before="120" w:beforeAutospacing="0" w:after="280" w:afterAutospacing="1"/>
      </w:pPr>
      <w:r>
        <w:rPr>
          <w:rtl w:val="0"/>
        </w:rPr>
        <w:t>5. Thuế giá trị gia tăng đầu vào phát sinh trong tháng, quý nào được kê khai, khấu trừ khi xác định số thuế phải nộp của tháng, quý đó, không phân biệt đã xuất dùng hay còn để trong kho. Số thuế giá trị gia tăng đầu vào chưa được khấu trừ hết trong tháng, quý thì được khấu trừ vào tháng, quý tiếp theo.</w:t>
      </w:r>
    </w:p>
    <w:p>
      <w:pPr>
        <w:bidi w:val="0"/>
        <w:spacing w:before="120" w:beforeAutospacing="0" w:after="280" w:afterAutospacing="1"/>
      </w:pPr>
      <w:bookmarkStart w:id="139" w:name="khoan_6_23"/>
      <w:r>
        <w:rPr>
          <w:rtl w:val="0"/>
        </w:rP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bookmarkEnd w:id="139"/>
    </w:p>
    <w:p>
      <w:pPr>
        <w:bidi w:val="0"/>
        <w:spacing w:before="120" w:beforeAutospacing="0" w:after="280" w:afterAutospacing="1"/>
      </w:pPr>
      <w:r>
        <w:rPr>
          <w:rtl w:val="0"/>
        </w:rPr>
        <w:t>a) 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pPr>
        <w:bidi w:val="0"/>
        <w:spacing w:before="120" w:beforeAutospacing="0" w:after="280" w:afterAutospacing="1"/>
      </w:pPr>
      <w:r>
        <w:rPr>
          <w:rtl w:val="0"/>
        </w:rPr>
        <w:t>b) Người nộp thuế thực hiện khai vào tháng, quý phát hiện sai, sót nếu việc khai thuế được thực hiện vào tháng, quý phát sinh thuế giá trị gia tăng đầu vào bị sai, sót làm giảm số tiền thuế phải nộp hoặc chỉ làm tăng hoặc giảm số thuế giá trị gia tăng còn được khấu trừ chuyển sang tháng, quý sau.</w:t>
      </w:r>
    </w:p>
    <w:p>
      <w:pPr>
        <w:bidi w:val="0"/>
        <w:spacing w:before="120" w:beforeAutospacing="0" w:after="280" w:afterAutospacing="1"/>
      </w:pPr>
      <w:r>
        <w:rPr>
          <w:rtl w:val="0"/>
        </w:rPr>
        <w:t>7. Thuế giá trị gia tăng đầu vào của hàng hóa (kể cả hàng hóa mua ngoài hoặc hàng hóa do cơ sở kinh doanh tự sản xuất) mà cơ sở kinh doanh sử dụng để cho, biếu, tặng, khuyến mại, quảng cáo thì được khấu trừ.</w:t>
      </w:r>
    </w:p>
    <w:p>
      <w:pPr>
        <w:bidi w:val="0"/>
        <w:spacing w:before="120" w:beforeAutospacing="0" w:after="280" w:afterAutospacing="1"/>
      </w:pPr>
      <w:r>
        <w:rPr>
          <w:rtl w:val="0"/>
        </w:rPr>
        <w:t>8. Số thuế giá trị gia tăng đã nộp theo Quyết định ấn định thuế của cơ quan hải quan được khấu trừ toàn bộ, trừ trường hợp cơ quan hải quan xử phạt về gian lận, trốn thuế.</w:t>
      </w:r>
    </w:p>
    <w:p>
      <w:pPr>
        <w:bidi w:val="0"/>
        <w:spacing w:before="120" w:beforeAutospacing="0" w:after="280" w:afterAutospacing="1"/>
      </w:pPr>
      <w:r>
        <w:rPr>
          <w:rtl w:val="0"/>
        </w:rPr>
        <w:t>9. 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pPr>
        <w:bidi w:val="0"/>
        <w:spacing w:before="120" w:beforeAutospacing="0" w:after="280" w:afterAutospacing="1"/>
      </w:pPr>
      <w:r>
        <w:rPr>
          <w:rtl w:val="0"/>
        </w:rP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pPr>
        <w:bidi w:val="0"/>
        <w:spacing w:before="120" w:beforeAutospacing="0" w:after="280" w:afterAutospacing="1"/>
      </w:pPr>
      <w:r>
        <w:rPr>
          <w:rtl w:val="0"/>
        </w:rPr>
        <w:t>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bidi w:val="0"/>
        <w:spacing w:before="120" w:beforeAutospacing="0" w:after="280" w:afterAutospacing="1"/>
      </w:pPr>
      <w:r>
        <w:rPr>
          <w:rtl w:val="0"/>
        </w:rPr>
        <w:t xml:space="preserve">12. Đối với hàng hóa, dịch vụ chuyển từ đối tượng không chịu thuế giá trị gia tăng sang đối tượng chịu thuế giá trị gia tăng theo quy định tại </w:t>
      </w:r>
      <w:bookmarkStart w:id="140" w:name="tvpllink_cfonnkiqjn_1"/>
      <w:r>
        <w:rPr>
          <w:rtl w:val="0"/>
        </w:rPr>
        <w:t>Luật Thuế giá trị gia tăng</w:t>
      </w:r>
      <w:bookmarkEnd w:id="140"/>
      <w:r>
        <w:rPr>
          <w:rtl w:val="0"/>
        </w:rPr>
        <w:t>, cơ sở kinh doanh chỉ được kê khai, khấu trừ thuế giá trị gia tăng đầu vào của hàng hóa, dịch vụ sử dụng cho sản xuất, kinh doanh hàng hóa, dịch vụ chịu thuế giá trị gia tăng phát sinh từ ngày 01 tháng 7 năm 2025.</w:t>
      </w:r>
    </w:p>
    <w:p>
      <w:pPr>
        <w:bidi w:val="0"/>
        <w:spacing w:before="120" w:beforeAutospacing="0" w:after="280" w:afterAutospacing="1"/>
      </w:pPr>
      <w:r>
        <w:rPr>
          <w:rtl w:val="0"/>
        </w:rPr>
        <w:t>13. Cơ sở kinh doanh không được khấu trừ đối với thuế giá trị gia tăng đầu vào của tài sản cố định, máy móc, thiết bị trong các trường hợp sau:</w:t>
      </w:r>
    </w:p>
    <w:p>
      <w:pPr>
        <w:bidi w:val="0"/>
        <w:spacing w:before="120" w:beforeAutospacing="0" w:after="280" w:afterAutospacing="1"/>
      </w:pPr>
      <w:r>
        <w:rPr>
          <w:rtl w:val="0"/>
        </w:rPr>
        <w:t>a) Tài sản cố định, máy móc, thiết bị chuyên dùng phục vụ sản xuất sản phẩm quốc phòng, an ninh.</w:t>
      </w:r>
    </w:p>
    <w:p>
      <w:pPr>
        <w:bidi w:val="0"/>
        <w:spacing w:before="120" w:beforeAutospacing="0" w:after="280" w:afterAutospacing="1"/>
      </w:pPr>
      <w:r>
        <w:rPr>
          <w:rtl w:val="0"/>
        </w:rPr>
        <w:t>b) Tài sản cố định, máy móc, thiết bị của các tổ chức tín dụng, doanh nghiệp kinh doanh tái bảo hiểm, bảo hiểm nhân thọ, kinh doanh chứng khoán, cơ sở khám, chữa bệnh, cơ sở đào tạo.</w:t>
      </w:r>
    </w:p>
    <w:p>
      <w:pPr>
        <w:bidi w:val="0"/>
        <w:spacing w:before="120" w:beforeAutospacing="0" w:after="280" w:afterAutospacing="1"/>
      </w:pPr>
      <w:r>
        <w:rPr>
          <w:rtl w:val="0"/>
        </w:rPr>
        <w:t>c) Máy bay, trực thăng, tàu lượn dân dụng, du thuyền không sử dụng cho mục đích kinh doanh vận chuyển hàng hóa, hành khách, kinh doanh du lịch, khách sạn.</w:t>
      </w:r>
    </w:p>
    <w:p>
      <w:pPr>
        <w:bidi w:val="0"/>
        <w:spacing w:before="120" w:beforeAutospacing="0" w:after="280" w:afterAutospacing="1"/>
      </w:pPr>
      <w:r>
        <w:rPr>
          <w:rtl w:val="0"/>
        </w:rPr>
        <w:t>Việc không được khấu trừ quy định tại khoản này bao gồm cả thuế giá trị gia tăng đầu vào của hoạt động đi thuê và các chi phí sửa chữa tài sản cố định, máy móc, thiết bị (nếu có).</w:t>
      </w:r>
    </w:p>
    <w:p>
      <w:pPr>
        <w:bidi w:val="0"/>
        <w:spacing w:before="120" w:beforeAutospacing="0" w:after="280" w:afterAutospacing="1"/>
      </w:pPr>
      <w:r>
        <w:rPr>
          <w:rtl w:val="0"/>
        </w:rP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pPr>
        <w:bidi w:val="0"/>
        <w:spacing w:before="120" w:beforeAutospacing="0" w:after="280" w:afterAutospacing="1"/>
      </w:pPr>
      <w:r>
        <w:rPr>
          <w:rtl w:val="0"/>
        </w:rPr>
        <w:t xml:space="preserve">15. Cơ sở kinh doanh không đáp ứng quy định về khấu trừ thuế tại Mục 1, Mục 2 Chương III Nghị định này và các hóa đơn, chứng từ được lập từ các hành vi bị nghiêm cấm tại </w:t>
      </w:r>
      <w:bookmarkStart w:id="141" w:name="dc_23"/>
      <w:r>
        <w:rPr>
          <w:rtl w:val="0"/>
        </w:rPr>
        <w:t>Điều 13 Luật Thuế giá trị gia tăng</w:t>
      </w:r>
      <w:bookmarkEnd w:id="141"/>
      <w:r>
        <w:rPr>
          <w:rtl w:val="0"/>
        </w:rPr>
        <w:t xml:space="preserve"> thì không được khấu trừ thuế giá trị gia tăng.</w:t>
      </w:r>
    </w:p>
    <w:p>
      <w:pPr>
        <w:bidi w:val="0"/>
        <w:spacing w:before="120" w:beforeAutospacing="0" w:after="280" w:afterAutospacing="1"/>
      </w:pPr>
      <w:r>
        <w:rPr>
          <w:rtl w:val="0"/>
        </w:rPr>
        <w:t>16.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bidi w:val="0"/>
        <w:spacing w:before="120" w:beforeAutospacing="0" w:after="280" w:afterAutospacing="1"/>
      </w:pPr>
      <w:bookmarkStart w:id="142" w:name="dieu_24"/>
      <w:r>
        <w:rPr>
          <w:b/>
          <w:bCs/>
          <w:rtl w:val="0"/>
        </w:rPr>
        <w:t>Điều 24. Khấu trừ thuế giá trị gia tăng đối với một số trường hợp đặc thù</w:t>
      </w:r>
      <w:bookmarkEnd w:id="142"/>
    </w:p>
    <w:p>
      <w:pPr>
        <w:bidi w:val="0"/>
        <w:spacing w:before="120" w:beforeAutospacing="0" w:after="280" w:afterAutospacing="1"/>
      </w:pPr>
      <w:r>
        <w:rPr>
          <w:rtl w:val="0"/>
        </w:rPr>
        <w:t xml:space="preserve">Việc khấu trừ thuế giá trị gia tăng trong một số trường hợp quy định tại </w:t>
      </w:r>
      <w:bookmarkStart w:id="143" w:name="dc_24"/>
      <w:r>
        <w:rPr>
          <w:rtl w:val="0"/>
        </w:rPr>
        <w:t>điểm g khoản 1 Điều 14 Luật Thuế giá trị gia tăng</w:t>
      </w:r>
      <w:bookmarkEnd w:id="143"/>
      <w:r>
        <w:rPr>
          <w:rtl w:val="0"/>
        </w:rPr>
        <w:t xml:space="preserve"> thực hiện như sau:</w:t>
      </w:r>
    </w:p>
    <w:p>
      <w:pPr>
        <w:bidi w:val="0"/>
        <w:spacing w:before="120" w:beforeAutospacing="0" w:after="280" w:afterAutospacing="1"/>
      </w:pPr>
      <w:r>
        <w:rPr>
          <w:rtl w:val="0"/>
        </w:rPr>
        <w:t>1. Đối với hàng hóa, dịch vụ hình thành tài sản cố định phục vụ cho người lao động:</w:t>
      </w:r>
    </w:p>
    <w:p>
      <w:pPr>
        <w:bidi w:val="0"/>
        <w:spacing w:before="120" w:beforeAutospacing="0" w:after="280" w:afterAutospacing="1"/>
      </w:pPr>
      <w:r>
        <w:rPr>
          <w:rtl w:val="0"/>
        </w:rP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pPr>
        <w:bidi w:val="0"/>
        <w:spacing w:before="120" w:beforeAutospacing="0" w:after="280" w:afterAutospacing="1"/>
      </w:pPr>
      <w:r>
        <w:rPr>
          <w:rtl w:val="0"/>
        </w:rPr>
        <w:t>b) Trường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giá trị gia tăng 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pPr>
        <w:bidi w:val="0"/>
        <w:spacing w:before="120" w:beforeAutospacing="0" w:after="280" w:afterAutospacing="1"/>
      </w:pPr>
      <w:r>
        <w:rPr>
          <w:rtl w:val="0"/>
        </w:rPr>
        <w:t>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 của khoản tiền thuê nhà cho các chuyên gia nước ngoài này.</w:t>
      </w:r>
    </w:p>
    <w:p>
      <w:pPr>
        <w:bidi w:val="0"/>
        <w:spacing w:before="120" w:beforeAutospacing="0" w:after="280" w:afterAutospacing="1"/>
      </w:pPr>
      <w:r>
        <w:rPr>
          <w:rtl w:val="0"/>
        </w:rPr>
        <w:t>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w:t>
      </w:r>
    </w:p>
    <w:p>
      <w:pPr>
        <w:bidi w:val="0"/>
        <w:spacing w:before="120" w:beforeAutospacing="0" w:after="280" w:afterAutospacing="1"/>
      </w:pPr>
      <w:r>
        <w:rPr>
          <w:rtl w:val="0"/>
        </w:rP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pPr>
        <w:bidi w:val="0"/>
        <w:spacing w:before="120" w:beforeAutospacing="0" w:after="280" w:afterAutospacing="1"/>
      </w:pPr>
      <w:r>
        <w:rPr>
          <w:rtl w:val="0"/>
        </w:rP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 không dùng tiền mặt.</w:t>
      </w:r>
    </w:p>
    <w:p>
      <w:pPr>
        <w:bidi w:val="0"/>
        <w:spacing w:before="120" w:beforeAutospacing="0" w:after="280" w:afterAutospacing="1"/>
      </w:pPr>
      <w:r>
        <w:rPr>
          <w:rtl w:val="0"/>
        </w:rPr>
        <w:t>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pPr>
        <w:bidi w:val="0"/>
        <w:spacing w:before="120" w:beforeAutospacing="0" w:after="280" w:afterAutospacing="1"/>
      </w:pPr>
      <w:r>
        <w:rPr>
          <w:rtl w:val="0"/>
        </w:rP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pPr>
        <w:bidi w:val="0"/>
        <w:spacing w:before="120" w:beforeAutospacing="0" w:after="280" w:afterAutospacing="1"/>
      </w:pPr>
      <w:r>
        <w:rPr>
          <w:rtl w:val="0"/>
        </w:rP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pPr>
        <w:bidi w:val="0"/>
        <w:spacing w:before="120" w:beforeAutospacing="0" w:after="280" w:afterAutospacing="1"/>
      </w:pPr>
      <w:bookmarkStart w:id="144" w:name="muc_2_3"/>
      <w:r>
        <w:rPr>
          <w:b/>
          <w:bCs/>
          <w:color w:val="000000"/>
          <w:rtl w:val="0"/>
        </w:rPr>
        <w:t>Mục 2. ĐIỀU KIỆN KHẤU TRỪ THUẾ GIÁ TRỊ GIA TĂNG ĐẦU VÀO</w:t>
      </w:r>
      <w:bookmarkEnd w:id="144"/>
    </w:p>
    <w:p>
      <w:pPr>
        <w:bidi w:val="0"/>
        <w:spacing w:before="120" w:beforeAutospacing="0" w:after="280" w:afterAutospacing="1"/>
      </w:pPr>
      <w:bookmarkStart w:id="145" w:name="dieu_25"/>
      <w:r>
        <w:rPr>
          <w:b/>
          <w:bCs/>
          <w:color w:val="000000"/>
          <w:rtl w:val="0"/>
        </w:rPr>
        <w:t>Điều 25. Hóa đơn, chứng từ nộp thuế</w:t>
      </w:r>
      <w:bookmarkEnd w:id="145"/>
    </w:p>
    <w:p>
      <w:pPr>
        <w:bidi w:val="0"/>
        <w:spacing w:before="120" w:beforeAutospacing="0" w:after="280" w:afterAutospacing="1"/>
      </w:pPr>
      <w:r>
        <w:rPr>
          <w:color w:val="000000"/>
          <w:rtl w:val="0"/>
        </w:rPr>
        <w:t xml:space="preserve">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w:t>
      </w:r>
      <w:bookmarkStart w:id="146" w:name="dc_25"/>
      <w:r>
        <w:rPr>
          <w:color w:val="000000"/>
          <w:rtl w:val="0"/>
        </w:rPr>
        <w:t>điểm a khoản 2 Điều 14 Luật Thuế giá trị gia tăng</w:t>
      </w:r>
      <w:bookmarkEnd w:id="146"/>
      <w:r>
        <w:rPr>
          <w:color w:val="000000"/>
          <w:rtl w:val="0"/>
        </w:rPr>
        <w:t xml:space="preserve"> (bao gồm cả chứng từ nộp thuế giá trị gia tăng theo tỷ lệ </w:t>
      </w:r>
      <w:r>
        <w:rPr>
          <w:i/>
          <w:iCs/>
          <w:color w:val="000000"/>
          <w:rtl w:val="0"/>
        </w:rPr>
        <w:t>%</w:t>
      </w:r>
      <w:r>
        <w:rPr>
          <w:color w:val="000000"/>
          <w:rtl w:val="0"/>
        </w:rPr>
        <w:t xml:space="preserve"> nhân với doanh thu thay cho phía nước ngoài).</w:t>
      </w:r>
    </w:p>
    <w:p>
      <w:pPr>
        <w:bidi w:val="0"/>
        <w:spacing w:before="120" w:beforeAutospacing="0" w:after="280" w:afterAutospacing="1"/>
      </w:pPr>
      <w:bookmarkStart w:id="147" w:name="dieu_26"/>
      <w:r>
        <w:rPr>
          <w:b/>
          <w:bCs/>
          <w:color w:val="000000"/>
          <w:rtl w:val="0"/>
        </w:rPr>
        <w:t>Điều 26. Chứng từ thanh toán không dùng tiền mặt</w:t>
      </w:r>
      <w:bookmarkEnd w:id="147"/>
    </w:p>
    <w:p>
      <w:pPr>
        <w:bidi w:val="0"/>
        <w:spacing w:before="120" w:beforeAutospacing="0" w:after="280" w:afterAutospacing="1"/>
      </w:pPr>
      <w:r>
        <w:rPr>
          <w:color w:val="000000"/>
          <w:rtl w:val="0"/>
        </w:rPr>
        <w:t>Cơ sở kinh doanh phải có chứng từ thanh toán không dùng tiền mặt đối với hàng hóa, dịch vụ mua vào (bao gồm cả hàng hóa nhập khẩu) từ 05 triệu đồng trở lên đã bao gồm thuế giá trị gia tăng. Trong đó:</w:t>
      </w:r>
    </w:p>
    <w:p>
      <w:pPr>
        <w:bidi w:val="0"/>
        <w:spacing w:before="120" w:beforeAutospacing="0" w:after="280" w:afterAutospacing="1"/>
      </w:pPr>
      <w:r>
        <w:rPr>
          <w:color w:val="000000"/>
          <w:rtl w:val="0"/>
        </w:rPr>
        <w:t xml:space="preserve">1. Chứng từ thanh toán không dùng tiền mặt là chứng từ chứng minh việc thanh toán không dùng tiền mặt theo quy định của Nghị định số </w:t>
      </w:r>
      <w:bookmarkStart w:id="148" w:name="tvpllink_cucdgkxpcm"/>
      <w:r>
        <w:rPr>
          <w:color w:val="000000"/>
          <w:rtl w:val="0"/>
        </w:rPr>
        <w:t>52/2024/NĐ-CP</w:t>
      </w:r>
      <w:bookmarkEnd w:id="148"/>
      <w:r>
        <w:rPr>
          <w:color w:val="000000"/>
          <w:rtl w:val="0"/>
        </w:rPr>
        <w:t xml:space="preserve"> ngày 15 tháng 5 năm 2024 của Chính phủ về thanh toán không dùng tiền mặt, trừ các chứng từ bên mua nộp tiền mặt vào tài khoản của bên bán.</w:t>
      </w:r>
    </w:p>
    <w:p>
      <w:pPr>
        <w:bidi w:val="0"/>
        <w:spacing w:before="120" w:beforeAutospacing="0" w:after="280" w:afterAutospacing="1"/>
      </w:pPr>
      <w:bookmarkStart w:id="149" w:name="khoan_2_26"/>
      <w:r>
        <w:rPr>
          <w:color w:val="000000"/>
          <w:rtl w:val="0"/>
        </w:rPr>
        <w:t>2. Một số trường hợp đặc thù theo quy định tại</w:t>
      </w:r>
      <w:bookmarkEnd w:id="149"/>
      <w:r>
        <w:rPr>
          <w:color w:val="000000"/>
          <w:rtl w:val="0"/>
        </w:rPr>
        <w:t xml:space="preserve"> </w:t>
      </w:r>
      <w:bookmarkStart w:id="150" w:name="dc_26"/>
      <w:r>
        <w:rPr>
          <w:color w:val="000000"/>
          <w:rtl w:val="0"/>
        </w:rPr>
        <w:t>điểm b khoản 2 Điều 14 Luật Thuế giá trị gia tăng</w:t>
      </w:r>
      <w:bookmarkEnd w:id="150"/>
      <w:r>
        <w:rPr>
          <w:color w:val="000000"/>
          <w:rtl w:val="0"/>
        </w:rPr>
        <w:t xml:space="preserve"> </w:t>
      </w:r>
      <w:bookmarkStart w:id="151" w:name="khoan_2_26_name"/>
      <w:r>
        <w:rPr>
          <w:color w:val="000000"/>
          <w:rtl w:val="0"/>
        </w:rPr>
        <w:t>bao gồm:</w:t>
      </w:r>
      <w:bookmarkEnd w:id="151"/>
    </w:p>
    <w:p>
      <w:pPr>
        <w:bidi w:val="0"/>
        <w:spacing w:before="120" w:beforeAutospacing="0" w:after="280" w:afterAutospacing="1"/>
      </w:pPr>
      <w:r>
        <w:rPr>
          <w:color w:val="000000"/>
          <w:rtl w:val="0"/>
        </w:rPr>
        <w:t>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w:t>
      </w:r>
    </w:p>
    <w:p>
      <w:pPr>
        <w:bidi w:val="0"/>
        <w:spacing w:before="120" w:beforeAutospacing="0" w:after="280" w:afterAutospacing="1"/>
      </w:pPr>
      <w:r>
        <w:rPr>
          <w:color w:val="000000"/>
          <w:rtl w:val="0"/>
        </w:rPr>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pPr>
        <w:bidi w:val="0"/>
        <w:spacing w:before="120" w:beforeAutospacing="0" w:after="280" w:afterAutospacing="1"/>
      </w:pPr>
      <w:r>
        <w:rPr>
          <w:color w:val="000000"/>
          <w:rtl w:val="0"/>
        </w:rPr>
        <w:t>c) Trường hợp hàng hóa, dịch vụ mua vào được thanh toán ủy quyền qua bên thứ ba thanh toán không dùng tiền mặt (bao gồm cả trường hợp bên bán yêu cầu bên mua thanh toán không dùng tiền mặt cho bên thứ ba do bên bán chỉ định) thì việc thanh toán theo ủy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pPr>
        <w:bidi w:val="0"/>
        <w:spacing w:before="120" w:beforeAutospacing="0" w:after="280" w:afterAutospacing="1"/>
      </w:pPr>
      <w:r>
        <w:rPr>
          <w:color w:val="000000"/>
          <w:rtl w:val="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pPr>
        <w:bidi w:val="0"/>
        <w:spacing w:before="120" w:beforeAutospacing="0" w:after="280" w:afterAutospacing="1"/>
      </w:pPr>
      <w:r>
        <w:rPr>
          <w:color w:val="000000"/>
          <w:rtl w:val="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pPr>
        <w:bidi w:val="0"/>
        <w:spacing w:before="120" w:beforeAutospacing="0" w:after="280" w:afterAutospacing="1"/>
      </w:pPr>
      <w:r>
        <w:rPr>
          <w:color w:val="000000"/>
          <w:rtl w:val="0"/>
        </w:rPr>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pPr>
        <w:bidi w:val="0"/>
        <w:spacing w:before="120" w:beforeAutospacing="0" w:after="280" w:afterAutospacing="1"/>
      </w:pPr>
      <w:bookmarkStart w:id="152" w:name="diem_g_2_26"/>
      <w:r>
        <w:rPr>
          <w:color w:val="000000"/>
          <w:rtl w:val="0"/>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w:t>
      </w:r>
      <w:bookmarkEnd w:id="152"/>
      <w:r>
        <w:rPr>
          <w:color w:val="000000"/>
          <w:rtl w:val="0"/>
        </w:rPr>
        <w:t xml:space="preserve"> </w:t>
      </w:r>
      <w:bookmarkStart w:id="153" w:name="diem_g_2_26_name"/>
      <w:r>
        <w:rPr>
          <w:color w:val="000000"/>
          <w:rtl w:val="0"/>
        </w:rPr>
        <w:t>Trường hợp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bookmarkEnd w:id="153"/>
    </w:p>
    <w:p>
      <w:pPr>
        <w:bidi w:val="0"/>
        <w:spacing w:before="120" w:beforeAutospacing="0" w:after="280" w:afterAutospacing="1"/>
      </w:pPr>
      <w:r>
        <w:rPr>
          <w:color w:val="000000"/>
          <w:rtl w:val="0"/>
        </w:rPr>
        <w:t>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pPr>
        <w:bidi w:val="0"/>
        <w:spacing w:before="120" w:beforeAutospacing="0" w:after="280" w:afterAutospacing="1"/>
      </w:pPr>
      <w:r>
        <w:rPr>
          <w:color w:val="000000"/>
          <w:rtl w:val="0"/>
        </w:rPr>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pPr>
        <w:bidi w:val="0"/>
        <w:spacing w:before="120" w:beforeAutospacing="0" w:after="280" w:afterAutospacing="1"/>
      </w:pPr>
      <w:r>
        <w:rPr>
          <w:color w:val="000000"/>
          <w:rtl w:val="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pPr>
        <w:bidi w:val="0"/>
        <w:spacing w:before="120" w:beforeAutospacing="0" w:after="280" w:afterAutospacing="1"/>
      </w:pPr>
      <w:bookmarkStart w:id="154" w:name="dieu_27"/>
      <w:r>
        <w:rPr>
          <w:b/>
          <w:bCs/>
          <w:color w:val="000000"/>
          <w:rtl w:val="0"/>
        </w:rPr>
        <w:t>Điều 27. Điều kiện khấu trừ thuế giá trị gia tăng đầu vào đối với hàng hóa, dịch vụ xuất khẩu</w:t>
      </w:r>
      <w:bookmarkEnd w:id="154"/>
    </w:p>
    <w:p>
      <w:pPr>
        <w:bidi w:val="0"/>
        <w:spacing w:before="120" w:beforeAutospacing="0" w:after="280" w:afterAutospacing="1"/>
      </w:pPr>
      <w:r>
        <w:rPr>
          <w:color w:val="000000"/>
          <w:rtl w:val="0"/>
        </w:rPr>
        <w:t xml:space="preserve">Đối với hàng hóa, dịch vụ xuất khẩu, ngoài các điều kiện quy định tại </w:t>
      </w:r>
      <w:bookmarkStart w:id="155" w:name="tc_10"/>
      <w:r>
        <w:rPr>
          <w:color w:val="000000"/>
          <w:rtl w:val="0"/>
        </w:rPr>
        <w:t>Điều 25, Điều 26 Nghị định này</w:t>
      </w:r>
      <w:bookmarkEnd w:id="155"/>
      <w:r>
        <w:rPr>
          <w:color w:val="000000"/>
          <w:rtl w:val="0"/>
        </w:rPr>
        <w:t xml:space="preserve">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pPr>
        <w:bidi w:val="0"/>
        <w:spacing w:before="120" w:beforeAutospacing="0" w:after="280" w:afterAutospacing="1"/>
      </w:pPr>
      <w:r>
        <w:rPr>
          <w:color w:val="000000"/>
          <w:rtl w:val="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pPr>
        <w:bidi w:val="0"/>
        <w:spacing w:before="120" w:beforeAutospacing="0" w:after="280" w:afterAutospacing="1"/>
      </w:pPr>
      <w:r>
        <w:rPr>
          <w:color w:val="000000"/>
          <w:rtl w:val="0"/>
        </w:rPr>
        <w:t>2. Đối với tờ khai hải quan hàng hóa xuất khẩu: tờ khai đã hoàn thành thủ tục hải quan theo quy định của pháp luật về hải quan.</w:t>
      </w:r>
    </w:p>
    <w:p>
      <w:pPr>
        <w:bidi w:val="0"/>
        <w:spacing w:before="120" w:beforeAutospacing="0" w:after="280" w:afterAutospacing="1"/>
      </w:pPr>
      <w:r>
        <w:rPr>
          <w:color w:val="000000"/>
          <w:rtl w:val="0"/>
        </w:rPr>
        <w:t>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Trường hợp bên nước ngoài thanh toán trực tiếp cho bên ủy thác xuất khẩu thì bên ủy thác phải có chứng từ thanh toán không dùng tiền mặt và việc thanh toán này phải được quy định trong hợp đồng. Trường hợp bên xuất khẩu bán các khoản phải thu của bên nhập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không phải đáp ứng điều kiện chứng từ thanh toán không dùng tiền mặt như sau:</w:t>
      </w:r>
    </w:p>
    <w:p>
      <w:pPr>
        <w:bidi w:val="0"/>
        <w:spacing w:before="120" w:beforeAutospacing="0" w:after="280" w:afterAutospacing="1"/>
      </w:pPr>
      <w:r>
        <w:rPr>
          <w:color w:val="000000"/>
          <w:rtl w:val="0"/>
        </w:rPr>
        <w:t>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 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w:t>
      </w:r>
    </w:p>
    <w:p>
      <w:pPr>
        <w:bidi w:val="0"/>
        <w:spacing w:before="120" w:beforeAutospacing="0" w:after="280" w:afterAutospacing="1"/>
      </w:pPr>
      <w:r>
        <w:rPr>
          <w:color w:val="000000"/>
          <w:rtl w:val="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pPr>
        <w:bidi w:val="0"/>
        <w:spacing w:before="120" w:beforeAutospacing="0" w:after="280" w:afterAutospacing="1"/>
      </w:pPr>
      <w:r>
        <w:rPr>
          <w:color w:val="000000"/>
          <w:rtl w:val="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pPr>
        <w:bidi w:val="0"/>
        <w:spacing w:before="120" w:beforeAutospacing="0" w:after="280" w:afterAutospacing="1"/>
      </w:pPr>
      <w:r>
        <w:rPr>
          <w:color w:val="000000"/>
          <w:rtl w:val="0"/>
        </w:rPr>
        <w:t>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pPr>
        <w:bidi w:val="0"/>
        <w:spacing w:before="120" w:beforeAutospacing="0" w:after="280" w:afterAutospacing="1"/>
      </w:pPr>
      <w:r>
        <w:rPr>
          <w:color w:val="000000"/>
          <w:rtl w:val="0"/>
        </w:rPr>
        <w:t>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pPr>
        <w:bidi w:val="0"/>
        <w:spacing w:before="120" w:beforeAutospacing="0" w:after="280" w:afterAutospacing="1"/>
      </w:pPr>
      <w:r>
        <w:rPr>
          <w:color w:val="000000"/>
          <w:rtl w:val="0"/>
        </w:rPr>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pPr>
        <w:bidi w:val="0"/>
        <w:spacing w:before="120" w:beforeAutospacing="0" w:after="280" w:afterAutospacing="1"/>
      </w:pPr>
      <w:r>
        <w:rPr>
          <w:color w:val="000000"/>
          <w:rtl w:val="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pPr>
        <w:bidi w:val="0"/>
        <w:spacing w:before="120" w:beforeAutospacing="0" w:after="280" w:afterAutospacing="1"/>
      </w:pPr>
      <w:r>
        <w:rPr>
          <w:color w:val="000000"/>
          <w:rtl w:val="0"/>
        </w:rPr>
        <w:t>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 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pPr>
        <w:bidi w:val="0"/>
        <w:spacing w:before="120" w:beforeAutospacing="0" w:after="280" w:afterAutospacing="1"/>
      </w:pPr>
      <w:r>
        <w:rPr>
          <w:color w:val="000000"/>
          <w:rtl w:val="0"/>
        </w:rPr>
        <w:t>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pPr>
        <w:bidi w:val="0"/>
        <w:spacing w:before="120" w:beforeAutospacing="0" w:after="280" w:afterAutospacing="1"/>
      </w:pPr>
      <w:r>
        <w:rPr>
          <w:color w:val="000000"/>
          <w:rtl w:val="0"/>
        </w:rPr>
        <w:t>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pPr>
        <w:bidi w:val="0"/>
        <w:spacing w:before="120" w:beforeAutospacing="0" w:after="280" w:afterAutospacing="1"/>
      </w:pPr>
      <w:r>
        <w:rPr>
          <w:color w:val="000000"/>
          <w:rtl w:val="0"/>
        </w:rPr>
        <w:t>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pPr>
        <w:bidi w:val="0"/>
        <w:spacing w:before="120" w:beforeAutospacing="0" w:after="280" w:afterAutospacing="1"/>
      </w:pPr>
      <w:r>
        <w:rPr>
          <w:color w:val="000000"/>
          <w:rtl w:val="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pPr>
        <w:bidi w:val="0"/>
        <w:spacing w:before="120" w:beforeAutospacing="0" w:after="280" w:afterAutospacing="1"/>
      </w:pPr>
      <w:r>
        <w:rPr>
          <w:color w:val="000000"/>
          <w:rtl w:val="0"/>
        </w:rPr>
        <w:t>n) Trường hợp xuất khẩu lao động mà cơ sở kinh doanh xuất khẩu lao động thu tiền trực tiếp của người lao động thì phải có chứng từ thu tiền của người lao động.</w:t>
      </w:r>
    </w:p>
    <w:p>
      <w:pPr>
        <w:bidi w:val="0"/>
        <w:spacing w:before="120" w:beforeAutospacing="0" w:after="280" w:afterAutospacing="1"/>
      </w:pPr>
      <w:r>
        <w:rPr>
          <w:color w:val="000000"/>
          <w:rtl w:val="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pPr>
        <w:bidi w:val="0"/>
        <w:spacing w:before="120" w:beforeAutospacing="0" w:after="280" w:afterAutospacing="1"/>
      </w:pPr>
      <w:r>
        <w:rPr>
          <w:color w:val="000000"/>
          <w:rtl w:val="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pPr>
        <w:bidi w:val="0"/>
        <w:spacing w:before="120" w:beforeAutospacing="0" w:after="280" w:afterAutospacing="1"/>
      </w:pPr>
      <w:r>
        <w:rPr>
          <w:color w:val="000000"/>
          <w:rtl w:val="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pPr>
        <w:bidi w:val="0"/>
        <w:spacing w:before="120" w:beforeAutospacing="0" w:after="280" w:afterAutospacing="1"/>
      </w:pPr>
      <w:r>
        <w:rPr>
          <w:color w:val="000000"/>
          <w:rtl w:val="0"/>
        </w:rPr>
        <w:t>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(01 bản sao).</w:t>
      </w:r>
    </w:p>
    <w:p>
      <w:pPr>
        <w:bidi w:val="0"/>
        <w:spacing w:before="120" w:beforeAutospacing="0" w:after="280" w:afterAutospacing="1"/>
      </w:pPr>
      <w:r>
        <w:rPr>
          <w:color w:val="000000"/>
          <w:rtl w:val="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pPr>
        <w:bidi w:val="0"/>
        <w:spacing w:before="120" w:beforeAutospacing="0" w:after="280" w:afterAutospacing="1"/>
      </w:pPr>
      <w:r>
        <w:rPr>
          <w:color w:val="000000"/>
          <w:rtl w:val="0"/>
        </w:rPr>
        <w:t>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w:t>
      </w:r>
    </w:p>
    <w:p>
      <w:pPr>
        <w:bidi w:val="0"/>
        <w:spacing w:before="120" w:beforeAutospacing="0" w:after="280" w:afterAutospacing="1"/>
      </w:pPr>
      <w:r>
        <w:rPr>
          <w:color w:val="000000"/>
          <w:rtl w:val="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pPr>
        <w:bidi w:val="0"/>
        <w:spacing w:before="120" w:beforeAutospacing="0" w:after="280" w:afterAutospacing="1"/>
      </w:pPr>
      <w:r>
        <w:rPr>
          <w:color w:val="000000"/>
          <w:rtl w:val="0"/>
        </w:rPr>
        <w:t>4. Đối với hóa đơn bán hàng hóa, cung cấp dịch vụ: hóa đơn thương mại hoặc hóa đơn giá trị gia tăng theo quy định của pháp luật về hóa đơn, chứng từ.</w:t>
      </w:r>
    </w:p>
    <w:p>
      <w:pPr>
        <w:bidi w:val="0"/>
        <w:spacing w:before="120" w:beforeAutospacing="0" w:after="280" w:afterAutospacing="1"/>
      </w:pPr>
      <w:bookmarkStart w:id="156" w:name="dieu_28"/>
      <w:r>
        <w:rPr>
          <w:b/>
          <w:bCs/>
          <w:color w:val="000000"/>
          <w:rtl w:val="0"/>
        </w:rPr>
        <w:t>Điều 28. Điều kiện khấu trừ thuế giá trị gia tăng đầu vào đối với một số trường hợp hàng hóa, dịch vụ đặc thù</w:t>
      </w:r>
      <w:bookmarkEnd w:id="156"/>
    </w:p>
    <w:p>
      <w:pPr>
        <w:bidi w:val="0"/>
        <w:spacing w:before="120" w:beforeAutospacing="0" w:after="280" w:afterAutospacing="1"/>
      </w:pPr>
      <w:r>
        <w:rPr>
          <w:color w:val="000000"/>
          <w:rtl w:val="0"/>
        </w:rPr>
        <w:t xml:space="preserve">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w:t>
      </w:r>
      <w:bookmarkStart w:id="157" w:name="tc_11"/>
      <w:r>
        <w:rPr>
          <w:color w:val="000000"/>
          <w:rtl w:val="0"/>
        </w:rPr>
        <w:t>Điều 25, Điều 26 Nghị định này</w:t>
      </w:r>
      <w:bookmarkEnd w:id="157"/>
      <w:r>
        <w:rPr>
          <w:color w:val="000000"/>
          <w:rtl w:val="0"/>
        </w:rPr>
        <w:t>, cơ sở xuất khẩu hàng hóa phải có tài liệu chứng minh việc đã xuất bán hàng hóa ở ngoài Việt Nam. Trong đó:</w:t>
      </w:r>
    </w:p>
    <w:p>
      <w:pPr>
        <w:bidi w:val="0"/>
        <w:spacing w:before="120" w:beforeAutospacing="0" w:after="280" w:afterAutospacing="1"/>
      </w:pPr>
      <w:r>
        <w:rPr>
          <w:color w:val="000000"/>
          <w:rtl w:val="0"/>
        </w:rPr>
        <w:t>1. 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pPr>
        <w:bidi w:val="0"/>
        <w:spacing w:before="120" w:beforeAutospacing="0" w:after="280" w:afterAutospacing="1"/>
      </w:pPr>
      <w:r>
        <w:rPr>
          <w:color w:val="000000"/>
          <w:rtl w:val="0"/>
        </w:rPr>
        <w:t>2. 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pPr>
        <w:bidi w:val="0"/>
        <w:spacing w:before="120" w:beforeAutospacing="0" w:after="280" w:afterAutospacing="1"/>
      </w:pPr>
      <w:r>
        <w:rPr>
          <w:color w:val="000000"/>
          <w:rtl w:val="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pPr>
        <w:bidi w:val="0"/>
        <w:spacing w:before="120" w:beforeAutospacing="0" w:after="280" w:afterAutospacing="1"/>
      </w:pPr>
      <w:r>
        <w:rPr>
          <w:color w:val="000000"/>
          <w:rtl w:val="0"/>
        </w:rPr>
        <w:t xml:space="preserve">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w:t>
      </w:r>
      <w:bookmarkStart w:id="158" w:name="bieumau_pl_03"/>
      <w:r>
        <w:rPr>
          <w:color w:val="000000"/>
          <w:rtl w:val="0"/>
        </w:rPr>
        <w:t>Phụ lục III</w:t>
      </w:r>
      <w:bookmarkEnd w:id="158"/>
      <w:r>
        <w:rPr>
          <w:color w:val="000000"/>
          <w:rtl w:val="0"/>
        </w:rPr>
        <w:t xml:space="preserve"> ban hành kèm theo Nghị định này.</w:t>
      </w:r>
    </w:p>
    <w:p>
      <w:pPr>
        <w:bidi w:val="0"/>
        <w:spacing w:before="120" w:beforeAutospacing="0" w:after="280" w:afterAutospacing="1"/>
      </w:pPr>
      <w:r>
        <w:rPr>
          <w:color w:val="000000"/>
          <w:rtl w:val="0"/>
        </w:rPr>
        <w:t xml:space="preserve">5. Đối với sản phẩm nội dung thông tin số cung cấp cho bên nước ngoài: cơ sở kinh doanh cung cấp dịch vụ phải có hồ sơ, tài liệu chứng minh dịch vụ được tiêu dùng ở ngoài Việt Nam theo quy định tại </w:t>
      </w:r>
      <w:bookmarkStart w:id="159" w:name="tc_12"/>
      <w:r>
        <w:rPr>
          <w:color w:val="000000"/>
          <w:rtl w:val="0"/>
        </w:rPr>
        <w:t>điểm d khoản 3 Điều 17 Nghị định này</w:t>
      </w:r>
      <w:bookmarkEnd w:id="159"/>
      <w:r>
        <w:rPr>
          <w:color w:val="000000"/>
          <w:rtl w:val="0"/>
        </w:rPr>
        <w:t xml:space="preserve"> và có chứng từ thanh toán không dùng tiền mặt.</w:t>
      </w:r>
    </w:p>
    <w:p>
      <w:pPr>
        <w:bidi w:val="0"/>
        <w:spacing w:before="120" w:beforeAutospacing="0" w:after="280" w:afterAutospacing="1"/>
      </w:pPr>
      <w:r>
        <w:rPr>
          <w:rtl w:val="0"/>
        </w:rP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pPr>
        <w:bidi w:val="0"/>
        <w:spacing w:before="120" w:beforeAutospacing="0" w:after="280" w:afterAutospacing="1"/>
      </w:pPr>
      <w:bookmarkStart w:id="160" w:name="khoan_7_28"/>
      <w:r>
        <w:rPr>
          <w:rtl w:val="0"/>
        </w:rPr>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bookmarkEnd w:id="160"/>
    </w:p>
    <w:p>
      <w:pPr>
        <w:bidi w:val="0"/>
        <w:spacing w:before="120" w:beforeAutospacing="0" w:after="280" w:afterAutospacing="1"/>
      </w:pPr>
      <w:r>
        <w:rPr>
          <w:rtl w:val="0"/>
        </w:rP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pPr>
        <w:bidi w:val="0"/>
        <w:spacing w:before="120" w:beforeAutospacing="0" w:after="280" w:afterAutospacing="1"/>
      </w:pPr>
      <w:r>
        <w:rPr>
          <w:rtl w:val="0"/>
        </w:rP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 đầu vào, không phải tính thuế giá trị gia tăng đầu ra.</w:t>
      </w:r>
    </w:p>
    <w:p>
      <w:pPr>
        <w:bidi w:val="0"/>
        <w:spacing w:before="120" w:beforeAutospacing="0" w:after="280" w:afterAutospacing="1"/>
      </w:pPr>
      <w:bookmarkStart w:id="161" w:name="muc_3_3"/>
      <w:r>
        <w:rPr>
          <w:b/>
          <w:bCs/>
          <w:rtl w:val="0"/>
        </w:rPr>
        <w:t>Mục 3. HOÀN THUẾ GIÁ TRỊ GIA TĂNG</w:t>
      </w:r>
      <w:bookmarkEnd w:id="161"/>
    </w:p>
    <w:p>
      <w:pPr>
        <w:bidi w:val="0"/>
        <w:spacing w:before="120" w:beforeAutospacing="0" w:after="280" w:afterAutospacing="1"/>
      </w:pPr>
      <w:bookmarkStart w:id="162" w:name="dieu_29"/>
      <w:r>
        <w:rPr>
          <w:b/>
          <w:bCs/>
          <w:rtl w:val="0"/>
        </w:rPr>
        <w:t>Điều 29. Hoàn thuế đối với xuất khẩu</w:t>
      </w:r>
      <w:bookmarkEnd w:id="162"/>
    </w:p>
    <w:p>
      <w:pPr>
        <w:bidi w:val="0"/>
        <w:spacing w:before="120" w:beforeAutospacing="0" w:after="280" w:afterAutospacing="1"/>
      </w:pPr>
      <w:r>
        <w:rPr>
          <w:rtl w:val="0"/>
        </w:rPr>
        <w:t>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w:t>
      </w:r>
    </w:p>
    <w:p>
      <w:pPr>
        <w:bidi w:val="0"/>
        <w:spacing w:before="120" w:beforeAutospacing="0" w:after="280" w:afterAutospacing="1"/>
      </w:pPr>
      <w:r>
        <w:rPr>
          <w:rtl w:val="0"/>
        </w:rP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pPr>
        <w:bidi w:val="0"/>
        <w:spacing w:before="120" w:beforeAutospacing="0" w:after="280" w:afterAutospacing="1"/>
      </w:pPr>
      <w:r>
        <w:rPr>
          <w:rtl w:val="0"/>
        </w:rPr>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pPr>
        <w:bidi w:val="0"/>
        <w:spacing w:before="120" w:beforeAutospacing="0" w:after="280" w:afterAutospacing="1"/>
      </w:pPr>
      <w:bookmarkStart w:id="163" w:name="khoan_2_29"/>
      <w:r>
        <w:rPr>
          <w:rtl w:val="0"/>
        </w:rPr>
        <w:t>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thi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w:t>
      </w:r>
      <w:bookmarkEnd w:id="163"/>
    </w:p>
    <w:p>
      <w:pPr>
        <w:bidi w:val="0"/>
        <w:spacing w:before="120" w:beforeAutospacing="0" w:after="280" w:afterAutospacing="1"/>
      </w:pPr>
      <w:bookmarkStart w:id="164" w:name="dieu_30"/>
      <w:r>
        <w:rPr>
          <w:b/>
          <w:bCs/>
          <w:rtl w:val="0"/>
        </w:rPr>
        <w:t>Điều 30. Hoàn thuế đối với đầu tư</w:t>
      </w:r>
      <w:bookmarkEnd w:id="164"/>
    </w:p>
    <w:p>
      <w:pPr>
        <w:bidi w:val="0"/>
        <w:spacing w:before="120" w:beforeAutospacing="0" w:after="280" w:afterAutospacing="1"/>
      </w:pPr>
      <w:r>
        <w:rPr>
          <w:rtl w:val="0"/>
        </w:rP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pPr>
        <w:bidi w:val="0"/>
        <w:spacing w:before="120" w:beforeAutospacing="0" w:after="280" w:afterAutospacing="1"/>
      </w:pPr>
      <w:r>
        <w:rPr>
          <w:rtl w:val="0"/>
        </w:rPr>
        <w:t>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pPr>
        <w:bidi w:val="0"/>
        <w:spacing w:before="120" w:beforeAutospacing="0" w:after="280" w:afterAutospacing="1"/>
      </w:pPr>
      <w:r>
        <w:rPr>
          <w:rtl w:val="0"/>
        </w:rPr>
        <w:t>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pPr>
        <w:bidi w:val="0"/>
        <w:spacing w:before="120" w:beforeAutospacing="0" w:after="280" w:afterAutospacing="1"/>
      </w:pPr>
      <w:r>
        <w:rPr>
          <w:rtl w:val="0"/>
        </w:rPr>
        <w:t>2. 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w:t>
      </w:r>
    </w:p>
    <w:p>
      <w:pPr>
        <w:bidi w:val="0"/>
        <w:spacing w:before="120" w:beforeAutospacing="0" w:after="280" w:afterAutospacing="1"/>
      </w:pPr>
      <w:r>
        <w:rPr>
          <w:rtl w:val="0"/>
        </w:rP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pPr>
        <w:bidi w:val="0"/>
        <w:spacing w:before="120" w:beforeAutospacing="0" w:after="280" w:afterAutospacing="1"/>
      </w:pPr>
      <w:r>
        <w:rPr>
          <w:rtl w:val="0"/>
        </w:rPr>
        <w:t>a) Dự án đầu tư của cơ sở kinh doanh không góp đủ số vốn điều lệ như đã đăng ký tại thời điểm nộp hồ sơ hoàn thuế.</w:t>
      </w:r>
    </w:p>
    <w:p>
      <w:pPr>
        <w:bidi w:val="0"/>
        <w:spacing w:before="120" w:beforeAutospacing="0" w:after="280" w:afterAutospacing="1"/>
      </w:pPr>
      <w:r>
        <w:rPr>
          <w:rtl w:val="0"/>
        </w:rP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pPr>
        <w:bidi w:val="0"/>
        <w:spacing w:before="120" w:beforeAutospacing="0" w:after="280" w:afterAutospacing="1"/>
      </w:pPr>
      <w:r>
        <w:rPr>
          <w:rtl w:val="0"/>
        </w:rPr>
        <w:t>c) Dự án đầu tư của cơ sở kinh doanh ngành, nghề đầu tư kinh doanh có điều kiện không bảo đảm duy trì đủ điều kiện kinh doanh trong quá trình hoạt động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pPr>
        <w:bidi w:val="0"/>
        <w:spacing w:before="120" w:beforeAutospacing="0" w:after="280" w:afterAutospacing="1"/>
      </w:pPr>
      <w:r>
        <w:rPr>
          <w:rtl w:val="0"/>
        </w:rPr>
        <w:t xml:space="preserve">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w:t>
      </w:r>
      <w:bookmarkStart w:id="165" w:name="tc_13"/>
      <w:r>
        <w:rPr>
          <w:rtl w:val="0"/>
        </w:rPr>
        <w:t>khoản 14 Điều 4 của Nghị định này</w:t>
      </w:r>
      <w:bookmarkEnd w:id="165"/>
      <w:r>
        <w:rPr>
          <w:rtl w:val="0"/>
        </w:rPr>
        <w:t>.</w:t>
      </w:r>
    </w:p>
    <w:p>
      <w:pPr>
        <w:bidi w:val="0"/>
        <w:spacing w:before="120" w:beforeAutospacing="0" w:after="280" w:afterAutospacing="1"/>
      </w:pPr>
      <w:bookmarkStart w:id="166" w:name="dieu_31"/>
      <w:r>
        <w:rPr>
          <w:b/>
          <w:bCs/>
          <w:rtl w:val="0"/>
        </w:rPr>
        <w:t>Điều 31. Hoàn thuế đối với hàng hóa, dịch vụ chịu thuế suất thuế giá trị gia tăng 5%</w:t>
      </w:r>
      <w:bookmarkEnd w:id="166"/>
    </w:p>
    <w:p>
      <w:pPr>
        <w:bidi w:val="0"/>
        <w:spacing w:before="120" w:beforeAutospacing="0" w:after="280" w:afterAutospacing="1"/>
      </w:pPr>
      <w:r>
        <w:rPr>
          <w:rtl w:val="0"/>
        </w:rPr>
        <w:t>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Bộ Tài chính quy định cách xác định số thuế giá trị gia tăng được hoàn đối với hoạt động sản xuất hàng hóa, cung cấp dịch vụ chịu thuế suất thuế giá trị gia tăng 5%.</w:t>
      </w:r>
    </w:p>
    <w:p>
      <w:pPr>
        <w:bidi w:val="0"/>
        <w:spacing w:before="120" w:beforeAutospacing="0" w:after="280" w:afterAutospacing="1"/>
      </w:pPr>
      <w:bookmarkStart w:id="167" w:name="dieu_32"/>
      <w:r>
        <w:rPr>
          <w:b/>
          <w:bCs/>
          <w:rtl w:val="0"/>
        </w:rPr>
        <w:t>Điều 32. Hoàn thuế đối với cơ sở kinh doanh khi giải thể, phá sản</w:t>
      </w:r>
      <w:bookmarkEnd w:id="167"/>
    </w:p>
    <w:p>
      <w:pPr>
        <w:bidi w:val="0"/>
        <w:spacing w:before="120" w:beforeAutospacing="0" w:after="280" w:afterAutospacing="1"/>
      </w:pPr>
      <w:r>
        <w:rPr>
          <w:rtl w:val="0"/>
        </w:rPr>
        <w:t xml:space="preserve">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w:t>
      </w:r>
      <w:bookmarkStart w:id="168" w:name="tc_14"/>
      <w:r>
        <w:rPr>
          <w:rtl w:val="0"/>
        </w:rPr>
        <w:t>khoản 1 Điều 30 Nghị định này</w:t>
      </w:r>
      <w:bookmarkEnd w:id="168"/>
      <w:r>
        <w:rPr>
          <w:rtl w:val="0"/>
        </w:rPr>
        <w:t>). Cơ sở kinh doanh phải thực hiện theo quy định của pháp luật về giải thể, phá sản và quản lý thuế. 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pPr>
        <w:bidi w:val="0"/>
        <w:spacing w:before="120" w:beforeAutospacing="0" w:after="280" w:afterAutospacing="1"/>
      </w:pPr>
      <w:bookmarkStart w:id="169" w:name="dieu_33"/>
      <w:r>
        <w:rPr>
          <w:b/>
          <w:bCs/>
          <w:rtl w:val="0"/>
        </w:rPr>
        <w:t>Điều 33. Hoàn thuế đối với hàng hóa mua tại Việt Nam mang theo khi xuất cảnh</w:t>
      </w:r>
      <w:bookmarkEnd w:id="169"/>
    </w:p>
    <w:p>
      <w:pPr>
        <w:bidi w:val="0"/>
        <w:spacing w:before="120" w:beforeAutospacing="0" w:after="280" w:afterAutospacing="1"/>
      </w:pPr>
      <w:r>
        <w:rPr>
          <w:rtl w:val="0"/>
        </w:rPr>
        <w:t xml:space="preserve">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w:t>
      </w:r>
      <w:bookmarkStart w:id="170" w:name="bieumau_pl_04"/>
      <w:r>
        <w:rPr>
          <w:rtl w:val="0"/>
        </w:rPr>
        <w:t>Phụ lục IV</w:t>
      </w:r>
      <w:bookmarkEnd w:id="170"/>
      <w:r>
        <w:rPr>
          <w:rtl w:val="0"/>
        </w:rPr>
        <w:t xml:space="preserve"> ban hành kèm theo Nghị định này.</w:t>
      </w:r>
    </w:p>
    <w:p>
      <w:pPr>
        <w:bidi w:val="0"/>
        <w:spacing w:before="120" w:beforeAutospacing="0" w:after="280" w:afterAutospacing="1"/>
      </w:pPr>
      <w:bookmarkStart w:id="171" w:name="dieu_34"/>
      <w:r>
        <w:rPr>
          <w:b/>
          <w:bCs/>
          <w:rtl w:val="0"/>
        </w:rPr>
        <w:t>Điều 34. Hoàn thuế đối với các chương trình, dự án sử dụng vốn hỗ trợ phát triển chính thức (ODA) không hoàn lại hoặc viện trợ không hoàn lại, viện trợ nhân đạo</w:t>
      </w:r>
      <w:bookmarkEnd w:id="171"/>
    </w:p>
    <w:p>
      <w:pPr>
        <w:bidi w:val="0"/>
        <w:spacing w:before="120" w:beforeAutospacing="0" w:after="280" w:afterAutospacing="1"/>
      </w:pPr>
      <w:r>
        <w:rPr>
          <w:rtl w:val="0"/>
        </w:rPr>
        <w:t>Việc hoàn thuế giá trị gia tăng đối với các chương trình, dự án sử dụng vốn hỗ trợ phát triển chính thức (ODA) không hoàn lại hoặc viện trợ không hoàn lại, viện trợ nhân đạo được quy định như sau:</w:t>
      </w:r>
    </w:p>
    <w:p>
      <w:pPr>
        <w:bidi w:val="0"/>
        <w:spacing w:before="120" w:beforeAutospacing="0" w:after="280" w:afterAutospacing="1"/>
      </w:pPr>
      <w:r>
        <w:rPr>
          <w:rtl w:val="0"/>
        </w:rP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pPr>
        <w:bidi w:val="0"/>
        <w:spacing w:before="120" w:beforeAutospacing="0" w:after="280" w:afterAutospacing="1"/>
      </w:pPr>
      <w:r>
        <w:rPr>
          <w:rtl w:val="0"/>
        </w:rP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bidi w:val="0"/>
        <w:spacing w:before="120" w:beforeAutospacing="0" w:after="280" w:afterAutospacing="1"/>
      </w:pPr>
      <w:bookmarkStart w:id="172" w:name="dieu_35"/>
      <w:r>
        <w:rPr>
          <w:b/>
          <w:bCs/>
          <w:rtl w:val="0"/>
        </w:rPr>
        <w:t>Điều 35. Hoàn thuế đối với hàng hóa, dịch vụ mua tại Việt Nam của đối tượng được hưởng quyền ưu đãi miễn trừ ngoại giao</w:t>
      </w:r>
      <w:bookmarkEnd w:id="172"/>
    </w:p>
    <w:p>
      <w:pPr>
        <w:bidi w:val="0"/>
        <w:spacing w:before="120" w:beforeAutospacing="0" w:after="280" w:afterAutospacing="1"/>
      </w:pPr>
      <w:r>
        <w:rPr>
          <w:rtl w:val="0"/>
        </w:rPr>
        <w:t>Đối tượng được hưởng quyền ưu đãi miễn trừ ngoại giao theo quy định của pháp luật về ngoại giao mua hàng hóa, dịch vụ tại Việt Nam đế sử dụng được hoàn số thuế giá trị gia tăng đã trả ghi trên hóa đơn giá trị gia tăng hoặc trên chứng từ thanh toán ghi giá thanh toán đã có thuế giá trị gia tăng.</w:t>
      </w:r>
    </w:p>
    <w:p>
      <w:pPr>
        <w:bidi w:val="0"/>
        <w:spacing w:before="120" w:beforeAutospacing="0" w:after="280" w:afterAutospacing="1"/>
      </w:pPr>
      <w:bookmarkStart w:id="173" w:name="dieu_36"/>
      <w:r>
        <w:rPr>
          <w:b/>
          <w:bCs/>
          <w:rtl w:val="0"/>
        </w:rPr>
        <w:t>Điều 36. Hoàn thuế theo điều ước quốc tế</w:t>
      </w:r>
      <w:bookmarkEnd w:id="173"/>
    </w:p>
    <w:p>
      <w:pPr>
        <w:bidi w:val="0"/>
        <w:spacing w:before="120" w:beforeAutospacing="0" w:after="280" w:afterAutospacing="1"/>
      </w:pPr>
      <w:r>
        <w:rPr>
          <w:rtl w:val="0"/>
        </w:rP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pPr>
        <w:bidi w:val="0"/>
        <w:spacing w:before="120" w:beforeAutospacing="0" w:after="280" w:afterAutospacing="1"/>
      </w:pPr>
      <w:bookmarkStart w:id="174" w:name="dieu_37"/>
      <w:r>
        <w:rPr>
          <w:b/>
          <w:bCs/>
          <w:rtl w:val="0"/>
        </w:rPr>
        <w:t>Điều 37. Điều kiện hoàn thuế giá trị gia tăng</w:t>
      </w:r>
      <w:bookmarkEnd w:id="174"/>
    </w:p>
    <w:p>
      <w:pPr>
        <w:bidi w:val="0"/>
        <w:spacing w:before="120" w:beforeAutospacing="0" w:after="280" w:afterAutospacing="1"/>
      </w:pPr>
      <w:r>
        <w:rPr>
          <w:rtl w:val="0"/>
        </w:rPr>
        <w:t>Cơ sở kinh doanh thuộc trường hợp hoàn thuế quy định tại Mục này phải đáp ứng điều kiện sau đây:</w:t>
      </w:r>
    </w:p>
    <w:p>
      <w:pPr>
        <w:bidi w:val="0"/>
        <w:spacing w:before="120" w:beforeAutospacing="0" w:after="280" w:afterAutospacing="1"/>
      </w:pPr>
      <w:r>
        <w:rPr>
          <w:rtl w:val="0"/>
        </w:rPr>
        <w:t xml:space="preserve">1. Cơ sở kinh doanh thuộc trường hợp được hoàn thuế theo quy định tại các </w:t>
      </w:r>
      <w:bookmarkStart w:id="175" w:name="tc_15"/>
      <w:r>
        <w:rPr>
          <w:rtl w:val="0"/>
        </w:rPr>
        <w:t>Điều 29, Điều 30</w:t>
      </w:r>
      <w:bookmarkEnd w:id="175"/>
      <w:r>
        <w:rPr>
          <w:rtl w:val="0"/>
        </w:rPr>
        <w:t xml:space="preserve">, </w:t>
      </w:r>
      <w:bookmarkStart w:id="176" w:name="tc_16"/>
      <w:r>
        <w:rPr>
          <w:rtl w:val="0"/>
        </w:rPr>
        <w:t>Điều 31, Điều 32 Nghị định này</w:t>
      </w:r>
      <w:bookmarkEnd w:id="176"/>
      <w:r>
        <w:rPr>
          <w:rtl w:val="0"/>
        </w:rPr>
        <w:t xml:space="preserve">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pPr>
        <w:bidi w:val="0"/>
        <w:spacing w:before="120" w:beforeAutospacing="0" w:after="280" w:afterAutospacing="1"/>
      </w:pPr>
      <w:r>
        <w:rPr>
          <w:rtl w:val="0"/>
        </w:rPr>
        <w:t xml:space="preserve">2. Đáp ứng quy định về khấu trừ thuế giá trị gia tăng đầu vào theo quy định tại Mục 2 Chương III và không thuộc trường hợp quy định tại </w:t>
      </w:r>
      <w:bookmarkStart w:id="177" w:name="tc_17"/>
      <w:r>
        <w:rPr>
          <w:rtl w:val="0"/>
        </w:rPr>
        <w:t>khoản 15 Điều 23 Nghị định này</w:t>
      </w:r>
      <w:bookmarkEnd w:id="177"/>
      <w:r>
        <w:rPr>
          <w:rtl w:val="0"/>
        </w:rPr>
        <w:t>.</w:t>
      </w:r>
    </w:p>
    <w:p>
      <w:pPr>
        <w:bidi w:val="0"/>
        <w:spacing w:before="120" w:beforeAutospacing="0" w:after="280" w:afterAutospacing="1"/>
      </w:pPr>
      <w:bookmarkStart w:id="178" w:name="khoan_3_37"/>
      <w:r>
        <w:rPr>
          <w:rtl w:val="0"/>
        </w:rPr>
        <w:t>3. Người bán đã kê khai, nộp thuế giá trị gia tăng theo quy định đối với hóa đơn đã xuất cho cơ sở kinh doanh đề nghị hoàn thuế được xác định như sau:</w:t>
      </w:r>
      <w:bookmarkEnd w:id="178"/>
    </w:p>
    <w:p>
      <w:pPr>
        <w:bidi w:val="0"/>
        <w:spacing w:before="120" w:beforeAutospacing="0" w:after="280" w:afterAutospacing="1"/>
      </w:pPr>
      <w:r>
        <w:rPr>
          <w:rtl w:val="0"/>
        </w:rPr>
        <w:t>a) Tại thời điểm cơ sở kinh doanh nộp hồ sơ hoàn thuế, người bán đã nộp hồ sơ khai thuế giá trị gia tăng theo quy định và không còn nợ tiền thuế giá trị gia tăng của kỳ tính thuế tương ứng với kỳ tính thuế thuộc kỳ hoàn thuế của cơ sở kinh doanh đề nghị hoàn thuế.</w:t>
      </w:r>
    </w:p>
    <w:p>
      <w:pPr>
        <w:bidi w:val="0"/>
        <w:spacing w:before="120" w:beforeAutospacing="0" w:after="280" w:afterAutospacing="1"/>
      </w:pPr>
      <w:r>
        <w:rPr>
          <w:rtl w:val="0"/>
        </w:rPr>
        <w:t>b) Cơ quan quản lý thuế tại thời điểm cơ sở kinh doanh nộp hồ sơ hoàn thuế trên cơ sở kết quả xử lý của hệ thống công nghệ thông tin tự động để xác định người bán đã kê khai, nộp thuế giá trị gia tăng theo quy định.</w:t>
      </w:r>
    </w:p>
    <w:p>
      <w:pPr>
        <w:bidi w:val="0"/>
        <w:spacing w:before="120" w:beforeAutospacing="0" w:after="280" w:afterAutospacing="1"/>
      </w:pPr>
      <w:r>
        <w:rPr>
          <w:rtl w:val="0"/>
        </w:rPr>
        <w:t>c) Trường hợp xác định người bán chưa nộp đầy đủ hồ sơ khai thuế giá trị gia tăng của kỳ tính thuế tương ứng với kỳ tính thuế thuộc kỳ hoàn thuế của cơ sở kinh doanh (bao gồm cả trường hợp chưa đến thời hạn nộp hồ sơ khai thuế) hoặc còn nợ tiền thuế giá trị gia tăng của kỳ tính thuế tương ứng với kỳ tính thuế thuộc kỳ hoàn thuế thì cơ sở kinh doanh không được hoàn thuế đối với các hóa đơn tương ứng với kỳ tính thuế người bán chưa nộp đầy đủ hồ sơ khai thuế giá trị gia tăng hoặc còn nợ tiền thuế giá trị gia tăng.</w:t>
      </w:r>
    </w:p>
    <w:p>
      <w:pPr>
        <w:bidi w:val="0"/>
        <w:spacing w:before="120" w:beforeAutospacing="0" w:after="280" w:afterAutospacing="1"/>
      </w:pPr>
      <w:r>
        <w:rPr>
          <w:rtl w:val="0"/>
        </w:rPr>
        <w:t>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pPr>
        <w:bidi w:val="0"/>
        <w:spacing w:before="120" w:beforeAutospacing="0" w:after="280" w:afterAutospacing="1"/>
      </w:pPr>
      <w:bookmarkStart w:id="179" w:name="chuong_4"/>
      <w:r>
        <w:rPr>
          <w:b/>
          <w:bCs/>
          <w:rtl w:val="0"/>
        </w:rPr>
        <w:t>Chương IV</w:t>
      </w:r>
      <w:bookmarkEnd w:id="179"/>
    </w:p>
    <w:p>
      <w:pPr>
        <w:bidi w:val="0"/>
        <w:spacing w:before="120" w:beforeAutospacing="0" w:after="280" w:afterAutospacing="1"/>
        <w:jc w:val="center"/>
      </w:pPr>
      <w:bookmarkStart w:id="180" w:name="chuong_4_name"/>
      <w:r>
        <w:rPr>
          <w:b/>
          <w:bCs/>
          <w:sz w:val="24"/>
          <w:rtl w:val="0"/>
        </w:rPr>
        <w:t>ĐIỀU KHOẢN THI HÀNH</w:t>
      </w:r>
      <w:bookmarkEnd w:id="180"/>
    </w:p>
    <w:p>
      <w:pPr>
        <w:bidi w:val="0"/>
        <w:spacing w:before="120" w:beforeAutospacing="0" w:after="280" w:afterAutospacing="1"/>
      </w:pPr>
      <w:bookmarkStart w:id="181" w:name="dieu_38"/>
      <w:r>
        <w:rPr>
          <w:b/>
          <w:bCs/>
          <w:rtl w:val="0"/>
        </w:rPr>
        <w:t>Điều 38. Hiệu lực thi hành</w:t>
      </w:r>
      <w:bookmarkEnd w:id="181"/>
    </w:p>
    <w:p>
      <w:pPr>
        <w:bidi w:val="0"/>
        <w:spacing w:before="120" w:beforeAutospacing="0" w:after="280" w:afterAutospacing="1"/>
      </w:pPr>
      <w:r>
        <w:rPr>
          <w:rtl w:val="0"/>
        </w:rPr>
        <w:t>1. Nghị định này có hiệu lực thi hành từ ngày 01 tháng 7 năm 2025.</w:t>
      </w:r>
    </w:p>
    <w:p>
      <w:pPr>
        <w:bidi w:val="0"/>
        <w:spacing w:before="120" w:beforeAutospacing="0" w:after="280" w:afterAutospacing="1"/>
      </w:pPr>
      <w:bookmarkStart w:id="182" w:name="khoan_2_38"/>
      <w:r>
        <w:rPr>
          <w:rtl w:val="0"/>
        </w:rPr>
        <w:t>2. Nghị định này thay thế:</w:t>
      </w:r>
      <w:bookmarkEnd w:id="182"/>
    </w:p>
    <w:p>
      <w:pPr>
        <w:bidi w:val="0"/>
        <w:spacing w:before="120" w:beforeAutospacing="0" w:after="280" w:afterAutospacing="1"/>
      </w:pPr>
      <w:r>
        <w:rPr>
          <w:rtl w:val="0"/>
        </w:rPr>
        <w:t xml:space="preserve">a) Nghị định số </w:t>
      </w:r>
      <w:bookmarkStart w:id="183" w:name="tvpllink_gytpxskymt"/>
      <w:r>
        <w:rPr>
          <w:rtl w:val="0"/>
        </w:rPr>
        <w:t>209/2013/NĐ-CP</w:t>
      </w:r>
      <w:bookmarkEnd w:id="183"/>
      <w:r>
        <w:rPr>
          <w:rtl w:val="0"/>
        </w:rPr>
        <w:t xml:space="preserve"> ngày 18 tháng 12 năm 2013 của Chính phủ quy định chi tiết và hướng dẫn thi hành một số điều </w:t>
      </w:r>
      <w:bookmarkStart w:id="184" w:name="tvpllink_yfeonwnuvk"/>
      <w:r>
        <w:rPr>
          <w:rtl w:val="0"/>
        </w:rPr>
        <w:t>Luật Thuế giá trị gia tăng</w:t>
      </w:r>
      <w:bookmarkEnd w:id="184"/>
      <w:r>
        <w:rPr>
          <w:rtl w:val="0"/>
        </w:rPr>
        <w:t>.</w:t>
      </w:r>
    </w:p>
    <w:p>
      <w:pPr>
        <w:bidi w:val="0"/>
        <w:spacing w:before="120" w:beforeAutospacing="0" w:after="280" w:afterAutospacing="1"/>
      </w:pPr>
      <w:r>
        <w:rPr>
          <w:rtl w:val="0"/>
        </w:rPr>
        <w:t xml:space="preserve">b) Nghị định số </w:t>
      </w:r>
      <w:bookmarkStart w:id="185" w:name="tvpllink_zwgvguumiw"/>
      <w:r>
        <w:rPr>
          <w:rtl w:val="0"/>
        </w:rPr>
        <w:t>49/2022/NĐ-CP</w:t>
      </w:r>
      <w:bookmarkEnd w:id="185"/>
      <w:r>
        <w:rPr>
          <w:rtl w:val="0"/>
        </w:rPr>
        <w:t xml:space="preserve"> ngày 29 tháng 7 năm 2022 của Chính phủ sửa đổi, bổ sung một số điều của Nghị định số </w:t>
      </w:r>
      <w:bookmarkStart w:id="186" w:name="tvpllink_gytpxskymt_1"/>
      <w:r>
        <w:rPr>
          <w:rtl w:val="0"/>
        </w:rPr>
        <w:t>209/2013/NĐ-CP</w:t>
      </w:r>
      <w:bookmarkEnd w:id="186"/>
      <w:r>
        <w:rPr>
          <w:rtl w:val="0"/>
        </w:rPr>
        <w:t xml:space="preserve"> ngày 18 tháng 12 năm 2013 của Chính phủ quy định chi tiết và hướng dẫn thi hành một số điều </w:t>
      </w:r>
      <w:bookmarkStart w:id="187" w:name="tvpllink_yfeonwnuvk_1"/>
      <w:r>
        <w:rPr>
          <w:rtl w:val="0"/>
        </w:rPr>
        <w:t>Luật Thuế giá trị gia tăng</w:t>
      </w:r>
      <w:bookmarkEnd w:id="187"/>
      <w:r>
        <w:rPr>
          <w:rtl w:val="0"/>
        </w:rPr>
        <w:t xml:space="preserve"> đã được sửa đổi, bổ sung một số điều theo Nghị định số </w:t>
      </w:r>
      <w:bookmarkStart w:id="188" w:name="tvpllink_anzsxvzevp"/>
      <w:r>
        <w:rPr>
          <w:rtl w:val="0"/>
        </w:rPr>
        <w:t>12/2015/NĐ-CP</w:t>
      </w:r>
      <w:bookmarkEnd w:id="188"/>
      <w:r>
        <w:rPr>
          <w:rtl w:val="0"/>
        </w:rPr>
        <w:t xml:space="preserve">, Nghị định số </w:t>
      </w:r>
      <w:bookmarkStart w:id="189" w:name="tvpllink_smyhvotubj"/>
      <w:r>
        <w:rPr>
          <w:rtl w:val="0"/>
        </w:rPr>
        <w:t>100/2016/NĐ-CP</w:t>
      </w:r>
      <w:bookmarkEnd w:id="189"/>
      <w:r>
        <w:rPr>
          <w:rtl w:val="0"/>
        </w:rPr>
        <w:t xml:space="preserve"> và Nghị định số </w:t>
      </w:r>
      <w:bookmarkStart w:id="190" w:name="tvpllink_gxepcbanyd"/>
      <w:r>
        <w:rPr>
          <w:rtl w:val="0"/>
        </w:rPr>
        <w:t>146/2017/NĐ-CP</w:t>
      </w:r>
      <w:bookmarkEnd w:id="190"/>
      <w:r>
        <w:rPr>
          <w:rtl w:val="0"/>
        </w:rPr>
        <w:t>.</w:t>
      </w:r>
    </w:p>
    <w:p>
      <w:pPr>
        <w:bidi w:val="0"/>
        <w:spacing w:before="120" w:beforeAutospacing="0" w:after="280" w:afterAutospacing="1"/>
      </w:pPr>
      <w:r>
        <w:rPr>
          <w:rtl w:val="0"/>
        </w:rPr>
        <w:t xml:space="preserve">c) Quy định việc xác định sản phẩm có tổng giá trị tài nguyên, khoáng sản cộng với chi phí năng lượng chiếm từ 51% giá thành sản phẩm trở lên tại </w:t>
      </w:r>
      <w:bookmarkStart w:id="191" w:name="dc_27"/>
      <w:r>
        <w:rPr>
          <w:rtl w:val="0"/>
        </w:rPr>
        <w:t>điểm a khoản 1 Điều 11 và khoản 2 Điều 15 Nghị định số 134/2016/NĐ-CP</w:t>
      </w:r>
      <w:bookmarkEnd w:id="191"/>
      <w:r>
        <w:rPr>
          <w:rtl w:val="0"/>
        </w:rPr>
        <w:t xml:space="preserve"> ngày 01 tháng 9 năm 2016 của Chính phủ quy định chi tiết một số điều và biện pháp thi hành </w:t>
      </w:r>
      <w:bookmarkStart w:id="192" w:name="tvpllink_hadubejmqv"/>
      <w:r>
        <w:rPr>
          <w:rtl w:val="0"/>
        </w:rPr>
        <w:t>Luật Thuế xuất khẩu, thuế nhập khẩu</w:t>
      </w:r>
      <w:bookmarkEnd w:id="192"/>
      <w:r>
        <w:rPr>
          <w:rtl w:val="0"/>
        </w:rPr>
        <w:t xml:space="preserve"> (đã được sửa đổi, bổ sung tại Nghị định số </w:t>
      </w:r>
      <w:bookmarkStart w:id="193" w:name="tvpllink_eenqazgnnl"/>
      <w:r>
        <w:rPr>
          <w:rtl w:val="0"/>
        </w:rPr>
        <w:t>18/2021/NĐ-CP</w:t>
      </w:r>
      <w:bookmarkEnd w:id="193"/>
      <w:r>
        <w:rPr>
          <w:rtl w:val="0"/>
        </w:rPr>
        <w:t xml:space="preserve"> ngày 11 tháng 3 năm 2021 của Chính phủ sửa đổi, bổ sung một số điều của Nghị định số </w:t>
      </w:r>
      <w:bookmarkStart w:id="194" w:name="tvpllink_bxsxgbjyaz"/>
      <w:r>
        <w:rPr>
          <w:rtl w:val="0"/>
        </w:rPr>
        <w:t>134/2016/NĐ-CP</w:t>
      </w:r>
      <w:bookmarkEnd w:id="194"/>
      <w:r>
        <w:rPr>
          <w:rtl w:val="0"/>
        </w:rPr>
        <w:t xml:space="preserve"> ngày 01 tháng 9 năm 2016 của Chính phủ quy định chi tiết một số điều và biện pháp thi hành </w:t>
      </w:r>
      <w:bookmarkStart w:id="195" w:name="tvpllink_hadubejmqv_1"/>
      <w:r>
        <w:rPr>
          <w:rtl w:val="0"/>
        </w:rPr>
        <w:t>Luật Thuế xuất khẩu, thuế nhập khẩu</w:t>
      </w:r>
      <w:bookmarkEnd w:id="195"/>
      <w:r>
        <w:rPr>
          <w:rtl w:val="0"/>
        </w:rPr>
        <w:t xml:space="preserve">), </w:t>
      </w:r>
      <w:bookmarkStart w:id="196" w:name="dc_28"/>
      <w:r>
        <w:rPr>
          <w:rtl w:val="0"/>
        </w:rPr>
        <w:t>điểm b khoản 2 Điều 4</w:t>
      </w:r>
      <w:bookmarkEnd w:id="196"/>
      <w:r>
        <w:rPr>
          <w:rtl w:val="0"/>
        </w:rPr>
        <w:t xml:space="preserve"> và </w:t>
      </w:r>
      <w:bookmarkStart w:id="197" w:name="bieumau_ms_14_pl2_26_2023_nd_cp"/>
      <w:r>
        <w:rPr>
          <w:rtl w:val="0"/>
        </w:rPr>
        <w:t>Mẫu số 14, Phụ lục II</w:t>
      </w:r>
      <w:bookmarkEnd w:id="197"/>
      <w:r>
        <w:rPr>
          <w:rtl w:val="0"/>
        </w:rPr>
        <w:t xml:space="preserve"> ban hành kèm theo Nghị định số </w:t>
      </w:r>
      <w:bookmarkStart w:id="198" w:name="tvpllink_aneophtzwu"/>
      <w:r>
        <w:rPr>
          <w:rtl w:val="0"/>
        </w:rPr>
        <w:t>26/2023/NĐ-CP</w:t>
      </w:r>
      <w:bookmarkEnd w:id="198"/>
      <w:r>
        <w:rPr>
          <w:rtl w:val="0"/>
        </w:rPr>
        <w:t xml:space="preserve"> ngày 31 tháng 5 năm 2023 của Chính phủ về Biểu thuế xuất khẩu, Biểu thuế nhập khẩu ưu đãi, Danh mục hàng hóa và mức thuế tuyệt đối, thuế hỗn hợp và thuế nhập khẩu ngoài hạn ngạch thuế quan bằng quy định tại </w:t>
      </w:r>
      <w:bookmarkStart w:id="199" w:name="bieumau_pl_05"/>
      <w:r>
        <w:rPr>
          <w:rtl w:val="0"/>
        </w:rPr>
        <w:t>Phụ lục V</w:t>
      </w:r>
      <w:bookmarkEnd w:id="199"/>
      <w:r>
        <w:rPr>
          <w:rtl w:val="0"/>
        </w:rPr>
        <w:t xml:space="preserve"> ban hành kèm theo Nghị định này.</w:t>
      </w:r>
    </w:p>
    <w:p>
      <w:pPr>
        <w:bidi w:val="0"/>
        <w:spacing w:before="120" w:beforeAutospacing="0" w:after="280" w:afterAutospacing="1"/>
      </w:pPr>
      <w:bookmarkStart w:id="200" w:name="khoan_3_38"/>
      <w:r>
        <w:rPr>
          <w:rtl w:val="0"/>
        </w:rPr>
        <w:t>3. Bãi bỏ quy định tại:</w:t>
      </w:r>
      <w:bookmarkEnd w:id="200"/>
    </w:p>
    <w:p>
      <w:pPr>
        <w:bidi w:val="0"/>
        <w:spacing w:before="120" w:beforeAutospacing="0" w:after="280" w:afterAutospacing="1"/>
      </w:pPr>
      <w:r>
        <w:rPr>
          <w:rtl w:val="0"/>
        </w:rPr>
        <w:t xml:space="preserve">a) </w:t>
      </w:r>
      <w:bookmarkStart w:id="201" w:name="dc_29"/>
      <w:r>
        <w:rPr>
          <w:rtl w:val="0"/>
        </w:rPr>
        <w:t>Điều 2 Nghị định số 91/2014/NĐ-CP</w:t>
      </w:r>
      <w:bookmarkEnd w:id="201"/>
      <w:r>
        <w:rPr>
          <w:rtl w:val="0"/>
        </w:rPr>
        <w:t xml:space="preserve"> ngày 01 tháng 10 năm 2014 của Chính phủ sửa đổi, bổ sung một số điều tại các Nghị định quy định về thuế.</w:t>
      </w:r>
    </w:p>
    <w:p>
      <w:pPr>
        <w:bidi w:val="0"/>
        <w:spacing w:before="120" w:beforeAutospacing="0" w:after="280" w:afterAutospacing="1"/>
      </w:pPr>
      <w:r>
        <w:rPr>
          <w:rtl w:val="0"/>
        </w:rPr>
        <w:t xml:space="preserve">b) </w:t>
      </w:r>
      <w:bookmarkStart w:id="202" w:name="dc_30"/>
      <w:r>
        <w:rPr>
          <w:rtl w:val="0"/>
        </w:rPr>
        <w:t>Điều 3 Nghị định số 12/2015/NĐ-CP</w:t>
      </w:r>
      <w:bookmarkEnd w:id="202"/>
      <w:r>
        <w:rPr>
          <w:rtl w:val="0"/>
        </w:rPr>
        <w:t xml:space="preserve"> ngày 12 tháng 02 năm 2015 của Chính phủ quy định chi tiết thi hành Luật sửa đổi, bổ sung một số điều của các Luật về thuế và sửa đổi, bổ sung một số điều của các Nghị định về thuế.</w:t>
      </w:r>
    </w:p>
    <w:p>
      <w:pPr>
        <w:bidi w:val="0"/>
        <w:spacing w:before="120" w:beforeAutospacing="0" w:after="280" w:afterAutospacing="1"/>
      </w:pPr>
      <w:r>
        <w:rPr>
          <w:rtl w:val="0"/>
        </w:rPr>
        <w:t xml:space="preserve">c) </w:t>
      </w:r>
      <w:bookmarkStart w:id="203" w:name="dc_31"/>
      <w:r>
        <w:rPr>
          <w:rtl w:val="0"/>
        </w:rPr>
        <w:t>Điều 1 Nghị định số 100/2016/NĐ-CP</w:t>
      </w:r>
      <w:bookmarkEnd w:id="203"/>
      <w:r>
        <w:rPr>
          <w:rtl w:val="0"/>
        </w:rPr>
        <w:t xml:space="preserve"> ngày 01 tháng 7 năm 2016 của Chính phủ quy định chi tiết và hướng dẫn thi hành một số điều của Luật sửa đổi, bổ sung một số điều của </w:t>
      </w:r>
      <w:bookmarkStart w:id="204" w:name="tvpllink_yfeonwnuvk_2"/>
      <w:r>
        <w:rPr>
          <w:rtl w:val="0"/>
        </w:rPr>
        <w:t>Luật Thuế giá trị gia tăng</w:t>
      </w:r>
      <w:bookmarkEnd w:id="204"/>
      <w:r>
        <w:rPr>
          <w:rtl w:val="0"/>
        </w:rPr>
        <w:t xml:space="preserve">, </w:t>
      </w:r>
      <w:bookmarkStart w:id="205" w:name="tvpllink_gyrotfitse"/>
      <w:r>
        <w:rPr>
          <w:rtl w:val="0"/>
        </w:rPr>
        <w:t>Luật Thuế tiêu thụ đặc biệt</w:t>
      </w:r>
      <w:bookmarkEnd w:id="205"/>
      <w:r>
        <w:rPr>
          <w:rtl w:val="0"/>
        </w:rPr>
        <w:t xml:space="preserve"> và </w:t>
      </w:r>
      <w:bookmarkStart w:id="206" w:name="tvpllink_gtkyhfrola"/>
      <w:r>
        <w:rPr>
          <w:rtl w:val="0"/>
        </w:rPr>
        <w:t>Luật Quản lý thuế</w:t>
      </w:r>
      <w:bookmarkEnd w:id="206"/>
      <w:r>
        <w:rPr>
          <w:rtl w:val="0"/>
        </w:rPr>
        <w:t>.</w:t>
      </w:r>
    </w:p>
    <w:p>
      <w:pPr>
        <w:bidi w:val="0"/>
        <w:spacing w:before="120" w:beforeAutospacing="0" w:after="280" w:afterAutospacing="1"/>
      </w:pPr>
      <w:r>
        <w:rPr>
          <w:rtl w:val="0"/>
        </w:rPr>
        <w:t xml:space="preserve">d) </w:t>
      </w:r>
      <w:bookmarkStart w:id="207" w:name="dc_32"/>
      <w:r>
        <w:rPr>
          <w:rtl w:val="0"/>
        </w:rPr>
        <w:t>Điều 1 Nghị định số 146/2017/NĐ-CP</w:t>
      </w:r>
      <w:bookmarkEnd w:id="207"/>
      <w:r>
        <w:rPr>
          <w:rtl w:val="0"/>
        </w:rPr>
        <w:t xml:space="preserve"> ngày 15 tháng 12 năm 2017 của Chính phủ sửa đổi, bổ sung một số điều của Nghị định số </w:t>
      </w:r>
      <w:bookmarkStart w:id="208" w:name="tvpllink_smyhvotubj_1"/>
      <w:r>
        <w:rPr>
          <w:rtl w:val="0"/>
        </w:rPr>
        <w:t>100/2016/NĐ-CP</w:t>
      </w:r>
      <w:bookmarkEnd w:id="208"/>
      <w:r>
        <w:rPr>
          <w:rtl w:val="0"/>
        </w:rPr>
        <w:t xml:space="preserve"> ngày 01 tháng 7 năm 2016 và Nghị định số </w:t>
      </w:r>
      <w:bookmarkStart w:id="209" w:name="tvpllink_anzsxvzevp_1"/>
      <w:r>
        <w:rPr>
          <w:rtl w:val="0"/>
        </w:rPr>
        <w:t>12/2015/NĐ-CP</w:t>
      </w:r>
      <w:bookmarkEnd w:id="209"/>
      <w:r>
        <w:rPr>
          <w:rtl w:val="0"/>
        </w:rPr>
        <w:t xml:space="preserve"> ngày 12 tháng 02 năm 2015 của Chính phủ.</w:t>
      </w:r>
    </w:p>
    <w:p>
      <w:pPr>
        <w:bidi w:val="0"/>
        <w:spacing w:before="120" w:beforeAutospacing="0" w:after="280" w:afterAutospacing="1"/>
      </w:pPr>
      <w:r>
        <w:rPr>
          <w:rtl w:val="0"/>
        </w:rPr>
        <w:t>4. Trường hợp các văn bản quy phạm pháp luật quy định viện dẫn tại Nghị định này được sửa đổi, bổ sung hoặc thay thế thì thực hiện theo văn bản được sửa đổi, bổ sung hoặc thay thế đó.</w:t>
      </w:r>
    </w:p>
    <w:p>
      <w:pPr>
        <w:bidi w:val="0"/>
        <w:spacing w:before="120" w:beforeAutospacing="0" w:after="280" w:afterAutospacing="1"/>
      </w:pPr>
      <w:bookmarkStart w:id="210" w:name="dieu_39"/>
      <w:r>
        <w:rPr>
          <w:b/>
          <w:bCs/>
          <w:rtl w:val="0"/>
        </w:rPr>
        <w:t>Điều 39. Điều khoản chuyển tiếp</w:t>
      </w:r>
      <w:bookmarkEnd w:id="210"/>
    </w:p>
    <w:p>
      <w:pPr>
        <w:bidi w:val="0"/>
        <w:spacing w:before="120" w:beforeAutospacing="0" w:after="280" w:afterAutospacing="1"/>
      </w:pPr>
      <w:r>
        <w:rPr>
          <w:rtl w:val="0"/>
        </w:rPr>
        <w:t xml:space="preserve">1. 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w:t>
      </w:r>
      <w:bookmarkStart w:id="211" w:name="tc_18"/>
      <w:r>
        <w:rPr>
          <w:rtl w:val="0"/>
        </w:rPr>
        <w:t>Điều 30 Nghị định này</w:t>
      </w:r>
      <w:bookmarkEnd w:id="211"/>
      <w:r>
        <w:rPr>
          <w:rtl w:val="0"/>
        </w:rPr>
        <w:t>.</w:t>
      </w:r>
    </w:p>
    <w:p>
      <w:pPr>
        <w:bidi w:val="0"/>
        <w:spacing w:before="120" w:beforeAutospacing="0" w:after="280" w:afterAutospacing="1"/>
      </w:pPr>
      <w:r>
        <w:rPr>
          <w:rtl w:val="0"/>
        </w:rPr>
        <w:t xml:space="preserve">2. Quy định về hoàn thuế giá trị gia tăng đối với hoạt động sản xuất hàng hóa, cung cấp dịch vụ chịu thuế suất thuế giá trị gia tăng 5% quy định tại </w:t>
      </w:r>
      <w:bookmarkStart w:id="212" w:name="tc_19"/>
      <w:r>
        <w:rPr>
          <w:rtl w:val="0"/>
        </w:rPr>
        <w:t>Điều 31 Nghị định này</w:t>
      </w:r>
      <w:bookmarkEnd w:id="212"/>
      <w:r>
        <w:rPr>
          <w:rtl w:val="0"/>
        </w:rPr>
        <w:t xml:space="preserve">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pPr>
        <w:bidi w:val="0"/>
        <w:spacing w:before="120" w:beforeAutospacing="0" w:after="280" w:afterAutospacing="1"/>
      </w:pPr>
      <w:bookmarkStart w:id="213" w:name="khoan_3_39"/>
      <w:r>
        <w:rPr>
          <w:rtl w:val="0"/>
        </w:rPr>
        <w:t>3. Quy định tại</w:t>
      </w:r>
      <w:bookmarkEnd w:id="213"/>
      <w:r>
        <w:rPr>
          <w:rtl w:val="0"/>
        </w:rPr>
        <w:t xml:space="preserve"> </w:t>
      </w:r>
      <w:bookmarkStart w:id="214" w:name="tc_20"/>
      <w:r>
        <w:rPr>
          <w:rtl w:val="0"/>
        </w:rPr>
        <w:t>khoản 3 Điều 37 Nghị định này</w:t>
      </w:r>
      <w:bookmarkEnd w:id="214"/>
      <w:r>
        <w:rPr>
          <w:rtl w:val="0"/>
        </w:rPr>
        <w:t xml:space="preserve"> </w:t>
      </w:r>
      <w:bookmarkStart w:id="215" w:name="khoan_3_39_name"/>
      <w:r>
        <w:rPr>
          <w:rtl w:val="0"/>
        </w:rPr>
        <w:t>áp dụng cho kỳ tính thuế từ tháng 7 năm 2025 hoặc quý 3 năm 2025.</w:t>
      </w:r>
      <w:bookmarkEnd w:id="215"/>
    </w:p>
    <w:p>
      <w:pPr>
        <w:bidi w:val="0"/>
        <w:spacing w:before="120" w:beforeAutospacing="0" w:after="280" w:afterAutospacing="1"/>
      </w:pPr>
      <w:bookmarkStart w:id="216" w:name="dieu_40"/>
      <w:r>
        <w:rPr>
          <w:b/>
          <w:bCs/>
          <w:rtl w:val="0"/>
        </w:rPr>
        <w:t>Điều 40. Trách nhiệm thi hành</w:t>
      </w:r>
      <w:bookmarkEnd w:id="216"/>
    </w:p>
    <w:p>
      <w:pPr>
        <w:bidi w:val="0"/>
        <w:spacing w:before="120" w:beforeAutospacing="0" w:after="280" w:afterAutospacing="1"/>
      </w:pPr>
      <w:bookmarkStart w:id="217" w:name="khoan_1_40"/>
      <w:r>
        <w:rPr>
          <w:rtl w:val="0"/>
        </w:rPr>
        <w:t>1. Bộ Tài chính quy định chi tiết các điều, khoản được giao tại Nghị định và hướng dẫn thực hiện Nghị định này theo chức năng, nhiệm vụ đảm bảo yêu cầu quản lý.</w:t>
      </w:r>
      <w:bookmarkEnd w:id="217"/>
    </w:p>
    <w:p>
      <w:pPr>
        <w:bidi w:val="0"/>
        <w:spacing w:before="120" w:beforeAutospacing="0" w:after="280" w:afterAutospacing="1"/>
      </w:pPr>
      <w:bookmarkStart w:id="218" w:name="khoan_2_40"/>
      <w:r>
        <w:rPr>
          <w:rtl w:val="0"/>
        </w:rPr>
        <w:t>2. Bộ Tài chính quy định cụ thể đối với hàng hóa, dịch vụ không thuộc phạm vi điều chỉnh của Nghị định này và</w:t>
      </w:r>
      <w:bookmarkEnd w:id="218"/>
      <w:r>
        <w:rPr>
          <w:rtl w:val="0"/>
        </w:rPr>
        <w:t xml:space="preserve"> </w:t>
      </w:r>
      <w:bookmarkStart w:id="219" w:name="tvpllink_cfonnkiqjn_2"/>
      <w:r>
        <w:rPr>
          <w:rtl w:val="0"/>
        </w:rPr>
        <w:t>Luật Thuế giá trị gia tăng</w:t>
      </w:r>
      <w:bookmarkEnd w:id="219"/>
      <w:r>
        <w:rPr>
          <w:rtl w:val="0"/>
        </w:rPr>
        <w:t>.</w:t>
      </w:r>
    </w:p>
    <w:p>
      <w:pPr>
        <w:bidi w:val="0"/>
        <w:spacing w:before="120" w:beforeAutospacing="0" w:after="280" w:afterAutospacing="1"/>
      </w:pPr>
      <w:r>
        <w:rPr>
          <w:rtl w:val="0"/>
        </w:rPr>
        <w:t>3.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71"/>
        <w:gridCol w:w="4169"/>
      </w:tblGrid>
      <w:tr>
        <w:tblPrEx>
          <w:tblW w:w="5000" w:type="pct"/>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pPr>
      <w:bookmarkStart w:id="220" w:name="chuong_pl_1"/>
      <w:r>
        <w:rPr>
          <w:rFonts w:ascii="Arial" w:eastAsia="Arial" w:hAnsi="Arial" w:cs="Arial"/>
          <w:sz w:val="24"/>
          <w:rtl w:val="0"/>
        </w:rPr>
        <w:t>PHỤ LỤC I</w:t>
      </w:r>
      <w:bookmarkEnd w:id="220"/>
    </w:p>
    <w:p>
      <w:pPr>
        <w:bidi w:val="0"/>
        <w:spacing w:before="120" w:beforeAutospacing="0" w:after="0" w:afterAutospacing="0"/>
        <w:ind w:left="0" w:right="0"/>
        <w:jc w:val="center"/>
      </w:pPr>
      <w:bookmarkStart w:id="221" w:name="chuong_pl_1_name"/>
      <w:r>
        <w:rPr>
          <w:rFonts w:ascii="Arial" w:eastAsia="Arial" w:hAnsi="Arial" w:cs="Arial"/>
          <w:i w:val="0"/>
          <w:sz w:val="20"/>
          <w:rtl w:val="0"/>
        </w:rPr>
        <w:t>TÀI NGUYÊN, KHOÁNG SẢN KHAI THÁC CHƯA CHẾ BIẾN THÀNH SẢN PHẨM KHÁC</w:t>
      </w:r>
      <w:bookmarkEnd w:id="221"/>
      <w:r>
        <w:rPr>
          <w:rFonts w:ascii="Arial" w:eastAsia="Arial" w:hAnsi="Arial" w:cs="Arial"/>
          <w:i w:val="0"/>
          <w:sz w:val="20"/>
          <w:rtl w:val="0"/>
        </w:rPr>
        <w:br/>
      </w:r>
      <w:r>
        <w:rPr>
          <w:rFonts w:ascii="Arial" w:eastAsia="Arial" w:hAnsi="Arial" w:cs="Arial"/>
          <w:sz w:val="20"/>
          <w:rtl w:val="0"/>
        </w:rPr>
        <w:t>(Kèm theo Nghị định số 181/2025/NĐ-CP ngày 01 tháng 7 năm 2025 của Chính phủ)</w:t>
      </w:r>
    </w:p>
    <w:tbl>
      <w:tblPr>
        <w:tblW w:w="5000" w:type="pct"/>
        <w:jc w:val="left"/>
        <w:tblCellMar>
          <w:top w:w="0" w:type="dxa"/>
          <w:left w:w="0" w:type="dxa"/>
          <w:bottom w:w="0" w:type="dxa"/>
          <w:right w:w="0" w:type="dxa"/>
        </w:tblCellMar>
      </w:tblPr>
      <w:tblGrid>
        <w:gridCol w:w="1624"/>
        <w:gridCol w:w="7016"/>
      </w:tblGrid>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Mã hàng</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Mô tả hàng hoá</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25</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Muối; lưu huỳnh; đất và đá; thạch cao, vôi và xi măng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2502.00.00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Pirit sắt chưa nung.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2503.00.00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Lưu huỳnh các loại, trừ lưu huỳnh thăng hoa, lưu huỳnh kết tủa và lưu huỳnh dạng keo.</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25.04</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Graphit tự nhiên.</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2504.10.00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Ở dạng bột hoặc dạng mảnh</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2504.90.00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25.05</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loại cát tự nhiên, đã hoặc chưa nhuộm màu, trừ cát chứa kim loại thuộc Chương 26.</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2505.10.00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Cát oxit silic và cát thạch anh:</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2505.10.00.10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oxit silic mịn và siêu mịn có kích thước hạt từ 96µm (micrô mét) trở xuống, hàm lượng SiO2 ≥97,7%, Fe2O3 ≤ 0,030%, độ ẩm ≤0,3%</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2505.10.00.20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oxit silic mịn có kích thước hạt từ 500 µm (micromet) trở xuống, hàm lượng SiO2 ≥ 99,3%; Fe2O3 ≤ 0,01%, độ ẩm ≤ 5%</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2505.10.00.90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2505.90.00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25.06</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Thạch anh (trừ cát tự nhiên); quartzite, đã hoặc chưa đẽo thô hoặc mới chỉ được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2506.10.00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Thạch anh</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2506.20.00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Quartzite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2507.00.00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Cao lanh và đất sét cao lanh khác, đã hoặc chưa nung.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25.08</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Đất sét khác (không kể đất sét trương nở thuộc nhóm 68.06), andalusite, kyanite và sillimanite, đã hoặc chưa nung; mullite; đất chịu lửa (chamotte) hoặc đất dinas.</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Bentonite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2508.30.00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Đất sét chịu lửa</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2508.40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Đất sét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2508.40.10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Đất hồ (đất tẩy màu)</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2508.40.90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2508.50.00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Andalusite, kyanite và sillimanite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2508.60.00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Mullite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2508.70.00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Đất chịu lửa hoặc đất dinas</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2509.00.00</w:t>
            </w:r>
          </w:p>
        </w:tc>
        <w:tc>
          <w:tcPr>
            <w:tcW w:w="406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Đá phấn.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Canxi phosphat tự nhiên, canxi phosphat nhôm tự nhiên và đá phấn có chứa phosphat.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Chưa nghiền: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Apatít (apatite)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Đã nghiền: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2510.20.10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Apatít (apatite):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hạt mịn có kích thước nhỏ hơn hoặc bằng 0,25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2510.20.10.20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hạt có kích thước trên 0,25 mm đến 15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Bari sulphat tự nhiên (barytes); bari carbonat tự nhiên (witherite), đã hoặc chưa nung, trừ bari oxit thuộc nhóm 28.16.</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2511.10.00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Bari sulphat tự nhiên (barytes)</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2511.20.00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Bari carbonat tự nhiên (witherite)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2512.00.00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Bột hóa thạch silic (ví dụ, đất tảo cát, tripolite và diatomite) và đất silic tương tự, đã hoặc chưa nung, có trọng lượng riêng biểu kiến không quá 1.</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bọt; đá nhám; corundum tự nhiên, đá garnet tự nhiên và đá mài tự nhiên khác,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2513.10.00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bọt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2513.20.00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nhám, corundum tự nhiên, đá garnet tự nhiên và đá mài tự nhiên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2514.00.00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Đá phiến, đã hoặc chưa đẽo thô hoặc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hoa (marble) và đá travertine: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Thô hoặc đã đẽo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2515.12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2515.12.10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 Dạng khối: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2515.12.10.10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 </w:t>
            </w:r>
            <w:r>
              <w:rPr>
                <w:rFonts w:ascii="Arial" w:eastAsia="Arial" w:hAnsi="Arial" w:cs="Arial"/>
                <w:sz w:val="20"/>
                <w:rtl w:val="0"/>
              </w:rPr>
              <w:t>Đá hoa trắng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2515.12.10.90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 </w:t>
            </w:r>
            <w:r>
              <w:rPr>
                <w:rFonts w:ascii="Arial" w:eastAsia="Arial" w:hAnsi="Arial" w:cs="Arial"/>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2515.12.20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Dạng tấm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2515.20.00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Ecaussine và đá vôi khác để làm tượng đài hoặc đá xây dựng; thạch cao tuyết hoa: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2515.20.00.10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Đá vôi trắng dạng khối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2515.20.00.90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granit, đá pocfia, bazan, đá cát kết (sa thạch) và đá khác để làm tượng đài hay đá xây dựng, đã hoặc chưa đẽo thô hay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Granit: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Thô hoặc đã đẽo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2516.12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Dạng khối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2516.12.20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Dạng tấm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2516.20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cát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Thô hoặc đã đẽo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2516.20.20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khác để làm tượng đài hoặc làm đá xây dựng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25.17</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w:t>
            </w:r>
            <w:r>
              <w:rPr>
                <w:rFonts w:ascii="Arial" w:eastAsia="Arial" w:hAnsi="Arial" w:cs="Arial"/>
                <w:sz w:val="20"/>
                <w:rtl w:val="0"/>
              </w:rPr>
              <w:t xml:space="preserve"> </w:t>
            </w:r>
            <w:r>
              <w:rPr>
                <w:rFonts w:ascii="Arial" w:eastAsia="Arial" w:hAnsi="Arial" w:cs="Arial"/>
                <w:b/>
                <w:bCs/>
                <w:i w:val="0"/>
                <w:sz w:val="20"/>
                <w:rtl w:val="0"/>
              </w:rPr>
              <w:t>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2517.10.00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cuội, sỏi, đá đã vỡ hoặc nghiền, chủ yếu để làm cốt bê tông, để rải đường bộ hay đường sắt hoặc đá ballast khác, đá cuội nhỏ và đá lửa tự nhiên (flint) khác,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có kích cỡ đến 400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dăm từ xỉ, từ xỉ luyện kim hoặc từ phế thải công nghiệp tương tự, có hoặc không kết hợp với các vật liệu của phân nhóm 2517.10</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dăm trộn nhựa đường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ở 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2517.41.00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Từ đá hoa (marble):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2517.41.00.20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Bột cacbonat canxi được sản xuất từ loại đá thuộc nhóm 25.15, có kích thước hạt trên 0,125 mm đến dưới 1mm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2517.41.00.30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có kích cỡ đến 400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2517.41.00.90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2517.49.00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2517.49.00.20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Bột cacbonat canxi được sản xuất từ loại đá thuộc nhóm 25.15, có kích thước hạt trên 0,125 mm đến dưới 1mm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2517.49.00.30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có kích cỡ đến 400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2517.49.00.90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25.18</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Dolomite, đã hoặc chưa nung hoặc thiêu kết, kể cả dolomite đã đẽo thô hay mới chỉ cắt bằng cưa hoặc các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2518.10.00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Dolomite, chưa nung hoặc thiêu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2518.20.00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Dolomite đã nung hoặc thiêu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Magiê carbonat tự nhiên (magiesite); magiê ôxít nấu chảy; magiê ôxít nung trơ (thiêu kết), có hoặc không thêm một lượng nhỏ ôxít khác trước khi thiêu kết; magiê ôxít khác, tinh khiết hoặc không tinh khiết.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2519.10.00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Magiê carbonat tự nhiên (magnesite)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2519.90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2519.90.10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Magiê ôxit nấu chảy; magiê ôxit nung trơ (thiêu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2519.90.90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Thạch cao; thạch cao khan; thạch cao plaster (bao gồm thạch cao nung hoặc canxi sulphat đã nung), đã hoặc chưa nhuộm màu, có hoặc không thêm một lượng nhỏ chất xúc tác hoặc chất ức chế.</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2520.10.00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Thạch cao; thạch cao khan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Thạch cao plaster:</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2520.20.10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phù hợp dùng trong nha khoa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2520.20.90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2521.00.00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Chất gây chảy gốc đá vôi; đá vôi và đá có chứa canxi khác, dùng để sản xuất vôi hoặc xi măng.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Vôi sống, vôi tôi và vôi thủy lực, trừ oxit canxi và hydroxit canxi thuộc nhóm 28.25.</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Vôi sống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Vôi tôi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2522.30.00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Vôi thủy lực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Amiăng.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2524.10.00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Crocidolite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2524.90.00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Mi ca, kể cả mi ca tách lớp; phế liệu mi ca.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2525.10.00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Mi ca thô và mi ca đã tách thành tấm hoặc lớp</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2525.20.00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mi ca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2525.30.00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mi ca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steatit tự nhiên, đã hoặc chưa đẽo thô hoặc mới chỉ cắt, bằng cưa hoặc các cách khác, thành các khối hoặc tấm hình chữ nhật (kể cả hình vuông); talc.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2526.10.00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Chưa nghiền, chưa làm thành bột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2526.20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Đã nghiền hoặc làm thành bột: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2526.20.10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talc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2526.20.90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2528.00.00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borat tự nhiên và tinh quặng borat (đã hoặc chưa nung), nhưng không kể borat tách từ nước biển tự nhiên; axit boric tự nhiên chứa không quá 85% H</w:t>
            </w:r>
            <w:r>
              <w:rPr>
                <w:rFonts w:ascii="Arial" w:eastAsia="Arial" w:hAnsi="Arial" w:cs="Arial"/>
                <w:b/>
                <w:bCs/>
                <w:sz w:val="20"/>
                <w:vertAlign w:val="subscript"/>
                <w:rtl w:val="0"/>
              </w:rPr>
              <w:t>3</w:t>
            </w:r>
            <w:r>
              <w:rPr>
                <w:rFonts w:ascii="Arial" w:eastAsia="Arial" w:hAnsi="Arial" w:cs="Arial"/>
                <w:b/>
                <w:bCs/>
                <w:sz w:val="20"/>
                <w:rtl w:val="0"/>
              </w:rPr>
              <w:t>BO</w:t>
            </w:r>
            <w:r>
              <w:rPr>
                <w:rFonts w:ascii="Arial" w:eastAsia="Arial" w:hAnsi="Arial" w:cs="Arial"/>
                <w:b/>
                <w:bCs/>
                <w:sz w:val="20"/>
                <w:vertAlign w:val="subscript"/>
                <w:rtl w:val="0"/>
              </w:rPr>
              <w:t>3</w:t>
            </w:r>
            <w:r>
              <w:rPr>
                <w:rFonts w:ascii="Arial" w:eastAsia="Arial" w:hAnsi="Arial" w:cs="Arial"/>
                <w:b/>
                <w:bCs/>
                <w:sz w:val="20"/>
                <w:rtl w:val="0"/>
              </w:rPr>
              <w:t xml:space="preserve"> tính theo trọng lượng khô.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Tràng thạch (đá bồ tát); lơxit (leucite), nephelin và nephelin xienit; khoáng fluorite.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2529.10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Tràng thạch (đá bồ tát):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Potash tràng thạch; soda tràng thạch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Khoáng fluorite: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2529.21.00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chứa canxi florua không quá 97% tính theo khối lượng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2529.22.00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chứa canxi florua trên 97%) tính theo khối lượng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Lơxit; nephelin và nephelin xienit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chất khoáng chưa được chi tiết hoặc ghi ở nơi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Vermiculite, đá trân châu và clorit, chưa giãn nở</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2530.20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Kiezerit, epsomit (magiê sulphat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Kiezerit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2530.20.20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Epsomite (magiê sulphat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2530.90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Cát zircon cỡ hạt micron (zircon silicat) loại dùng làm chất cản quang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2530.90.90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2530.90.90.10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đất hiếm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2530.90.90.90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xỉ và tro</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sắt và tinh quặng sắt, kể cả pirit sắt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sắt và tinh quặng sắt, trừ pirit sắt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nung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2601.11.10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Hematite và tinh quặng hematite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2601.11.90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w:t>
            </w:r>
            <w:r>
              <w:rPr>
                <w:rFonts w:ascii="Arial" w:eastAsia="Arial" w:hAnsi="Arial" w:cs="Arial"/>
                <w:i w:val="0"/>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2601.11.90.10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Tinh quặng sắt hàm lượng cao (Fe ≥ 68%; SiO2 ≤ 3,6%; Al2O3 ≤ 0,3%; TiO2 ≤ 0,002%; P ≤ 0,001%; CaO ≤ 0,02%; MgO ≤ 0,4%; K2O ≤ 0,01%; Na2O ≤ 0,030%; Cu ≤ 0,002%; Zn ≤ 0,004%; Mn ≤ 0,2%; MKN ≤ 0, 01%; S ≤ 0,01%)</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2601.11.90.90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Đã nung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Hematite và tinh quặng hematite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2601.12.90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w:t>
            </w:r>
            <w:r>
              <w:rPr>
                <w:rFonts w:ascii="Arial" w:eastAsia="Arial" w:hAnsi="Arial" w:cs="Arial"/>
                <w:i w:val="0"/>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2601.12.90.10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Tinh quặng sắt hàm lượng cao (Fe ≥ 68%; SiO2 ≤ 3,6%; Al2O3 ≤ 0,3%; TiO2 ≤ 0,002%; P ≤ 0,001%; CaO ≤ 0,02%; MgO ≤ 0,4%; K2O ≤ 0,01%; Na2O ≤ 0,030%; Cu ≤ 0,002%; Zn ≤ 0,004%; Mn ≤ 0,2%; MKN ≤ 0, 01%; S ≤ 0,01%)</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2601.12.90.90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Pirit sắt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2602.00.00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mangan và tinh quặng mangan, kể cả quặng mangan chứa sắt và tinh quặng mangan chứa sắt với hàm lượng mangan từ 20% trở lên, tính theo trọng lượng khô.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2603.00.00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đồng và tinh quặng đồng.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niken và tinh quặng niken.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2604.00.00.10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2604.00.00.90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coban và tinh quặng coban.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2605.00.00.10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2605.00.00.90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nhôm và tinh quặng nhôm.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2606.00.00.10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2606.00.00.90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2607.00.00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chì và tinh quặng chì.</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2608.00.00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kẽm và tinh quặng kẽm.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thiếc và tinh quặng thiếc.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2609.00.00.10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2609.00.00.90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2610.00.00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crôm và tinh quặng crôm.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vonfram và tinh quặng vonfram.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2611.00.00.10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2611.00.00.90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urani hoặc quặng thori và tinh quặng urani hoặc tinh quặng thori.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urani và tinh quặng urani: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thori và tinh quặng thori: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2612.20.00.10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2612.20.00.90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molipden và tinh quặng molipden.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2613.10.00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2613.90.00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2613.90.00.10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2613.90.00.90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titan và tinh quặng titan.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2614.00.10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inmenit và tinh quặng inmenit: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 inmenit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2614.00.90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 rutil 83%≤TiO2≤ 87%</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niobi, tantali, vanadi hoặc zircon và tinh quặng của các loại quặng đó.</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2615.10.00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zircon và tinh quặng zircon: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2615.10.00.20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Bột zircon siêu mịn cỡ hạt nhỏ hơn 75µm (micrô mét)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2615.90.00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Niobi: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kim loại quý và tinh quặng kim loại quý.</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2616.10.00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bạc và tinh quặng bạc: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2616.90.00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vàng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2616.90.00.20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26.17</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quặng khác và tinh quặng của các quặng đó.</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2617.10.00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antimon và tinh quặng antimon: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2617.90.00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2618.00.00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Xỉ hạt (xỉ cát) từ công nghiệp luyện sắt hoặc thép.</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2619.00.00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Xỉ, xỉ luyện kim (trừ xỉ hạt), vụn xỉ và các phế thải khác từ công nghiệp luyện sắt hoặc thép.</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Xỉ, tro và cặn (trừ loại thu được từ quá trình sản xuất sắt hoặc thép), có chứa kim loại, arsen hoặc các hợp chất của chúng.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Chứa chủ yếu là kẽm: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Kẽm tạp chất cứng (sten tráng kẽm)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2620.19.00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Chứa chủ yếu là chì:</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2620.21.00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Cặn của xăng pha chì và cặn của hợp chất chì chống kích nổ</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2620.29.00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Chứa chủ yếu là đồng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2620.40.00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Chứa chủ yếu là nhôm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2620.60.00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Chứa arsen, thuỷ ngân, tali hoặc hỗn hợp của chúng, là loại dùng để tách arsen hoặc những kim loại trên hoặc dùng để sản xuất các hợp chất hóa học của chúng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2620.91.00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antimon, berily, cađimi, crom hoặc các hỗn hợp của chúng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2620.99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2620.99.10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Xỉ và phần chưa cháy hết (hardhead) của thiếc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2620.99.90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26.21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Xỉ và tro khác, kể cả tro tảo biển (tảo bẹ); tro và cặn từ quá trình đốt rác thải đô thị.</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2621.90.90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2621.90.90.10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Xỉ than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27</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Nhiên liệu khoáng, dầu khoáng và các sản phẩm chưng cất từ chúng; các chất chứa bi-tum; các loại sáp khoáng chất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đá;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Than đá,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Anthracite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2701.12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Than bi-tum: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Than để luyện cốc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2701.12.90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 đá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non, đã hoặc chưa đóng bánh, trừ than huyền.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non,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non đã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bùn (kể cả bùn rác), đã hoặc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2703.00.10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bùn, đã hoặc chưa ép thành kiện, nhưng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2703.00.20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bùn đã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cốc và than nửa cốc luyện từ than đá, than non hoặc than bùn, đã hoặc chưa đóng bánh; muội bình chưng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2704.00.10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cốc và than nửa cốc luyện từ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2704.00.20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cốc và than nửa cốc luyện từ than non hoặc than bùn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2704.00.30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Muội bình chưng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Dầu mỏ và các loại dầu thu được từ các khoáng bi-tum, ở dạng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2709.00.10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Dầu mỏ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2709.00.20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Condensate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Khí dầu mỏ và các loại khí hydrocarbon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Dạng hóa lỏng: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Khí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2711.12.00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Propan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2711.13.00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Butan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2711.14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Etylen, propylen, butylen và butadien: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2711.14.10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Etylen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2711.14.90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Dạng khí:</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2711.21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Khí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2711.21.10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sử dụng làm nhiên liệu động cơ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2711.21.90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2711.29.00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Vazơlin (petroleum jelly); sáp parafin, sáp dầu lửa vi tinh thể, sáp than cám, ozokerite, sáp than non, sáp than bùn, sáp khoáng khác, và sản phẩm tương tự thu được từ qui trình tổng hợp hoặc qui trình khác, đã hoặc chưa nhuộm màu.</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Vazơlin (petroleum jelly)</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Sáp parafin có hàm lượng dầu dưới 0,75% tính theo trọng lượng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2712.90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Sáp parafin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Cốc dầu mỏ, bi-tum dầu mỏ và các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Cốc dầu mỏ:</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2713.12.00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Bi-tum dầu mỏ</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Bi-tum và nhựa đường (asphalt), ở dạng tự nhiên; đá phiến sét dầu hoặc đá phiến sét bi-tum và cát hắc ín; asphaltit và đá chứa asphaltic.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2714.10.00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phiến sét dầu hoặc đá phiến sét bi-tum và cát hắc ín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2714.90.00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Hỗn hợp chứa bi-tum dựa trên asphalt tự nhiên, bi-tum tự nhiên, bi- tum dầu mỏ, hắc ín khoáng chất hoặc nhựa hắc ín khoáng chất (ví dụ, matít có chứa bi-tum, cut-backs).</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2715.00.10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Chất phủ hắc ín polyurethan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2715.00.90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bl>
    <w:p>
      <w:pPr>
        <w:bidi w:val="0"/>
        <w:spacing w:before="120" w:beforeAutospacing="0" w:after="280" w:afterAutospacing="1"/>
      </w:pPr>
      <w:r>
        <w:rPr>
          <w:rFonts w:ascii="Arial" w:eastAsia="Arial" w:hAnsi="Arial" w:cs="Arial"/>
          <w:b/>
          <w:bCs/>
          <w:sz w:val="20"/>
          <w:rtl w:val="0"/>
        </w:rPr>
        <w:t xml:space="preserve">Ghi chú: </w:t>
      </w:r>
      <w:r>
        <w:rPr>
          <w:rFonts w:ascii="Arial" w:eastAsia="Arial" w:hAnsi="Arial" w:cs="Arial"/>
          <w:sz w:val="20"/>
          <w:rtl w:val="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pPr>
        <w:bidi w:val="0"/>
        <w:spacing w:before="120" w:beforeAutospacing="0" w:after="280" w:afterAutospacing="1"/>
        <w:jc w:val="left"/>
      </w:pPr>
      <w:r>
        <w:rPr>
          <w:rFonts w:ascii="Arial" w:eastAsia="Arial" w:hAnsi="Arial" w:cs="Arial"/>
          <w:sz w:val="20"/>
          <w:rtl w:val="0"/>
        </w:rPr>
        <w:t> </w:t>
      </w:r>
    </w:p>
    <w:p>
      <w:pPr>
        <w:bidi w:val="0"/>
        <w:spacing w:before="120" w:beforeAutospacing="0" w:after="280" w:afterAutospacing="1"/>
      </w:pPr>
      <w:bookmarkStart w:id="222" w:name="chuong_pl_2"/>
      <w:r>
        <w:rPr>
          <w:rFonts w:ascii="Arial" w:eastAsia="Arial" w:hAnsi="Arial" w:cs="Arial"/>
          <w:sz w:val="24"/>
          <w:rtl w:val="0"/>
        </w:rPr>
        <w:t>PHỤ LỤC II</w:t>
      </w:r>
      <w:bookmarkEnd w:id="222"/>
    </w:p>
    <w:p>
      <w:pPr>
        <w:bidi w:val="0"/>
        <w:spacing w:before="120" w:beforeAutospacing="0" w:after="0" w:afterAutospacing="0"/>
        <w:ind w:left="0" w:right="0"/>
        <w:jc w:val="center"/>
      </w:pPr>
      <w:bookmarkStart w:id="223" w:name="chuong_pl_2_name"/>
      <w:r>
        <w:rPr>
          <w:rFonts w:ascii="Arial" w:eastAsia="Arial" w:hAnsi="Arial" w:cs="Arial"/>
          <w:i w:val="0"/>
          <w:sz w:val="20"/>
          <w:rtl w:val="0"/>
        </w:rPr>
        <w:t>TÀI NGUYÊN, KHOÁNG SẢN KHAI THÁC ĐÃ CHẾ BIẾN THÀNH SẢN PHẨM KHÁC</w:t>
      </w:r>
      <w:bookmarkEnd w:id="223"/>
      <w:r>
        <w:rPr>
          <w:rFonts w:ascii="Arial" w:eastAsia="Arial" w:hAnsi="Arial" w:cs="Arial"/>
          <w:i w:val="0"/>
          <w:sz w:val="20"/>
          <w:rtl w:val="0"/>
        </w:rPr>
        <w:br/>
      </w:r>
      <w:r>
        <w:rPr>
          <w:rFonts w:ascii="Arial" w:eastAsia="Arial" w:hAnsi="Arial" w:cs="Arial"/>
          <w:sz w:val="20"/>
          <w:rtl w:val="0"/>
        </w:rPr>
        <w:t>(Kèm theo Nghị định số 181/2025/NĐ-CP ngày 01 tháng 7 năm 2025 của Chính phủ)</w:t>
      </w:r>
    </w:p>
    <w:tbl>
      <w:tblPr>
        <w:tblW w:w="5000" w:type="pct"/>
        <w:jc w:val="left"/>
        <w:tblCellMar>
          <w:top w:w="0" w:type="dxa"/>
          <w:left w:w="0" w:type="dxa"/>
          <w:bottom w:w="0" w:type="dxa"/>
          <w:right w:w="0" w:type="dxa"/>
        </w:tblCellMar>
      </w:tblPr>
      <w:tblGrid>
        <w:gridCol w:w="1602"/>
        <w:gridCol w:w="7038"/>
      </w:tblGrid>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Mã hàng</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Mô tả hàng hoá</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28</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Hoá chất vô cơ; các hợp chất vô cơ hoặc hữu cơ của kim loại quý, kim loại đất hiếm, các nguyên tố phóng xạ hoặc các chất đồng vị</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28.04</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Hydro, khí hiếm và các phi kim loại khác.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2804.70.00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Phospho:</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2804.70.00.10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Phospho vàng</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28.11</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Axit vô cơ khác và các hợp chất vô cơ chứa oxy khác của các phi kim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chất vô cơ chứa oxy khác của phi kim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2811.22</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Silic dioxit: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2811.22.10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bột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28.17</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Kẽm oxit; kẽm peroxit.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2817.00.10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Kẽm 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2817.00.10.10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Kẽm oxit dạng bột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28.23</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Titan 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2523.00.00.10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Xỉ titan có hàm lượng TiO2 ≥ 85%, FeO ≤ 10%</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2823.00.00.20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-Xỉ titan có hàm lượng 70% ≤ TiO2 &lt; 85%, FeO ≤ 10%</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2823.00.00.30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Rutile có hàm lượng TiO2 &gt; 87%)</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2823. 00.00.40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Inmenit hoàn nguyên có hàm lượng TiO2 ≥ 56%, FeO ≤ 11%)</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28.36</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Carbonat; peroxocarbonat (percarbonat); amoni carbonat thương phẩm có chứa amoni carbamat.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2836.50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Canxi carbonat: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2836.50.90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28.49</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Carbua, đã hoặc chưa xác định về mặt hóa học.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2849.20.00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Của silic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71</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Ngọc trai tự nhiên hoặc nuôi cấy, đá quý hoặc đá bán quý, kim loại quý, kim loại được dát phủ kim loại quý, và các sản phẩm của chúng; đồ trang sức làm bằng chất liệu khác; tiền kim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71.02</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Kim cương, đã hoặc chưa được gia công, nhưng chưa được gắn hoặc nạm dát.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7102.10.00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Kim cương chưa được phân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7102.10.00.10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hoặc mới chỉ được cắt, tách một cách đơn giản hay mới chỉ được chuốt hoặc mài sơ qua</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7102.10.00.90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Kim cương công nghiệp: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Kim cương phi công nghiệp: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7102.31.00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7102.39.00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7103.10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Rubi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7103.10.20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Ngọc bích (nephrite và jadeite)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Đã gia công cách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7103.91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Rubi, saphia và ngọc lục bảo:</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7103.91.10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Rubi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7103.91.90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7104.10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Thạch anh áp điện: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được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7104.10.20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Đã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7104.21.00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Kim cương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Kim cương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Bụi và bột của đá quý hoặc đá bán quý tự nhiên hoặc tổng hợp.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7105.10.00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Của kim cương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7105.90.00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Bạc (kể cả bạc được mạ vàng hoặc bạch kim), chưa gia công hoặc ở dạng bán thành phẩm, hoặc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7106.10.00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7106.91.00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7106.92.00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bán thành phẩm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71.08</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Vàng (kể cả vàng mạ bạch kim) chưa gia công hoặc ở dạng bán thành phẩm, hoặc ở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Không phải dạng tiền tệ:</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Dạng chưa gia công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7108.12.10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cục, thỏi hoặc thanh đúc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7108.12.90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7108.13.00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bán thành phẩm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Dạng tiền tệ</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71.13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 trang sức và các bộ phận của đồ trang sức, bằng kim loại quý hoặc kim loại được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7113.19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7113.19.10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Bộ phận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7113.19.90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71.14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 kỹ nghệ vàng hoặc bạc và các bộ phận của đồ kỹ nghệ vàng bạc,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7114.19.00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71.15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sản phẩm khác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7115.90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7115.90.10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vàng hoặc bạc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Sắt và thép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72.02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Hợp kim fero.</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7202.99.00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72.04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sắt; thỏi đúc phế liệu nấu lại từ sắt hoặc thép.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 của gang đúc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Phế liệu và mảnh vụn của thép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thép không gỉ</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 của sắt hoặc thép tráng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Phế liệu và mảnh vụn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7204.41.00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Phoi tiện, phoi bào, mảnh vỡ, vảy cán, mạt cưa, mạt giũa, phoi cắt và bavia, đã hoặc chưa được ép thành khối hoặc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7204.49.00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7204.50.00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Thỏi đúc phế liệu nấu lại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và các sản phẩm bằng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Sten đồng; đồng xi măng hoá (đồng kết tủa).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Sten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7401.00.20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Đồng xi măng hóa (đồng kết tủa)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chưa tinh luyện; a-nốt đồng dùng cho điện phân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7402.00.10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Đồng xốp (blister copper)</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7402.00.90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tinh luyện và hợp kim đồng,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Đồng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7403.11.00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Ca-tốt và các phần của ca-tốt: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Đồng tinh luyện nguyên chất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Thanh để kéo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7403.13.00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kim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Hợp kim đồng-kẽm (đồng thau)</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7403.22.00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Hợp kim đồng-thiếc (đồng thanh)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Hợp kim đồng khác (trừ các loại hợp kim đồng chủ thuộc nhóm 74.05)</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7404.00.00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Phế liệu và mảnh vụn của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7405.00.00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Hợp kim đồng chủ.</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Bột và vảy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7406.10.00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không có cấu trúc lớp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7406.20.00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có cấu trúc lớp; vảy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74.07</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ở dạng thanh, que và dạng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7407.10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đồng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7407.10.30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Dạng thanh và que: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7407.10.41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Mặt cắt ngang hình vuông hoặc hình chữ nhật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7407.10.49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loại ống và ống dẫn bằng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7411.10.00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đồng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7411.10.00.90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7411.22.00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đồng-niken (đồng kền) hoặc hợp kim đồng-niken-kẽm (bạc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Niken và các sản phẩm bằng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Sten niken,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Sten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Niken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7502.10.00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Niken,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7502.20.00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Hợp kim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7503.00.00.10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niken,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7503.00.00.90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7504.00.00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Bột và vảy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Niken ở dạng thanh, que,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Thanh, que và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7505.11.00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niken,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7505.12.00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và các sản phẩm bằng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Hợp kim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nhôm,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7602.00.00.20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Bột và vảy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7603.10.00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không có cấu trúc lớp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7603.20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Bột có cấu trúc lớp; vảy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7603.20.10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Vảy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7603.20.20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có cấu trúc lớp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ở dạng thanh, que và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7604.10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thanh và que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7604.21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Dạng hình rỗng: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phù hợp để làm dàn lạnh của máy điều hoà không khí cho xe có động cơ</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7604.21.20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Thanh đệm bằng nhôm cho cửa ra vào và cửa sổ</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7604.21.90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7604.29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thanh và que được ép đùn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7604.29.30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hình chữ Y dùng cho dây khóa kéo, ở dạng cuộn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Dây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7605.11.00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7605.19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7605.19.10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Đường kính không quá 0,0508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7605.19.90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7605.29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7605.29.10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Có đường kính không quá 0,254mm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7605.29.90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ở dạng tấm, lá và dải, chiều dày trên 0,2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Hình chữ nhật (kể cả hình vuông):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7606.11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Bằng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w:t>
            </w:r>
            <w:r>
              <w:rPr>
                <w:rFonts w:ascii="Arial" w:eastAsia="Arial" w:hAnsi="Arial" w:cs="Arial"/>
                <w:i w:val="0"/>
                <w:sz w:val="20"/>
                <w:rtl w:val="0"/>
              </w:rPr>
              <w:t>Dạng lá:</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7606.12.32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 </w:t>
            </w:r>
            <w:r>
              <w:rPr>
                <w:rFonts w:ascii="Arial" w:eastAsia="Arial" w:hAnsi="Arial" w:cs="Arial"/>
                <w:i w:val="0"/>
                <w:sz w:val="20"/>
                <w:rtl w:val="0"/>
              </w:rPr>
              <w:t>Để làm lon (kể cả đáy lon và nắp lon), dạng cuộn: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7606.12 32.10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 Dải nhôm cuộn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78</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Chì và các sản phẩm bằng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Chì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7801.10.00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Chì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7801.91.00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hàm lượng antimon tính theo khối lượng là lớn nhất so với hàm lượng của các nguyên tố khác ngoài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7801.99.00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chì,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7802.00.00.90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Chì ở dạng tấm, lá, dải và lá mỏng; bột và vảy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Chì ở dạng tấm,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7804.11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Lá, dải và lá mỏng có chiều dày (trừ phần bồi) không quá 0,2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7804.11.10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Chiều dày không quá 0,15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7804.11.90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và vảy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sản phẩm khác bằng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7806.00.20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Thanh, que, dạng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7806.00.20.10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Thanh, que, dạng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Kẽm và các sản phẩm bằng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Kẽm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Kẽm,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7901.11.00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Có hàm lượng kẽm từ 99,99% trở lên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7901.12.00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Có hàm lượng kẽm dưới 99,99% tính theo khối lượng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7901.12.00.10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7901.12.00.90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7901.20.00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kim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7901.20.00.10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7901.20.00.90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kẽm, đã hoặc chưa được đóng, ép thành khối hay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7902.00.00.90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Bột, bụi và vảy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7903.10.00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Bụi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7903.90.00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7904.00.00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Kẽm ở dạng thanh, que,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xml:space="preserve">Kẽm </w:t>
            </w:r>
            <w:r>
              <w:rPr>
                <w:rFonts w:ascii="Arial" w:eastAsia="Arial" w:hAnsi="Arial" w:cs="Arial"/>
                <w:b/>
                <w:bCs/>
                <w:sz w:val="20"/>
                <w:rtl w:val="0"/>
              </w:rPr>
              <w:t>ở</w:t>
            </w:r>
            <w:r>
              <w:rPr>
                <w:rFonts w:ascii="Arial" w:eastAsia="Arial" w:hAnsi="Arial" w:cs="Arial"/>
                <w:b/>
                <w:bCs/>
                <w:i w:val="0"/>
                <w:sz w:val="20"/>
                <w:rtl w:val="0"/>
              </w:rPr>
              <w:t xml:space="preserve"> dạng tấm,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7905.00.40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Chiều dày không quá 0,15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7905.00.90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80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Thiếc và các sản phẩm bằng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Thiếc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Thiếc,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8001.10.00.10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8001.10.00.90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kim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8001.20.00.10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8001.20.00.90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thiếc,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8002.00.00.90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xml:space="preserve">Thiếc </w:t>
            </w:r>
            <w:r>
              <w:rPr>
                <w:rFonts w:ascii="Arial" w:eastAsia="Arial" w:hAnsi="Arial" w:cs="Arial"/>
                <w:b/>
                <w:bCs/>
                <w:sz w:val="20"/>
                <w:rtl w:val="0"/>
              </w:rPr>
              <w:t>ở</w:t>
            </w:r>
            <w:r>
              <w:rPr>
                <w:rFonts w:ascii="Arial" w:eastAsia="Arial" w:hAnsi="Arial" w:cs="Arial"/>
                <w:b/>
                <w:bCs/>
                <w:i w:val="0"/>
                <w:sz w:val="20"/>
                <w:rtl w:val="0"/>
              </w:rPr>
              <w:t xml:space="preserve"> dạng thanh, que, dạng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8003.00.10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Thanh và que hàn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8003.00.90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80.07</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sản phẩm khác bằng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8007.00.30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Lá mỏng (đã hoặc chưa in hoặc bồi trên giấy, bìa, plastic hoặc vật liệu bồi tương tự), có chiều dày (trừ phần bồi) không quá 0,2 mm; dạng bột và vảy: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8007.00.30.10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bột và vảy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81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Kim loại cơ bản khác; gốm kim loại; các sản phẩm của chúng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Vonfram và các sản phẩm làm từ vonfram,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8101.94.00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Vonfram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8101.96.00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8101.97.00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8101.99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Thanh và que, trừ các loại thu được từ quá trình thiêu kết; dạng hình,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Molypđen và các sản phẩm làm từ molypđen,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8102.10.00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8102.94.00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Molypđen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8102.95.00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Thanh và que, trừ các loại thu được từ quá trình thiêu kết, dạng hình, tấm,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8102.96.00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8102.97.00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Tantan và các sản phẩm làm từ tantan,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Tantan chưa gia công, kể cả thanh và que thu được từ quá trình thiêu kết;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Chén nung (crucible)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Magiê và các sản phẩm của magiê,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Magiê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chứa hàm lượng magiê ít nhất 99,8%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Mạt giũa, phoi tiện và hạt, đã được phân loại theo kích cỡ;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Coban sten và các sản phẩm trung gian khác từ luyện coban; coban và các sản phẩm bằng coban,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8105.20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Coban sten và các sản phẩm trung gian khác từ luyện coban; coban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8105.20.10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Coban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8105.20.90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Bismut và các sản phẩm làm từ bismut,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Chứa hàm lượng bismut trên 99,99%,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Bismut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8106.10.10.10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8106.10.10.90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8106.90.10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Bismut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8106.90.10.10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8106.90.10.90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8106.90.90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81.08</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Titan và các sản phẩm làm từ titan,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8108.20.00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Titan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8108.30.00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8108.90.00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Zircon và các sản phẩm làm từ zircon,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Zircon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8109.31.00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8109.39.00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Antimon và các sản phẩm làm từ antimon,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8110.10.00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Antimon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8110.20.00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8110.90.00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Mangan và các sản phẩm làm từ mangan,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Beryli, crôm, hafini, reni, tali, cađimi, germani, vanadi, gali, indi và niobi (columbi), và các sản phẩm từ các kim loại này,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Beryli: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8112.13.00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Crôm: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8112.22.00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Hafini: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8112.31.00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8112.31.00.10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8112.31.00.90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8112.39.00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Reni: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8112.41.00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8112.41.00.10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8112.41.00.90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8112.49.00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Tali: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8112.51.00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8112.52.00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8112.59.00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Cađimi: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8112.61.00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8112.69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8112.69.10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8112.69.90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8112.92.00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8112.92.00.10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8112.92.00.90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Gốm kim loại và các sản phẩm làm từ gốm kim loại,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8113.00.00.10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8113.00.00.90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bl>
    <w:p>
      <w:pPr>
        <w:bidi w:val="0"/>
        <w:spacing w:before="120" w:beforeAutospacing="0" w:after="280" w:afterAutospacing="1"/>
        <w:jc w:val="left"/>
      </w:pPr>
      <w:r>
        <w:rPr>
          <w:rFonts w:ascii="Arial" w:eastAsia="Arial" w:hAnsi="Arial" w:cs="Arial"/>
          <w:sz w:val="20"/>
          <w:rtl w:val="0"/>
        </w:rPr>
        <w:t xml:space="preserve">Ghi chú: </w:t>
      </w:r>
      <w:r>
        <w:rPr>
          <w:rFonts w:ascii="Arial" w:eastAsia="Arial" w:hAnsi="Arial" w:cs="Arial"/>
          <w:b w:val="0"/>
          <w:sz w:val="20"/>
          <w:rtl w:val="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pPr>
        <w:bidi w:val="0"/>
        <w:spacing w:before="120" w:beforeAutospacing="0" w:after="280" w:afterAutospacing="1"/>
        <w:jc w:val="left"/>
      </w:pPr>
      <w:r>
        <w:rPr>
          <w:rFonts w:ascii="Arial" w:eastAsia="Arial" w:hAnsi="Arial" w:cs="Arial"/>
          <w:b w:val="0"/>
          <w:sz w:val="20"/>
          <w:rtl w:val="0"/>
        </w:rPr>
        <w:t> </w:t>
      </w:r>
    </w:p>
    <w:p>
      <w:pPr>
        <w:bidi w:val="0"/>
        <w:spacing w:before="120" w:beforeAutospacing="0" w:after="280" w:afterAutospacing="1"/>
      </w:pPr>
      <w:bookmarkStart w:id="224" w:name="chuong_pl_3"/>
      <w:r>
        <w:rPr>
          <w:rFonts w:ascii="Arial" w:eastAsia="Arial" w:hAnsi="Arial" w:cs="Arial"/>
          <w:sz w:val="24"/>
          <w:rtl w:val="0"/>
        </w:rPr>
        <w:t>PHỤ LỤC III</w:t>
      </w:r>
      <w:bookmarkEnd w:id="224"/>
    </w:p>
    <w:p>
      <w:pPr>
        <w:bidi w:val="0"/>
        <w:spacing w:before="120" w:beforeAutospacing="0" w:after="280" w:afterAutospacing="1"/>
      </w:pPr>
      <w:bookmarkStart w:id="225" w:name="chuong_pl_3_name"/>
      <w:r>
        <w:rPr>
          <w:rFonts w:ascii="Arial" w:eastAsia="Arial" w:hAnsi="Arial" w:cs="Arial"/>
          <w:b w:val="0"/>
          <w:sz w:val="20"/>
          <w:rtl w:val="0"/>
        </w:rPr>
        <w:t>BẢNG KÊ HÀNG HÓA BÁN CHO KHÁCH XUẤT CẢNH TẠI KHU VỰC CÁCH LY, CỬA HÀNG MIỄN THUẾ</w:t>
      </w:r>
      <w:bookmarkEnd w:id="225"/>
      <w:r>
        <w:rPr>
          <w:rFonts w:ascii="Arial" w:eastAsia="Arial" w:hAnsi="Arial" w:cs="Arial"/>
          <w:b w:val="0"/>
          <w:sz w:val="20"/>
          <w:rtl w:val="0"/>
        </w:rPr>
        <w:br/>
      </w:r>
      <w:r>
        <w:rPr>
          <w:rFonts w:ascii="Arial" w:eastAsia="Arial" w:hAnsi="Arial" w:cs="Arial"/>
          <w:b w:val="0"/>
          <w:i/>
          <w:iCs/>
          <w:sz w:val="20"/>
          <w:rtl w:val="0"/>
        </w:rPr>
        <w:t>(Kèm theo Nghị định số 181/2025/NĐ-CP ngày 01 tháng 7 năm 2025 của Chính phủ)</w:t>
      </w:r>
    </w:p>
    <w:p>
      <w:pPr>
        <w:bidi w:val="0"/>
        <w:spacing w:before="120" w:beforeAutospacing="0" w:after="280" w:afterAutospacing="1"/>
      </w:pPr>
      <w:r>
        <w:rPr>
          <w:rFonts w:ascii="Arial" w:eastAsia="Arial" w:hAnsi="Arial" w:cs="Arial"/>
          <w:sz w:val="20"/>
          <w:rtl w:val="0"/>
        </w:rPr>
        <w:t>(01) Tên doanh nghiệp:</w:t>
      </w:r>
    </w:p>
    <w:p>
      <w:pPr>
        <w:bidi w:val="0"/>
        <w:spacing w:before="120" w:beforeAutospacing="0" w:after="280" w:afterAutospacing="1"/>
      </w:pPr>
      <w:r>
        <w:rPr>
          <w:rFonts w:ascii="Arial" w:eastAsia="Arial" w:hAnsi="Arial" w:cs="Arial"/>
          <w:sz w:val="20"/>
          <w:rtl w:val="0"/>
        </w:rPr>
        <w:t>(02) Mã số thuế:</w:t>
      </w:r>
    </w:p>
    <w:p>
      <w:pPr>
        <w:bidi w:val="0"/>
        <w:spacing w:before="120" w:beforeAutospacing="0" w:after="280" w:afterAutospacing="1"/>
      </w:pPr>
      <w:r>
        <w:rPr>
          <w:rFonts w:ascii="Arial" w:eastAsia="Arial" w:hAnsi="Arial" w:cs="Arial"/>
          <w:sz w:val="20"/>
          <w:rtl w:val="0"/>
        </w:rPr>
        <w:t>(03) Cửa hàng/kho chứa hàng:</w:t>
      </w:r>
    </w:p>
    <w:p>
      <w:pPr>
        <w:bidi w:val="0"/>
        <w:spacing w:before="120" w:beforeAutospacing="0" w:after="280" w:afterAutospacing="1"/>
      </w:pPr>
      <w:r>
        <w:rPr>
          <w:rFonts w:ascii="Arial" w:eastAsia="Arial" w:hAnsi="Arial" w:cs="Arial"/>
          <w:sz w:val="20"/>
          <w:rtl w:val="0"/>
        </w:rPr>
        <w:t>(04) Quốc gia/vùng lãnh thổ giao hàng:</w:t>
      </w:r>
    </w:p>
    <w:tbl>
      <w:tblPr>
        <w:tblW w:w="5000" w:type="pct"/>
        <w:jc w:val="left"/>
        <w:tblCellMar>
          <w:top w:w="0" w:type="dxa"/>
          <w:left w:w="0" w:type="dxa"/>
          <w:bottom w:w="0" w:type="dxa"/>
          <w:right w:w="0" w:type="dxa"/>
        </w:tblCellMar>
      </w:tblPr>
      <w:tblGrid>
        <w:gridCol w:w="475"/>
        <w:gridCol w:w="973"/>
        <w:gridCol w:w="983"/>
        <w:gridCol w:w="893"/>
        <w:gridCol w:w="617"/>
        <w:gridCol w:w="1934"/>
        <w:gridCol w:w="560"/>
        <w:gridCol w:w="555"/>
        <w:gridCol w:w="548"/>
        <w:gridCol w:w="629"/>
        <w:gridCol w:w="473"/>
      </w:tblGrid>
      <w:tr>
        <w:tblPrEx>
          <w:tblW w:w="5000" w:type="pct"/>
          <w:jc w:val="left"/>
          <w:tblCellMar>
            <w:top w:w="0" w:type="dxa"/>
            <w:left w:w="0" w:type="dxa"/>
            <w:bottom w:w="0" w:type="dxa"/>
            <w:right w:w="0" w:type="dxa"/>
          </w:tblCellMar>
        </w:tblPrEx>
        <w:trPr>
          <w:jc w:val="left"/>
        </w:trPr>
        <w:tc>
          <w:tcPr>
            <w:tcW w:w="27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STT</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6" w:type="pct"/>
            <w:gridSpan w:val="5"/>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Thông tin người mua hàng</w:t>
            </w:r>
          </w:p>
        </w:tc>
        <w:tc>
          <w:tcPr>
            <w:tcW w:w="1276" w:type="pct"/>
            <w:gridSpan w:val="4"/>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Thông tin hàng hóa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Số hóa đơn</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Ngày hóa đơn</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Họ tên</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Quốc tịch</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Số hộ chiếu/số giấy thông hành/số giấy tờ có giá trị đi lại quốc tế</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Ngày cấp</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Tên hàng</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Đơn vị tính</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Số lượng</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Trị giá</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(05)</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(06)</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(07)</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(08)</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(09)</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(10)</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(11)</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(12)</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(13)</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(14)</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(15)</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THEO PHÁP LUẬT</w:t>
            </w:r>
            <w:r>
              <w:rPr>
                <w:b/>
                <w:bCs/>
                <w:rtl w:val="0"/>
              </w:rPr>
              <w:br/>
            </w:r>
            <w:r>
              <w:rPr>
                <w:b/>
                <w:bCs/>
                <w:rtl w:val="0"/>
              </w:rPr>
              <w:t>CỦA DOANH NGHIỆP</w:t>
            </w:r>
            <w:r>
              <w:rPr>
                <w:b/>
                <w:bCs/>
                <w:rtl w:val="0"/>
              </w:rPr>
              <w:br/>
            </w:r>
            <w:r>
              <w:rPr>
                <w:i/>
                <w:iCs/>
                <w:rtl w:val="0"/>
              </w:rPr>
              <w:t>(Ký tên và đóng dấu)</w:t>
            </w:r>
          </w:p>
        </w:tc>
      </w:tr>
    </w:tbl>
    <w:p>
      <w:pPr>
        <w:bidi w:val="0"/>
        <w:spacing w:before="120" w:beforeAutospacing="0" w:after="280" w:afterAutospacing="1"/>
        <w:jc w:val="center"/>
      </w:pPr>
      <w:r>
        <w:rPr>
          <w:rtl w:val="0"/>
        </w:rPr>
        <w:t> </w:t>
      </w:r>
    </w:p>
    <w:p>
      <w:pPr>
        <w:bidi w:val="0"/>
        <w:spacing w:before="120" w:beforeAutospacing="0" w:after="0" w:afterAutospacing="0"/>
        <w:ind w:left="0" w:right="0"/>
        <w:jc w:val="center"/>
      </w:pPr>
      <w:bookmarkStart w:id="226" w:name="chuong_pl_4"/>
      <w:r>
        <w:rPr>
          <w:rFonts w:ascii="Arial" w:eastAsia="Arial" w:hAnsi="Arial" w:cs="Arial"/>
          <w:b/>
          <w:bCs/>
          <w:i w:val="0"/>
          <w:sz w:val="24"/>
          <w:rtl w:val="0"/>
        </w:rPr>
        <w:t>PHỤ LỤC IV</w:t>
      </w:r>
      <w:bookmarkEnd w:id="226"/>
    </w:p>
    <w:p>
      <w:pPr>
        <w:bidi w:val="0"/>
        <w:spacing w:before="120" w:beforeAutospacing="0" w:after="280" w:afterAutospacing="1"/>
        <w:jc w:val="center"/>
      </w:pPr>
      <w:bookmarkStart w:id="227" w:name="chuong_pl_4_name"/>
      <w:r>
        <w:rPr>
          <w:rtl w:val="0"/>
        </w:rPr>
        <w:t>HOÀN THUẾ ĐỐI VỚI HÀNG HÓA MUA TẠI VIỆT NAM MANG THEO KHI XUẤT CẢNH CỦA NGƯỜI NƯỚC NGOÀI, NGƯỜI VIỆT NAM ĐỊNH CƯ Ở NƯỚC NGOÀI MANG HỘ CHIẾU HOẶC GIẤY TỜ CÓ GIÁ TRỊ ĐI LẠI QUỐC TẾ</w:t>
      </w:r>
      <w:bookmarkEnd w:id="227"/>
      <w:r>
        <w:rPr>
          <w:rtl w:val="0"/>
        </w:rPr>
        <w:br/>
      </w:r>
      <w:r>
        <w:rPr>
          <w:i/>
          <w:iCs/>
          <w:rtl w:val="0"/>
        </w:rPr>
        <w:t>(Kèm theo Nghị định số 181/2025/NĐ-CP ngày 01 tháng 7 năm 2025 của Chính phủ)</w:t>
      </w:r>
    </w:p>
    <w:p>
      <w:pPr>
        <w:bidi w:val="0"/>
        <w:spacing w:before="120" w:beforeAutospacing="0" w:after="0" w:afterAutospacing="0"/>
        <w:ind w:left="0" w:right="0"/>
      </w:pPr>
      <w:r>
        <w:rPr>
          <w:rFonts w:ascii="Arial" w:eastAsia="Arial" w:hAnsi="Arial" w:cs="Arial"/>
          <w:i w:val="0"/>
          <w:sz w:val="20"/>
          <w:rtl w:val="0"/>
        </w:rPr>
        <w:t xml:space="preserve">Việc hoàn thuế đối với trường hợp người nước ngoài, người Việt Nam định cư ở nước ngoài mang hộ chiếu hoặc giấy tờ có giá trị đi lại quốc tế mua hàng hóa tại Việt Nam và mang theo khi xuất cảnh quy định tại </w:t>
      </w:r>
      <w:bookmarkStart w:id="228" w:name="tc_21"/>
      <w:r>
        <w:rPr>
          <w:rFonts w:ascii="Arial" w:eastAsia="Arial" w:hAnsi="Arial" w:cs="Arial"/>
          <w:i w:val="0"/>
          <w:sz w:val="20"/>
          <w:rtl w:val="0"/>
        </w:rPr>
        <w:t>Điều 33 Nghị định này</w:t>
      </w:r>
      <w:bookmarkEnd w:id="228"/>
      <w:r>
        <w:rPr>
          <w:rFonts w:ascii="Arial" w:eastAsia="Arial" w:hAnsi="Arial" w:cs="Arial"/>
          <w:i w:val="0"/>
          <w:sz w:val="20"/>
          <w:rtl w:val="0"/>
        </w:rPr>
        <w:t xml:space="preserve"> được thực hiện như sau:</w:t>
      </w:r>
    </w:p>
    <w:p>
      <w:pPr>
        <w:bidi w:val="0"/>
        <w:spacing w:before="120" w:beforeAutospacing="0" w:after="0" w:afterAutospacing="0"/>
        <w:ind w:left="0" w:right="0"/>
      </w:pPr>
      <w:r>
        <w:rPr>
          <w:rFonts w:ascii="Arial" w:eastAsia="Arial" w:hAnsi="Arial" w:cs="Arial"/>
          <w:i w:val="0"/>
          <w:sz w:val="20"/>
          <w:rtl w:val="0"/>
        </w:rPr>
        <w:t>1. Hàng hóa được hoàn thuế giá trị gia tăng quy định tại Phụ lục này là hàng hóa đáp ứng quy định sau:</w:t>
      </w:r>
    </w:p>
    <w:p>
      <w:pPr>
        <w:bidi w:val="0"/>
        <w:spacing w:before="120" w:beforeAutospacing="0" w:after="0" w:afterAutospacing="0"/>
        <w:ind w:left="0" w:right="0"/>
      </w:pPr>
      <w:r>
        <w:rPr>
          <w:rFonts w:ascii="Arial" w:eastAsia="Arial" w:hAnsi="Arial" w:cs="Arial"/>
          <w:i w:val="0"/>
          <w:sz w:val="20"/>
          <w:rtl w:val="0"/>
        </w:rPr>
        <w:t xml:space="preserve">a) Hàng hóa không thuộc Danh mục hàng hóa cấm xuất khẩu; Danh mục hàng hóa xuất khẩu theo giấy phép của Bộ Công Thương hoặc Danh mục hàng hóa xuất khẩu thuộc diện quản lý chuyên ngành quy định tại Nghị định số </w:t>
      </w:r>
      <w:bookmarkStart w:id="229" w:name="tvpllink_csewxueqph"/>
      <w:r>
        <w:rPr>
          <w:rFonts w:ascii="Arial" w:eastAsia="Arial" w:hAnsi="Arial" w:cs="Arial"/>
          <w:i w:val="0"/>
          <w:sz w:val="20"/>
          <w:rtl w:val="0"/>
        </w:rPr>
        <w:t>69/2018/NĐ-CP</w:t>
      </w:r>
      <w:bookmarkEnd w:id="229"/>
      <w:r>
        <w:rPr>
          <w:rFonts w:ascii="Arial" w:eastAsia="Arial" w:hAnsi="Arial" w:cs="Arial"/>
          <w:i w:val="0"/>
          <w:sz w:val="20"/>
          <w:rtl w:val="0"/>
        </w:rPr>
        <w:t xml:space="preserve"> ngày 15 tháng 5 năm 2018 của Chính phủ quy định chi tiết một số điều của </w:t>
      </w:r>
      <w:bookmarkStart w:id="230" w:name="tvpllink_pugiufdkvo"/>
      <w:r>
        <w:rPr>
          <w:rFonts w:ascii="Arial" w:eastAsia="Arial" w:hAnsi="Arial" w:cs="Arial"/>
          <w:i w:val="0"/>
          <w:sz w:val="20"/>
          <w:rtl w:val="0"/>
        </w:rPr>
        <w:t>Luật Quản lý ngoại thương</w:t>
      </w:r>
      <w:bookmarkEnd w:id="230"/>
      <w:r>
        <w:rPr>
          <w:rFonts w:ascii="Arial" w:eastAsia="Arial" w:hAnsi="Arial" w:cs="Arial"/>
          <w:i w:val="0"/>
          <w:sz w:val="20"/>
          <w:rtl w:val="0"/>
        </w:rPr>
        <w:t xml:space="preserve"> và các văn bản hướng dẫn Nghị định này.</w:t>
      </w:r>
    </w:p>
    <w:p>
      <w:pPr>
        <w:bidi w:val="0"/>
        <w:spacing w:before="120" w:beforeAutospacing="0" w:after="0" w:afterAutospacing="0"/>
        <w:ind w:left="0" w:right="0"/>
      </w:pPr>
      <w:r>
        <w:rPr>
          <w:rFonts w:ascii="Arial" w:eastAsia="Arial" w:hAnsi="Arial" w:cs="Arial"/>
          <w:i w:val="0"/>
          <w:sz w:val="20"/>
          <w:rtl w:val="0"/>
        </w:rPr>
        <w:t xml:space="preserve">b) Hàng hóa không thuộc đối tượng cấm đưa lên tàu bay quy định tại </w:t>
      </w:r>
      <w:bookmarkStart w:id="231" w:name="dc_33"/>
      <w:r>
        <w:rPr>
          <w:rFonts w:ascii="Arial" w:eastAsia="Arial" w:hAnsi="Arial" w:cs="Arial"/>
          <w:i w:val="0"/>
          <w:sz w:val="20"/>
          <w:rtl w:val="0"/>
        </w:rPr>
        <w:t>Điều 12 Luật Hàng không dân dụng Việt Nam</w:t>
      </w:r>
      <w:bookmarkEnd w:id="231"/>
      <w:r>
        <w:rPr>
          <w:rFonts w:ascii="Arial" w:eastAsia="Arial" w:hAnsi="Arial" w:cs="Arial"/>
          <w:i w:val="0"/>
          <w:sz w:val="20"/>
          <w:rtl w:val="0"/>
        </w:rPr>
        <w:t xml:space="preserve"> ngày 29 tháng 6 năm 2006 và các văn bản hướng dẫn thực hiện.</w:t>
      </w:r>
    </w:p>
    <w:p>
      <w:pPr>
        <w:bidi w:val="0"/>
        <w:spacing w:before="120" w:beforeAutospacing="0" w:after="0" w:afterAutospacing="0"/>
        <w:ind w:left="0" w:right="0"/>
      </w:pPr>
      <w:r>
        <w:rPr>
          <w:rFonts w:ascii="Arial" w:eastAsia="Arial" w:hAnsi="Arial" w:cs="Arial"/>
          <w:i w:val="0"/>
          <w:sz w:val="20"/>
          <w:rtl w:val="0"/>
        </w:rPr>
        <w:t xml:space="preserve">c) Hàng hóa không thuộc các mặt hàng được hoàn thuế giá trị gia tăng của người nước ngoài, người Việt Nam định cư ở nước ngoài theo quy định tại Thông tư số </w:t>
      </w:r>
      <w:bookmarkStart w:id="232" w:name="tvpllink_ovepshmqqo"/>
      <w:r>
        <w:rPr>
          <w:rFonts w:ascii="Arial" w:eastAsia="Arial" w:hAnsi="Arial" w:cs="Arial"/>
          <w:i w:val="0"/>
          <w:sz w:val="20"/>
          <w:rtl w:val="0"/>
        </w:rPr>
        <w:t>08/2003/TT-BTC</w:t>
      </w:r>
      <w:bookmarkEnd w:id="232"/>
      <w:r>
        <w:rPr>
          <w:rFonts w:ascii="Arial" w:eastAsia="Arial" w:hAnsi="Arial" w:cs="Arial"/>
          <w:i w:val="0"/>
          <w:sz w:val="20"/>
          <w:rtl w:val="0"/>
        </w:rPr>
        <w:t xml:space="preserve"> ngày 15 tháng 01 năm 2003 của Bộ trưởng Bộ Tài chính hướng dẫn hoàn thuế giá trị gia tăng đối với cơ quan đại diện ngoại giao, cơ quan lãnh sự và cơ quan đại diện của tổ chức quốc tế tại Việt Nam.</w:t>
      </w:r>
    </w:p>
    <w:p>
      <w:pPr>
        <w:bidi w:val="0"/>
        <w:spacing w:before="120" w:beforeAutospacing="0" w:after="0" w:afterAutospacing="0"/>
        <w:ind w:left="0" w:right="0"/>
      </w:pPr>
      <w:r>
        <w:rPr>
          <w:rFonts w:ascii="Arial" w:eastAsia="Arial" w:hAnsi="Arial" w:cs="Arial"/>
          <w:i w:val="0"/>
          <w:sz w:val="20"/>
          <w:rtl w:val="0"/>
        </w:rPr>
        <w:t>d) Hàng hóa mua tại doanh nghiệp bán hàng hoàn thuế giá trị gia tăng, chưa qua sử dụng, còn nguyên đai, nguyên kiện khi mua hàng, có hóa đơn giá trị gia tăng kiêm tờ khai hoàn thuế được lập trong thời gian tối đa 60 ngày tính đến ngày người nước ngoài, người Việt Nam định cư ở nước ngoài xuất cảnh.</w:t>
      </w:r>
    </w:p>
    <w:p>
      <w:pPr>
        <w:bidi w:val="0"/>
        <w:spacing w:before="120" w:beforeAutospacing="0" w:after="0" w:afterAutospacing="0"/>
        <w:ind w:left="0" w:right="0"/>
      </w:pPr>
      <w:r>
        <w:rPr>
          <w:rFonts w:ascii="Arial" w:eastAsia="Arial" w:hAnsi="Arial" w:cs="Arial"/>
          <w:i w:val="0"/>
          <w:sz w:val="20"/>
          <w:rtl w:val="0"/>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pPr>
        <w:bidi w:val="0"/>
        <w:spacing w:before="120" w:beforeAutospacing="0" w:after="0" w:afterAutospacing="0"/>
        <w:ind w:left="0" w:right="0"/>
      </w:pPr>
      <w:r>
        <w:rPr>
          <w:rFonts w:ascii="Arial" w:eastAsia="Arial" w:hAnsi="Arial" w:cs="Arial"/>
          <w:i w:val="0"/>
          <w:sz w:val="20"/>
          <w:rtl w:val="0"/>
        </w:rPr>
        <w:t>2. Số tiền được hoàn thuế, đồng tiền hoàn thuế giá trị gia tăng</w:t>
      </w:r>
    </w:p>
    <w:p>
      <w:pPr>
        <w:bidi w:val="0"/>
        <w:spacing w:before="120" w:beforeAutospacing="0" w:after="0" w:afterAutospacing="0"/>
        <w:ind w:left="0" w:right="0"/>
      </w:pPr>
      <w:r>
        <w:rPr>
          <w:rFonts w:ascii="Arial" w:eastAsia="Arial" w:hAnsi="Arial" w:cs="Arial"/>
          <w:i w:val="0"/>
          <w:sz w:val="20"/>
          <w:rtl w:val="0"/>
        </w:rPr>
        <w:t>a) Số tiền thuế giá trị gia tăng người nước ngoài, người Việt Nam định cư ở nước ngoài được hoàn bằng 85% (tám mươi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pPr>
        <w:bidi w:val="0"/>
        <w:spacing w:before="120" w:beforeAutospacing="0" w:after="0" w:afterAutospacing="0"/>
        <w:ind w:left="0" w:right="0"/>
      </w:pPr>
      <w:r>
        <w:rPr>
          <w:rFonts w:ascii="Arial" w:eastAsia="Arial" w:hAnsi="Arial" w:cs="Arial"/>
          <w:i w:val="0"/>
          <w:sz w:val="20"/>
          <w:rtl w:val="0"/>
        </w:rPr>
        <w:t>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pPr>
        <w:bidi w:val="0"/>
        <w:spacing w:before="120" w:beforeAutospacing="0" w:after="0" w:afterAutospacing="0"/>
        <w:ind w:left="0" w:right="0"/>
      </w:pPr>
      <w:r>
        <w:rPr>
          <w:rFonts w:ascii="Arial" w:eastAsia="Arial" w:hAnsi="Arial" w:cs="Arial"/>
          <w:i w:val="0"/>
          <w:sz w:val="20"/>
          <w:rtl w:val="0"/>
        </w:rPr>
        <w:t>b) Đồng tiền hoàn thuế là đồng Việt Nam. Trường hợp người nước ngoài, người Việt Nam định cư ở nước ngoài có yêu cầu được chuyển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pPr>
        <w:bidi w:val="0"/>
        <w:spacing w:before="120" w:beforeAutospacing="0" w:after="0" w:afterAutospacing="0"/>
        <w:ind w:left="0" w:right="0"/>
      </w:pPr>
      <w:r>
        <w:rPr>
          <w:rFonts w:ascii="Arial" w:eastAsia="Arial" w:hAnsi="Arial" w:cs="Arial"/>
          <w:i w:val="0"/>
          <w:sz w:val="20"/>
          <w:rtl w:val="0"/>
        </w:rPr>
        <w:t>Tỷ giá chuyển đổi là tỷ giá do ngân hàng thương mại niêm yết tại thời điểm chuyển đổi và phù hợp với quy định của Ngân hàng Nhà nước Việt Nam.</w:t>
      </w:r>
    </w:p>
    <w:p>
      <w:pPr>
        <w:bidi w:val="0"/>
        <w:spacing w:before="120" w:beforeAutospacing="0" w:after="0" w:afterAutospacing="0"/>
        <w:ind w:left="0" w:right="0"/>
      </w:pPr>
      <w:r>
        <w:rPr>
          <w:rFonts w:ascii="Arial" w:eastAsia="Arial" w:hAnsi="Arial" w:cs="Arial"/>
          <w:i w:val="0"/>
          <w:sz w:val="20"/>
          <w:rtl w:val="0"/>
        </w:rPr>
        <w:t>3. Thời điểm hoàn thuế giá trị gia tăng</w:t>
      </w:r>
    </w:p>
    <w:p>
      <w:pPr>
        <w:bidi w:val="0"/>
        <w:spacing w:before="120" w:beforeAutospacing="0" w:after="0" w:afterAutospacing="0"/>
        <w:ind w:left="0" w:right="0"/>
      </w:pPr>
      <w:r>
        <w:rPr>
          <w:rFonts w:ascii="Arial" w:eastAsia="Arial" w:hAnsi="Arial" w:cs="Arial"/>
          <w:i w:val="0"/>
          <w:sz w:val="20"/>
          <w:rtl w:val="0"/>
        </w:rPr>
        <w:t>a) 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kiểm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pPr>
        <w:bidi w:val="0"/>
        <w:spacing w:before="120" w:beforeAutospacing="0" w:after="0" w:afterAutospacing="0"/>
        <w:ind w:left="0" w:right="0"/>
      </w:pPr>
      <w:r>
        <w:rPr>
          <w:rFonts w:ascii="Arial" w:eastAsia="Arial" w:hAnsi="Arial" w:cs="Arial"/>
          <w:i w:val="0"/>
          <w:sz w:val="20"/>
          <w:rtl w:val="0"/>
        </w:rPr>
        <w:t>b)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người nước ngoài, người Việt Nam định cư ở nước ngoài theo quy định tại Nghị định này.</w:t>
      </w:r>
    </w:p>
    <w:p>
      <w:pPr>
        <w:bidi w:val="0"/>
        <w:spacing w:before="120" w:beforeAutospacing="0" w:after="0" w:afterAutospacing="0"/>
        <w:ind w:left="0" w:right="0"/>
      </w:pPr>
      <w:r>
        <w:rPr>
          <w:rFonts w:ascii="Arial" w:eastAsia="Arial" w:hAnsi="Arial" w:cs="Arial"/>
          <w:i w:val="0"/>
          <w:sz w:val="20"/>
          <w:rtl w:val="0"/>
        </w:rPr>
        <w:t>4. Hồ sơ, thủ tục hoàn thuế giá trị gia tăng cho người nước ngoài, người Việt Nam định cư ở nước ngoài khi xuất cảnh</w:t>
      </w:r>
    </w:p>
    <w:p>
      <w:pPr>
        <w:bidi w:val="0"/>
        <w:spacing w:before="120" w:beforeAutospacing="0" w:after="0" w:afterAutospacing="0"/>
        <w:ind w:left="0" w:right="0"/>
      </w:pPr>
      <w:r>
        <w:rPr>
          <w:rFonts w:ascii="Arial" w:eastAsia="Arial" w:hAnsi="Arial" w:cs="Arial"/>
          <w:i w:val="0"/>
          <w:sz w:val="20"/>
          <w:rtl w:val="0"/>
        </w:rPr>
        <w:t>a) Người nước ngoài, người Việt Nam định cư ở nước ngoài xuất trình cho cơ quan hải quan tại quầy kiểm tra hóa đơn giá trị gia tăng kiêm tờ khai hoàn thuế, hàng hóa, các giấy tờ sau đây:</w:t>
      </w:r>
    </w:p>
    <w:p>
      <w:pPr>
        <w:bidi w:val="0"/>
        <w:spacing w:before="120" w:beforeAutospacing="0" w:after="0" w:afterAutospacing="0"/>
        <w:ind w:left="0" w:right="0"/>
      </w:pPr>
      <w:r>
        <w:rPr>
          <w:rFonts w:ascii="Arial" w:eastAsia="Arial" w:hAnsi="Arial" w:cs="Arial"/>
          <w:i w:val="0"/>
          <w:sz w:val="20"/>
          <w:rtl w:val="0"/>
        </w:rPr>
        <w:t>a1) Hộ chiếu hoặc giấy tờ nhập xuất cảnh.</w:t>
      </w:r>
    </w:p>
    <w:p>
      <w:pPr>
        <w:bidi w:val="0"/>
        <w:spacing w:before="120" w:beforeAutospacing="0" w:after="0" w:afterAutospacing="0"/>
        <w:ind w:left="0" w:right="0"/>
      </w:pPr>
      <w:r>
        <w:rPr>
          <w:rFonts w:ascii="Arial" w:eastAsia="Arial" w:hAnsi="Arial" w:cs="Arial"/>
          <w:i w:val="0"/>
          <w:sz w:val="20"/>
          <w:rtl w:val="0"/>
        </w:rPr>
        <w:t>a2) Hóa đơn giá trị gia tăng kiêm tờ khai hoàn thuế theo quy định của Bộ Tài chính.</w:t>
      </w:r>
    </w:p>
    <w:p>
      <w:pPr>
        <w:bidi w:val="0"/>
        <w:spacing w:before="120" w:beforeAutospacing="0" w:after="0" w:afterAutospacing="0"/>
        <w:ind w:left="0" w:right="0"/>
      </w:pPr>
      <w:r>
        <w:rPr>
          <w:rFonts w:ascii="Arial" w:eastAsia="Arial" w:hAnsi="Arial" w:cs="Arial"/>
          <w:i w:val="0"/>
          <w:sz w:val="20"/>
          <w:rtl w:val="0"/>
        </w:rPr>
        <w:t>a3) Hàng hóa.</w:t>
      </w:r>
    </w:p>
    <w:p>
      <w:pPr>
        <w:bidi w:val="0"/>
        <w:spacing w:before="120" w:beforeAutospacing="0" w:after="0" w:afterAutospacing="0"/>
        <w:ind w:left="0" w:right="0"/>
      </w:pPr>
      <w:r>
        <w:rPr>
          <w:rFonts w:ascii="Arial" w:eastAsia="Arial" w:hAnsi="Arial" w:cs="Arial"/>
          <w:i w:val="0"/>
          <w:sz w:val="20"/>
          <w:rtl w:val="0"/>
        </w:rPr>
        <w:t>b) Cơ quan hải quan kiểm tra thực tế hàng hóa tại quầy kiểm tra hóa đơn giá trị gia tăng kiêm tờ khai hoàn thuế, hàng hóa. Việc kiểm tra thực hiện như sau:</w:t>
      </w:r>
    </w:p>
    <w:p>
      <w:pPr>
        <w:bidi w:val="0"/>
        <w:spacing w:before="120" w:beforeAutospacing="0" w:after="0" w:afterAutospacing="0"/>
        <w:ind w:left="0" w:right="0"/>
      </w:pPr>
      <w:r>
        <w:rPr>
          <w:rFonts w:ascii="Arial" w:eastAsia="Arial" w:hAnsi="Arial" w:cs="Arial"/>
          <w:i w:val="0"/>
          <w:sz w:val="20"/>
          <w:rtl w:val="0"/>
        </w:rPr>
        <w:t xml:space="preserve">b1)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w:t>
      </w:r>
      <w:bookmarkStart w:id="233" w:name="tc_25_pl4"/>
      <w:r>
        <w:rPr>
          <w:rFonts w:ascii="Arial" w:eastAsia="Arial" w:hAnsi="Arial" w:cs="Arial"/>
          <w:i w:val="0"/>
          <w:sz w:val="20"/>
          <w:rtl w:val="0"/>
        </w:rPr>
        <w:t>điểm 1 Phụ lục này</w:t>
      </w:r>
      <w:bookmarkEnd w:id="233"/>
      <w:r>
        <w:rPr>
          <w:rFonts w:ascii="Arial" w:eastAsia="Arial" w:hAnsi="Arial" w:cs="Arial"/>
          <w:i w:val="0"/>
          <w:sz w:val="20"/>
          <w:rtl w:val="0"/>
        </w:rPr>
        <w:t>.</w:t>
      </w:r>
    </w:p>
    <w:p>
      <w:pPr>
        <w:bidi w:val="0"/>
        <w:spacing w:before="120" w:beforeAutospacing="0" w:after="0" w:afterAutospacing="0"/>
        <w:ind w:left="0" w:right="0"/>
      </w:pPr>
      <w:r>
        <w:rPr>
          <w:rFonts w:ascii="Arial" w:eastAsia="Arial" w:hAnsi="Arial" w:cs="Arial"/>
          <w:i w:val="0"/>
          <w:sz w:val="20"/>
          <w:rtl w:val="0"/>
        </w:rPr>
        <w:t>b2) Kiểm tra thực tế hàng hóa đối với hàng hóa phải kiểm tra thực tế theo nguyên tắc quản lý rủi ro.</w:t>
      </w:r>
    </w:p>
    <w:p>
      <w:pPr>
        <w:bidi w:val="0"/>
        <w:spacing w:before="120" w:beforeAutospacing="0" w:after="0" w:afterAutospacing="0"/>
        <w:ind w:left="0" w:right="0"/>
      </w:pPr>
      <w:r>
        <w:rPr>
          <w:rFonts w:ascii="Arial" w:eastAsia="Arial" w:hAnsi="Arial" w:cs="Arial"/>
          <w:i w:val="0"/>
          <w:sz w:val="20"/>
          <w:rtl w:val="0"/>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đổi với doanh nghiệp bán hàng không khớp đúng với thông tin hàng hóa, hóa đơn và hộ chiếu thì cơ quan hải quan từ chối hoàn thuế.</w:t>
      </w:r>
    </w:p>
    <w:p>
      <w:pPr>
        <w:bidi w:val="0"/>
        <w:spacing w:before="120" w:beforeAutospacing="0" w:after="0" w:afterAutospacing="0"/>
        <w:ind w:left="0" w:right="0"/>
      </w:pPr>
      <w:r>
        <w:rPr>
          <w:rFonts w:ascii="Arial" w:eastAsia="Arial" w:hAnsi="Arial" w:cs="Arial"/>
          <w:i w:val="0"/>
          <w:sz w:val="20"/>
          <w:rtl w:val="0"/>
        </w:rPr>
        <w:t xml:space="preserve">b3) Ghi kết quả kiểm tra, đóng dấu đồng ý hoàn thuế hay từ chối hoàn thuế. Trường hợp cơ quan hải quan đồng ý hoàn thuế thì xác định mặt hàng, tính số tiền thuế giá trị gia tăng người nước ngoài, người Việt Nam định cư ở nước ngoài thực tế được hoàn theo quy định tại </w:t>
      </w:r>
      <w:bookmarkStart w:id="234" w:name="tc_22_pl4"/>
      <w:r>
        <w:rPr>
          <w:rFonts w:ascii="Arial" w:eastAsia="Arial" w:hAnsi="Arial" w:cs="Arial"/>
          <w:i w:val="0"/>
          <w:sz w:val="20"/>
          <w:rtl w:val="0"/>
        </w:rPr>
        <w:t>điểm 2 Phụ lục này</w:t>
      </w:r>
      <w:bookmarkEnd w:id="234"/>
      <w:r>
        <w:rPr>
          <w:rFonts w:ascii="Arial" w:eastAsia="Arial" w:hAnsi="Arial" w:cs="Arial"/>
          <w:i w:val="0"/>
          <w:sz w:val="20"/>
          <w:rtl w:val="0"/>
        </w:rPr>
        <w:t>.</w:t>
      </w:r>
    </w:p>
    <w:p>
      <w:pPr>
        <w:bidi w:val="0"/>
        <w:spacing w:before="120" w:beforeAutospacing="0" w:after="0" w:afterAutospacing="0"/>
        <w:ind w:left="0" w:right="0"/>
      </w:pPr>
      <w:r>
        <w:rPr>
          <w:rFonts w:ascii="Arial" w:eastAsia="Arial" w:hAnsi="Arial" w:cs="Arial"/>
          <w:i w:val="0"/>
          <w:sz w:val="20"/>
          <w:rtl w:val="0"/>
        </w:rPr>
        <w:t>b4) Cập nhật thông tin hoàn thuế giá trị gia tăng cho người nước ngoài, người Việt Nam định cư ở nước ngoài vào Hệ thống theo hướng dẫn của Bộ Tài chính, ký số.</w:t>
      </w:r>
    </w:p>
    <w:p>
      <w:pPr>
        <w:bidi w:val="0"/>
        <w:spacing w:before="120" w:beforeAutospacing="0" w:after="0" w:afterAutospacing="0"/>
        <w:ind w:left="0" w:right="0"/>
      </w:pPr>
      <w:r>
        <w:rPr>
          <w:rFonts w:ascii="Arial" w:eastAsia="Arial" w:hAnsi="Arial" w:cs="Arial"/>
          <w:i w:val="0"/>
          <w:sz w:val="20"/>
          <w:rtl w:val="0"/>
        </w:rPr>
        <w:t>Trường hợp Hệ thống xảy ra sự cố, cơ quan hải quan ký, đóng dấu xác nhận đồng ý hoàn thuế hay từ chối hoàn thuế vào hóa đơn giá trị gia tăng kiêm tờ khai hoàn thuế.</w:t>
      </w:r>
    </w:p>
    <w:p>
      <w:pPr>
        <w:bidi w:val="0"/>
        <w:spacing w:before="120" w:beforeAutospacing="0" w:after="0" w:afterAutospacing="0"/>
        <w:ind w:left="0" w:right="0"/>
      </w:pPr>
      <w:r>
        <w:rPr>
          <w:rFonts w:ascii="Arial" w:eastAsia="Arial" w:hAnsi="Arial" w:cs="Arial"/>
          <w:i w:val="0"/>
          <w:sz w:val="20"/>
          <w:rtl w:val="0"/>
        </w:rPr>
        <w:t>5. Hoàn trả tiền thuế cho người nước ngoài, người Việt Nam định cư ở nước ngoài</w:t>
      </w:r>
    </w:p>
    <w:p>
      <w:pPr>
        <w:bidi w:val="0"/>
        <w:spacing w:before="120" w:beforeAutospacing="0" w:after="0" w:afterAutospacing="0"/>
        <w:ind w:left="0" w:right="0"/>
      </w:pPr>
      <w:r>
        <w:rPr>
          <w:rFonts w:ascii="Arial" w:eastAsia="Arial" w:hAnsi="Arial" w:cs="Arial"/>
          <w:i w:val="0"/>
          <w:sz w:val="20"/>
          <w:rtl w:val="0"/>
        </w:rPr>
        <w:t>a) 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pPr>
        <w:bidi w:val="0"/>
        <w:spacing w:before="120" w:beforeAutospacing="0" w:after="0" w:afterAutospacing="0"/>
        <w:ind w:left="0" w:right="0"/>
      </w:pPr>
      <w:r>
        <w:rPr>
          <w:rFonts w:ascii="Arial" w:eastAsia="Arial" w:hAnsi="Arial" w:cs="Arial"/>
          <w:i w:val="0"/>
          <w:sz w:val="20"/>
          <w:rtl w:val="0"/>
        </w:rPr>
        <w:t>a1) Thẻ lên tàu bay, tàu biển.</w:t>
      </w:r>
    </w:p>
    <w:p>
      <w:pPr>
        <w:bidi w:val="0"/>
        <w:spacing w:before="120" w:beforeAutospacing="0" w:after="0" w:afterAutospacing="0"/>
        <w:ind w:left="0" w:right="0"/>
      </w:pPr>
      <w:r>
        <w:rPr>
          <w:rFonts w:ascii="Arial" w:eastAsia="Arial" w:hAnsi="Arial" w:cs="Arial"/>
          <w:i w:val="0"/>
          <w:sz w:val="20"/>
          <w:rtl w:val="0"/>
        </w:rPr>
        <w:t>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pPr>
        <w:bidi w:val="0"/>
        <w:spacing w:before="120" w:beforeAutospacing="0" w:after="0" w:afterAutospacing="0"/>
        <w:ind w:left="0" w:right="0"/>
      </w:pPr>
      <w:r>
        <w:rPr>
          <w:rFonts w:ascii="Arial" w:eastAsia="Arial" w:hAnsi="Arial" w:cs="Arial"/>
          <w:i w:val="0"/>
          <w:sz w:val="20"/>
          <w:rtl w:val="0"/>
        </w:rPr>
        <w:t>b) Ngân hàng thương mại thực hiện:</w:t>
      </w:r>
    </w:p>
    <w:p>
      <w:pPr>
        <w:bidi w:val="0"/>
        <w:spacing w:before="120" w:beforeAutospacing="0" w:after="0" w:afterAutospacing="0"/>
        <w:ind w:left="0" w:right="0"/>
      </w:pPr>
      <w:r>
        <w:rPr>
          <w:rFonts w:ascii="Arial" w:eastAsia="Arial" w:hAnsi="Arial" w:cs="Arial"/>
          <w:i w:val="0"/>
          <w:sz w:val="20"/>
          <w:rtl w:val="0"/>
        </w:rPr>
        <w:t>b1)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pPr>
        <w:bidi w:val="0"/>
        <w:spacing w:before="120" w:beforeAutospacing="0" w:after="0" w:afterAutospacing="0"/>
        <w:ind w:left="0" w:right="0"/>
      </w:pPr>
      <w:r>
        <w:rPr>
          <w:rFonts w:ascii="Arial" w:eastAsia="Arial" w:hAnsi="Arial" w:cs="Arial"/>
          <w:i w:val="0"/>
          <w:sz w:val="20"/>
          <w:rtl w:val="0"/>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đổi, xác minh với cơ quan hải quan. Trường hợp thông tin trao đổi với cơ quan hải quan không khớp đúng với thông tin trên thẻ lên tàu bay, tàu biển thì ngân hàng thương mại từ chối hoàn thuế và thông báo trên Hệ thống để cơ quan hải quan biết.</w:t>
      </w:r>
    </w:p>
    <w:p>
      <w:pPr>
        <w:bidi w:val="0"/>
        <w:spacing w:before="120" w:beforeAutospacing="0" w:after="0" w:afterAutospacing="0"/>
        <w:ind w:left="0" w:right="0"/>
      </w:pPr>
      <w:r>
        <w:rPr>
          <w:rFonts w:ascii="Arial" w:eastAsia="Arial" w:hAnsi="Arial" w:cs="Arial"/>
          <w:i w:val="0"/>
          <w:sz w:val="20"/>
          <w:rtl w:val="0"/>
        </w:rPr>
        <w:t>b2) Cập nhật thông tin số hiệu, ngày tháng chuyến bay, chuyến tàu của người nước ngoài, người Việt Nam định cư ở nước ngoài và các thông tin khác theo hướng dẫn của Bộ Tài chính vào Hệ thống hoặc trên phần mềm của ngân hàng thương mại kết nối với Hệ thống, ký số và truyền cho cơ quan hải quan.</w:t>
      </w:r>
    </w:p>
    <w:p>
      <w:pPr>
        <w:bidi w:val="0"/>
        <w:spacing w:before="120" w:beforeAutospacing="0" w:after="0" w:afterAutospacing="0"/>
        <w:ind w:left="0" w:right="0"/>
      </w:pPr>
      <w:r>
        <w:rPr>
          <w:rFonts w:ascii="Arial" w:eastAsia="Arial" w:hAnsi="Arial" w:cs="Arial"/>
          <w:i w:val="0"/>
          <w:sz w:val="20"/>
          <w:rtl w:val="0"/>
        </w:rPr>
        <w:t>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pPr>
        <w:bidi w:val="0"/>
        <w:spacing w:before="120" w:beforeAutospacing="0" w:after="0" w:afterAutospacing="0"/>
        <w:ind w:left="0" w:right="0"/>
      </w:pPr>
      <w:r>
        <w:rPr>
          <w:rFonts w:ascii="Arial" w:eastAsia="Arial" w:hAnsi="Arial" w:cs="Arial"/>
          <w:i w:val="0"/>
          <w:sz w:val="20"/>
          <w:rtl w:val="0"/>
        </w:rPr>
        <w:t>Trường hợp trả tiền hoàn thuế cho người nước ngoài, người Việt Nam định cư ở nước ngoài qua thẻ quốc tế, ngân hàng đối chiếu thông tin (tên, số thẻ) người nước ngoài, người Việt Nam định cư ở nước ngoài đăng ký nhận tiền hoàn thuế và thẻ thực tế xuất trình để thực hiện việc hoàn thuế.</w:t>
      </w:r>
    </w:p>
    <w:p>
      <w:pPr>
        <w:bidi w:val="0"/>
        <w:spacing w:before="120" w:beforeAutospacing="0" w:after="0" w:afterAutospacing="0"/>
        <w:ind w:left="0" w:right="0"/>
      </w:pPr>
      <w:r>
        <w:rPr>
          <w:rFonts w:ascii="Arial" w:eastAsia="Arial" w:hAnsi="Arial" w:cs="Arial"/>
          <w:i w:val="0"/>
          <w:sz w:val="20"/>
          <w:rtl w:val="0"/>
        </w:rPr>
        <w:t xml:space="preserve">Trường hợp Hệ thống xảy ra sự cố, ngân hàng thương mại căn cứ hóa đơn giá trị gia tăng kiêm tờ khai hoàn thuế giấy và xác nhận của cơ quan hải quan theo quy định tại </w:t>
      </w:r>
      <w:bookmarkStart w:id="235" w:name="tc_23_pl4"/>
      <w:r>
        <w:rPr>
          <w:rFonts w:ascii="Arial" w:eastAsia="Arial" w:hAnsi="Arial" w:cs="Arial"/>
          <w:i w:val="0"/>
          <w:sz w:val="20"/>
          <w:rtl w:val="0"/>
        </w:rPr>
        <w:t>tiết b4 điểm 4 Phụ lục này</w:t>
      </w:r>
      <w:bookmarkEnd w:id="235"/>
      <w:r>
        <w:rPr>
          <w:rFonts w:ascii="Arial" w:eastAsia="Arial" w:hAnsi="Arial" w:cs="Arial"/>
          <w:i w:val="0"/>
          <w:sz w:val="20"/>
          <w:rtl w:val="0"/>
        </w:rPr>
        <w:t xml:space="preserve">, thực hiện hoàn trả tiền thuế cho người nước ngoài, người Việt Nam định cư ở nước ngoài theo quy định tại </w:t>
      </w:r>
      <w:bookmarkStart w:id="236" w:name="tc_24_pl4"/>
      <w:r>
        <w:rPr>
          <w:rFonts w:ascii="Arial" w:eastAsia="Arial" w:hAnsi="Arial" w:cs="Arial"/>
          <w:i w:val="0"/>
          <w:sz w:val="20"/>
          <w:rtl w:val="0"/>
        </w:rPr>
        <w:t>điểm 2 Phụ lục này</w:t>
      </w:r>
      <w:bookmarkEnd w:id="236"/>
      <w:r>
        <w:rPr>
          <w:rFonts w:ascii="Arial" w:eastAsia="Arial" w:hAnsi="Arial" w:cs="Arial"/>
          <w:i w:val="0"/>
          <w:sz w:val="20"/>
          <w:rtl w:val="0"/>
        </w:rPr>
        <w:t>, đồng thời ký tên, đóng dấu xác nhận đã thanh toán tiền hoàn thuế cho người nước ngoài, người Việt Nam định cư ở nước ngoài lên hóa đơn giá trị gia tăng kiêm tờ khai hoàn thuế.</w:t>
      </w:r>
    </w:p>
    <w:p>
      <w:pPr>
        <w:bidi w:val="0"/>
        <w:spacing w:before="120" w:beforeAutospacing="0" w:after="0" w:afterAutospacing="0"/>
        <w:ind w:left="0" w:right="0"/>
      </w:pPr>
      <w:r>
        <w:rPr>
          <w:rFonts w:ascii="Arial" w:eastAsia="Arial" w:hAnsi="Arial" w:cs="Arial"/>
          <w:i w:val="0"/>
          <w:sz w:val="20"/>
          <w:rtl w:val="0"/>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pPr>
        <w:bidi w:val="0"/>
        <w:spacing w:before="120" w:beforeAutospacing="0" w:after="0" w:afterAutospacing="0"/>
        <w:ind w:left="0" w:right="0"/>
      </w:pPr>
      <w:r>
        <w:rPr>
          <w:rFonts w:ascii="Arial" w:eastAsia="Arial" w:hAnsi="Arial" w:cs="Arial"/>
          <w:i w:val="0"/>
          <w:sz w:val="20"/>
          <w:rtl w:val="0"/>
        </w:rPr>
        <w:t>b4) Trả lại người nước ngoài, người Việt Nam định cư ở nước ngoài thẻ lên tàu bay, tàu biển.</w:t>
      </w:r>
    </w:p>
    <w:p>
      <w:pPr>
        <w:bidi w:val="0"/>
        <w:spacing w:before="120" w:beforeAutospacing="0" w:after="0" w:afterAutospacing="0"/>
        <w:ind w:left="0" w:right="0"/>
      </w:pPr>
      <w:r>
        <w:rPr>
          <w:rFonts w:ascii="Arial" w:eastAsia="Arial" w:hAnsi="Arial" w:cs="Arial"/>
          <w:i w:val="0"/>
          <w:sz w:val="20"/>
          <w:rtl w:val="0"/>
        </w:rPr>
        <w:t>b5) Lưu trữ hồ sơ hoàn thuế đối với chứng từ điện tử và chứng từ giấy theo quy định của pháp luật.</w:t>
      </w:r>
    </w:p>
    <w:p>
      <w:pPr>
        <w:bidi w:val="0"/>
        <w:spacing w:before="120" w:beforeAutospacing="0" w:after="0" w:afterAutospacing="0"/>
        <w:ind w:left="0" w:right="0"/>
      </w:pPr>
      <w:r>
        <w:rPr>
          <w:rFonts w:ascii="Arial" w:eastAsia="Arial" w:hAnsi="Arial" w:cs="Arial"/>
          <w:i w:val="0"/>
          <w:sz w:val="20"/>
          <w:rtl w:val="0"/>
        </w:rPr>
        <w:t>6. Hồ sơ, thủ tục hoàn thuế giá trị gia tăng cho ngân hàng thương mại là đại lý hoàn thuế giá trị gia tăng cho khách xuất cảnh thực hiện theo quy định của pháp luật về quản lý thuế.</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237" w:name="chuong_pl_5"/>
      <w:r>
        <w:rPr>
          <w:rFonts w:ascii="Arial" w:eastAsia="Arial" w:hAnsi="Arial" w:cs="Arial"/>
          <w:b/>
          <w:bCs/>
          <w:i w:val="0"/>
          <w:sz w:val="24"/>
          <w:rtl w:val="0"/>
        </w:rPr>
        <w:t>PHỤ LỤC V</w:t>
      </w:r>
      <w:bookmarkEnd w:id="237"/>
    </w:p>
    <w:p>
      <w:pPr>
        <w:bidi w:val="0"/>
        <w:spacing w:before="120" w:beforeAutospacing="0" w:after="0" w:afterAutospacing="0"/>
        <w:ind w:left="0" w:right="0"/>
        <w:jc w:val="center"/>
      </w:pPr>
      <w:bookmarkStart w:id="238" w:name="chuong_pl_5_name"/>
      <w:r>
        <w:rPr>
          <w:rFonts w:ascii="Arial" w:eastAsia="Arial" w:hAnsi="Arial" w:cs="Arial"/>
          <w:i w:val="0"/>
          <w:sz w:val="20"/>
          <w:rtl w:val="0"/>
        </w:rPr>
        <w:t>XÁC ĐỊNH TỶ TRỌNG TRỊ GIÁ TÀI NGUYÊN, KHOÁNG SẢN VÀ CHI PHÍ NĂNG LƯỢNG TRÊN GIÁ THÀNH SẢN PHẨM</w:t>
      </w:r>
      <w:bookmarkEnd w:id="238"/>
      <w:r>
        <w:rPr>
          <w:rFonts w:ascii="Arial" w:eastAsia="Arial" w:hAnsi="Arial" w:cs="Arial"/>
          <w:i w:val="0"/>
          <w:sz w:val="20"/>
          <w:rtl w:val="0"/>
        </w:rPr>
        <w:br/>
      </w:r>
      <w:r>
        <w:rPr>
          <w:rFonts w:ascii="Arial" w:eastAsia="Arial" w:hAnsi="Arial" w:cs="Arial"/>
          <w:sz w:val="20"/>
          <w:rtl w:val="0"/>
        </w:rPr>
        <w:t>(Kèm theo Nghị định số 181/2025/NĐ-CP ngày 01 tháng 7 năm 2025 của Chính phủ)</w:t>
      </w:r>
    </w:p>
    <w:p>
      <w:pPr>
        <w:bidi w:val="0"/>
        <w:spacing w:before="120" w:beforeAutospacing="0" w:after="0" w:afterAutospacing="0"/>
        <w:ind w:left="0" w:right="0"/>
      </w:pPr>
      <w:r>
        <w:rPr>
          <w:rFonts w:ascii="Arial" w:eastAsia="Arial" w:hAnsi="Arial" w:cs="Arial"/>
          <w:i w:val="0"/>
          <w:sz w:val="20"/>
          <w:rtl w:val="0"/>
        </w:rPr>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pPr>
        <w:bidi w:val="0"/>
        <w:spacing w:before="120" w:beforeAutospacing="0" w:after="0" w:afterAutospacing="0"/>
        <w:ind w:left="0" w:right="0"/>
      </w:pPr>
      <w:r>
        <w:rPr>
          <w:rFonts w:ascii="Arial" w:eastAsia="Arial" w:hAnsi="Arial" w:cs="Arial"/>
          <w:i w:val="0"/>
          <w:sz w:val="20"/>
          <w:rtl w:val="0"/>
        </w:rPr>
        <w:t>1. Tài nguyên, khoáng sản là tài nguyên, khoáng sản có nguồn gốc trong nước gồm: Khoáng sản kim loại; khoáng sản không kim loại; dầu thô; khí thiên nhiên; khí than.</w:t>
      </w:r>
    </w:p>
    <w:p>
      <w:pPr>
        <w:bidi w:val="0"/>
        <w:spacing w:before="120" w:beforeAutospacing="0" w:after="0" w:afterAutospacing="0"/>
        <w:ind w:left="0" w:right="0"/>
      </w:pPr>
      <w:r>
        <w:rPr>
          <w:rFonts w:ascii="Arial" w:eastAsia="Arial" w:hAnsi="Arial" w:cs="Arial"/>
          <w:i w:val="0"/>
          <w:sz w:val="20"/>
          <w:rtl w:val="0"/>
        </w:rPr>
        <w:t>2. Việc xác định tỷ trọng trị giá tài nguyên, khoáng sản và chi phí năng lượng trên giá thành được thực hiện theo công thức:</w:t>
      </w:r>
    </w:p>
    <w:tbl>
      <w:tblPr>
        <w:tblW w:w="5000" w:type="pct"/>
        <w:jc w:val="left"/>
        <w:tblCellMar>
          <w:top w:w="0" w:type="dxa"/>
          <w:left w:w="0" w:type="dxa"/>
          <w:bottom w:w="0" w:type="dxa"/>
          <w:right w:w="0" w:type="dxa"/>
        </w:tblCellMar>
      </w:tblPr>
      <w:tblGrid>
        <w:gridCol w:w="2594"/>
        <w:gridCol w:w="437"/>
        <w:gridCol w:w="4633"/>
        <w:gridCol w:w="976"/>
      </w:tblGrid>
      <w:tr>
        <w:tblPrEx>
          <w:tblW w:w="5000" w:type="pct"/>
          <w:jc w:val="left"/>
          <w:tblCellMar>
            <w:top w:w="0" w:type="dxa"/>
            <w:left w:w="0" w:type="dxa"/>
            <w:bottom w:w="0" w:type="dxa"/>
            <w:right w:w="0" w:type="dxa"/>
          </w:tblCellMar>
        </w:tblPrEx>
        <w:trPr>
          <w:jc w:val="left"/>
        </w:trPr>
        <w:tc>
          <w:tcPr>
            <w:tcW w:w="1501" w:type="pct"/>
            <w:vMerge w:val="restart"/>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Tỷ trọng trị giá tài nguyên, khoáng sản và chi phí năng lượng trên giá thành sản xuất sản phẩm</w:t>
            </w:r>
          </w:p>
        </w:tc>
        <w:tc>
          <w:tcPr>
            <w:tcW w:w="253" w:type="pct"/>
            <w:vMerge w:val="restart"/>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w:t>
            </w:r>
          </w:p>
        </w:tc>
        <w:tc>
          <w:tcPr>
            <w:tcW w:w="2681"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Trị giá tài nguyên, khoáng sản + chi phí năng lượng</w:t>
            </w:r>
          </w:p>
        </w:tc>
        <w:tc>
          <w:tcPr>
            <w:tcW w:w="565" w:type="pct"/>
            <w:vMerge w:val="restart"/>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x 100%</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ind w:left="0" w:right="0"/>
              <w:jc w:val="center"/>
            </w:pPr>
          </w:p>
        </w:tc>
        <w:tc>
          <w:tcPr>
            <w:tcW w:w="0" w:type="auto"/>
            <w:vMerge/>
            <w:shd w:val="clear" w:color="auto" w:fill="auto"/>
            <w:vAlign w:val="center"/>
          </w:tcPr>
          <w:p>
            <w:pPr>
              <w:bidi w:val="0"/>
              <w:spacing w:before="120" w:beforeAutospacing="0" w:after="0" w:afterAutospacing="0"/>
              <w:ind w:left="0" w:right="0"/>
              <w:jc w:val="center"/>
            </w:pPr>
          </w:p>
        </w:tc>
        <w:tc>
          <w:tcPr>
            <w:tcW w:w="2681"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giá thành sản xuất sản phẩm</w:t>
            </w: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0" w:afterAutospacing="0"/>
        <w:ind w:left="0" w:right="0"/>
      </w:pPr>
      <w:r>
        <w:rPr>
          <w:rFonts w:ascii="Arial" w:eastAsia="Arial" w:hAnsi="Arial" w:cs="Arial"/>
          <w:i w:val="0"/>
          <w:sz w:val="20"/>
          <w:rtl w:val="0"/>
        </w:rPr>
        <w:t>Trong đó:</w:t>
      </w:r>
    </w:p>
    <w:p>
      <w:pPr>
        <w:bidi w:val="0"/>
        <w:spacing w:before="120" w:beforeAutospacing="0" w:after="0" w:afterAutospacing="0"/>
        <w:ind w:left="0" w:right="0"/>
      </w:pPr>
      <w:r>
        <w:rPr>
          <w:rFonts w:ascii="Arial" w:eastAsia="Arial" w:hAnsi="Arial" w:cs="Arial"/>
          <w:i w:val="0"/>
          <w:sz w:val="20"/>
          <w:rtl w:val="0"/>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pPr>
        <w:bidi w:val="0"/>
        <w:spacing w:before="120" w:beforeAutospacing="0" w:after="0" w:afterAutospacing="0"/>
        <w:ind w:left="0" w:right="0"/>
      </w:pPr>
      <w:r>
        <w:rPr>
          <w:rFonts w:ascii="Arial" w:eastAsia="Arial" w:hAnsi="Arial" w:cs="Arial"/>
          <w:i w:val="0"/>
          <w:sz w:val="20"/>
          <w:rtl w:val="0"/>
        </w:rPr>
        <w:t>Chi phí năng lượng gồm: nhiên liệu, điện năng, nhiệt năng.</w:t>
      </w:r>
    </w:p>
    <w:p>
      <w:pPr>
        <w:bidi w:val="0"/>
        <w:spacing w:before="120" w:beforeAutospacing="0" w:after="0" w:afterAutospacing="0"/>
        <w:ind w:left="0" w:right="0"/>
      </w:pPr>
      <w:r>
        <w:rPr>
          <w:rFonts w:ascii="Arial" w:eastAsia="Arial" w:hAnsi="Arial" w:cs="Arial"/>
          <w:i w:val="0"/>
          <w:sz w:val="20"/>
          <w:rtl w:val="0"/>
        </w:rPr>
        <w:t>Trị giá tài nguyên, khoáng sản và chi phí năng lượng được xác định theo giá trị ghi sổ kế toán phù hợp với Bảng tổng hợp tính giá thành sản phẩm.</w:t>
      </w:r>
    </w:p>
    <w:p>
      <w:pPr>
        <w:bidi w:val="0"/>
        <w:spacing w:before="120" w:beforeAutospacing="0" w:after="0" w:afterAutospacing="0"/>
        <w:ind w:left="0" w:right="0"/>
      </w:pPr>
      <w:r>
        <w:rPr>
          <w:rFonts w:ascii="Arial" w:eastAsia="Arial" w:hAnsi="Arial" w:cs="Arial"/>
          <w:i w:val="0"/>
          <w:sz w:val="20"/>
          <w:rtl w:val="0"/>
        </w:rPr>
        <w:t>Giá thành sản xuất sản phẩm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pPr>
        <w:bidi w:val="0"/>
        <w:spacing w:before="120" w:beforeAutospacing="0" w:after="0" w:afterAutospacing="0"/>
        <w:ind w:left="0" w:right="0"/>
      </w:pPr>
      <w:r>
        <w:rPr>
          <w:rFonts w:ascii="Arial" w:eastAsia="Arial" w:hAnsi="Arial" w:cs="Arial"/>
          <w:i w:val="0"/>
          <w:sz w:val="20"/>
          <w:rtl w:val="0"/>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pPr>
        <w:bidi w:val="0"/>
        <w:spacing w:before="120" w:beforeAutospacing="0" w:after="0" w:afterAutospacing="0"/>
        <w:ind w:left="0" w:right="0"/>
      </w:pPr>
      <w:r>
        <w:rPr>
          <w:rFonts w:ascii="Arial" w:eastAsia="Arial" w:hAnsi="Arial" w:cs="Arial"/>
          <w:i w:val="0"/>
          <w:sz w:val="20"/>
          <w:rtl w:val="0"/>
        </w:rPr>
        <w:t>3. Trường hợp doanh nghiệp không xuất khẩu mà bán cho doanh nghiệp khác để xuất khẩu thì doanh nghiệp mua hàng hóa này để xuất khẩu phải thực hiện kê khai thuế giá trị gia tăng như sản phẩm cùng loại do doanh nghiệp sản xuất trực tiếp xuất khẩu.</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