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BAN QUẢN LÝ DỰ ÁN CNTT TP.HCM</w:t>
        <w:br w:type="textWrapping"/>
      </w:r>
      <w:r w:rsidDel="00000000" w:rsidR="00000000" w:rsidRPr="00000000">
        <w:rPr>
          <w:rtl w:val="0"/>
        </w:rPr>
        <w:t xml:space="preserve"> Số: 13/QĐ-BQLDA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QUYẾT ĐỊNH</w:t>
        <w:br w:type="textWrapping"/>
      </w:r>
      <w:r w:rsidDel="00000000" w:rsidR="00000000" w:rsidRPr="00000000">
        <w:rPr>
          <w:rtl w:val="0"/>
        </w:rPr>
        <w:t xml:space="preserve"> Về việc phê duyệt kế hoạch lựa chọn nhà thầu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Căn cứ: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Luật Đấu thầu 2023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QUYẾT ĐỊNH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Điều 1.</w:t>
      </w:r>
      <w:r w:rsidDel="00000000" w:rsidR="00000000" w:rsidRPr="00000000">
        <w:rPr>
          <w:rtl w:val="0"/>
        </w:rPr>
        <w:t xml:space="preserve"> Phê duyệt kế hoạch lựa chọn nhà thầu: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Tên dự án: </w:t>
      </w:r>
      <w:r w:rsidDel="00000000" w:rsidR="00000000" w:rsidRPr="00000000">
        <w:rPr>
          <w:b w:val="1"/>
          <w:bCs w:val="1"/>
          <w:rtl w:val="0"/>
        </w:rPr>
        <w:t xml:space="preserve">Xây dựng hệ thống quản lý đấu thầu điện tử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Danh mục gói thầu:</w:t>
      </w:r>
    </w:p>
    <w:tbl>
      <w:tblPr>
        <w:tblStyle w:val="Table1"/>
        <w:tblW w:w="5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3170"/>
        <w:gridCol w:w="1610"/>
        <w:tblGridChange w:id="0">
          <w:tblGrid>
            <w:gridCol w:w="680"/>
            <w:gridCol w:w="317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gói thầu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gói thầu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Triển khai hệ thống phần mềm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3.500.000.000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TP.HCM, ngày </w:t>
      </w:r>
      <w:r w:rsidDel="00000000" w:rsidR="00000000" w:rsidRPr="00000000">
        <w:rPr>
          <w:b w:val="1"/>
          <w:bCs w:val="1"/>
          <w:rtl w:val="0"/>
        </w:rPr>
        <w:t xml:space="preserve">10/02/2026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TRƯỞNG PHÒNG HÀNH CHÍNH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Trần Văn 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