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Quarterly site report</w:t>
      </w:r>
    </w:p>
    <w:p>
      <w:r>
        <w:rPr>
          <w:i/>
        </w:rPr>
        <w:t xml:space="preserve">Prepared for the file preview demo. </w:t>
      </w:r>
      <w:r>
        <w:rPr>
          <w:i/>
        </w:rPr>
        <w:t xml:space="preserve">Everything on these pages is generated by </w:t>
      </w:r>
      <w:r>
        <w:rPr>
          <w:rFonts w:ascii="Consolas" w:hAnsi="Consolas"/>
          <w:i/>
        </w:rPr>
        <w:t xml:space="preserve">scripts/make-sample-docx.ts</w:t>
      </w:r>
      <w:r>
        <w:rPr>
          <w:i/>
        </w:rPr>
        <w:t xml:space="preserve">.</w:t>
      </w:r>
    </w:p>
    <w:p>
      <w:pPr>
        <w:pStyle w:val="Heading1"/>
      </w:pPr>
      <w:r>
        <w:t xml:space="preserve">Summary</w:t>
      </w:r>
    </w:p>
    <w:p>
      <w:r>
        <w:t xml:space="preserve">Work is </w:t>
      </w:r>
      <w:r>
        <w:rPr>
          <w:b/>
          <w:color w:val="2E7D32"/>
        </w:rPr>
        <w:t xml:space="preserve">on schedule</w:t>
      </w:r>
      <w:r>
        <w:t xml:space="preserve"> for the second phase. Two items need a decision before the next review, and one is </w:t>
      </w:r>
      <w:r>
        <w:rPr>
          <w:b/>
          <w:color w:val="C62828"/>
        </w:rPr>
        <w:t xml:space="preserve">blocked</w:t>
      </w:r>
      <w:r>
        <w:t xml:space="preserve"> on a supplier.</w:t>
      </w:r>
    </w:p>
    <w:p>
      <w:pPr>
        <w:pStyle w:val="ListParagraph"/>
        <w:numPr>
          <w:ilvl w:val="0"/>
          <w:numId w:val="1"/>
        </w:numPr>
      </w:pPr>
      <w:r>
        <w:t xml:space="preserve">Steel delivery moved to the 14th.</w:t>
      </w:r>
    </w:p>
    <w:p>
      <w:pPr>
        <w:pStyle w:val="ListParagraph"/>
        <w:numPr>
          <w:ilvl w:val="0"/>
          <w:numId w:val="1"/>
        </w:numPr>
      </w:pPr>
      <w:r>
        <w:t xml:space="preserve">Façade samples approved — naïve colour match was close enough.</w:t>
      </w:r>
    </w:p>
    <w:p>
      <w:pPr>
        <w:pStyle w:val="ListParagraph"/>
        <w:numPr>
          <w:ilvl w:val="0"/>
          <w:numId w:val="1"/>
        </w:numPr>
      </w:pPr>
      <w:r>
        <w:t xml:space="preserve">Crane hire extended by two weeks.</w:t>
      </w:r>
    </w:p>
    <w:p>
      <w:pPr>
        <w:pStyle w:val="Heading2"/>
      </w:pPr>
      <w:r>
        <w:t xml:space="preserve">Decisions needed</w:t>
      </w:r>
    </w:p>
    <w:p>
      <w:pPr>
        <w:pStyle w:val="ListParagraph"/>
        <w:numPr>
          <w:ilvl w:val="0"/>
          <w:numId w:val="2"/>
        </w:numPr>
      </w:pPr>
      <w:r>
        <w:t xml:space="preserve">Accept the revised glazing quote.</w:t>
      </w:r>
    </w:p>
    <w:p>
      <w:pPr>
        <w:pStyle w:val="ListParagraph"/>
        <w:numPr>
          <w:ilvl w:val="0"/>
          <w:numId w:val="2"/>
        </w:numPr>
      </w:pPr>
      <w:r>
        <w:t xml:space="preserve">Choose between the two lift suppliers.</w:t>
      </w:r>
    </w:p>
    <w:p>
      <w:pPr>
        <w:pStyle w:val="Heading1"/>
      </w:pPr>
      <w:r>
        <w:t xml:space="preserve">Formats in the preview</w:t>
      </w:r>
    </w:p>
    <w:tbl>
      <w:tblPr>
        <w:tblStyle w:val="TableGrid"/>
        <w:tblW w:w="9600" w:type="dxa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Format</w:t>
            </w:r>
          </w:p>
        </w:tc>
        <w:tc>
          <w:tcPr>
            <w:tcW w:w="2400" w:type="dxa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Renderer</w:t>
            </w:r>
          </w:p>
        </w:tc>
        <w:tc>
          <w:tcPr>
            <w:tcW w:w="2400" w:type="dxa"/>
            <w:shd w:val="clear" w:color="auto" w:fill="1F2937"/>
          </w:tcPr>
          <w:p>
            <w:pPr>
              <w:jc w:val="left"/>
            </w:pPr>
            <w:r>
              <w:rPr>
                <w:b/>
                <w:color w:val="FFFFFF"/>
              </w:rPr>
              <w:t xml:space="preserve">Engine</w:t>
            </w:r>
          </w:p>
        </w:tc>
        <w:tc>
          <w:tcPr>
            <w:tcW w:w="2400" w:type="dxa"/>
            <w:shd w:val="clear" w:color="auto" w:fill="1F2937"/>
          </w:tcPr>
          <w:p>
            <w:pPr>
              <w:jc w:val="right"/>
            </w:pPr>
            <w:r>
              <w:rPr>
                <w:b/>
                <w:color w:val="FFFFFF"/>
              </w:rPr>
              <w:t xml:space="preserve">Matched by</w:t>
            </w:r>
          </w:p>
        </w:tc>
      </w:tr>
      <w:tr>
        <w:tc>
          <w:tcPr>
            <w:tcW w:w="2400" w:type="dxa"/>
          </w:tcPr>
          <w:p>
            <w:pPr>
              <w:jc w:val="left"/>
            </w:pPr>
            <w:r>
              <w:t xml:space="preserve">PDF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 xml:space="preserve">file-preview-pdf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 xml:space="preserve">papyra (Rust)</w:t>
            </w:r>
          </w:p>
        </w:tc>
        <w:tc>
          <w:tcPr>
            <w:tcW w:w="2400" w:type="dxa"/>
          </w:tcPr>
          <w:p>
            <w:pPr>
              <w:jc w:val="right"/>
            </w:pPr>
            <w:r>
              <w:t xml:space="preserve">bytes</w:t>
            </w:r>
          </w:p>
        </w:tc>
      </w:tr>
      <w:tr>
        <w:tc>
          <w:tcPr>
            <w:tcW w:w="2400" w:type="dxa"/>
          </w:tcPr>
          <w:p>
            <w:pPr>
              <w:jc w:val="left"/>
            </w:pPr>
            <w:r>
              <w:t xml:space="preserve">Spreadsheet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 xml:space="preserve">file-preview-spreadsheet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 xml:space="preserve">papyra (Rust)</w:t>
            </w:r>
          </w:p>
        </w:tc>
        <w:tc>
          <w:tcPr>
            <w:tcW w:w="2400" w:type="dxa"/>
          </w:tcPr>
          <w:p>
            <w:pPr>
              <w:jc w:val="right"/>
            </w:pPr>
            <w:r>
              <w:t xml:space="preserve">name</w:t>
            </w:r>
          </w:p>
        </w:tc>
      </w:tr>
      <w:tr>
        <w:tc>
          <w:tcPr>
            <w:tcW w:w="2400" w:type="dxa"/>
          </w:tcPr>
          <w:p>
            <w:pPr>
              <w:jc w:val="left"/>
            </w:pPr>
            <w:r>
              <w:t xml:space="preserve">Word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 xml:space="preserve">file-preview-docx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 xml:space="preserve">docx-preview</w:t>
            </w:r>
          </w:p>
        </w:tc>
        <w:tc>
          <w:tcPr>
            <w:tcW w:w="2400" w:type="dxa"/>
          </w:tcPr>
          <w:p>
            <w:pPr>
              <w:jc w:val="right"/>
            </w:pPr>
            <w:r>
              <w:t xml:space="preserve">name</w:t>
            </w:r>
          </w:p>
        </w:tc>
      </w:tr>
      <w:tr>
        <w:tc>
          <w:tcPr>
            <w:tcW w:w="2400" w:type="dxa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 xml:space="preserve">file-preview-markdown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 xml:space="preserve">react-markdown</w:t>
            </w:r>
          </w:p>
        </w:tc>
        <w:tc>
          <w:tcPr>
            <w:tcW w:w="2400" w:type="dxa"/>
          </w:tcPr>
          <w:p>
            <w:pPr>
              <w:jc w:val="right"/>
            </w:pPr>
            <w:r>
              <w:t xml:space="preserve">name</w:t>
            </w:r>
          </w:p>
        </w:tc>
      </w:tr>
    </w:tbl>
    <w:p/>
    <w:p>
      <w:r>
        <w:t xml:space="preserve">The source is on </w:t>
      </w:r>
      <w:hyperlink r:id="rIdLink" w:history="1">
        <w:r>
          <w:rPr>
            <w:rStyle w:val="Hyperlink"/>
          </w:rPr>
          <w:t xml:space="preserve">GitHub</w:t>
        </w:r>
      </w:hyperlink>
      <w:r>
        <w:t xml:space="preserve">, and the table above is drawn from a Word table with a shaded header row.</w:t>
      </w:r>
    </w:p>
    <w:p>
      <w:r>
        <w:br w:type="page"/>
      </w:r>
    </w:p>
    <w:p>
      <w:pPr>
        <w:pStyle w:val="Heading1"/>
      </w:pPr>
      <w:r>
        <w:t xml:space="preserve">Site photograph</w:t>
      </w:r>
    </w:p>
    <w:p>
      <w:r>
        <w:t xml:space="preserve">An embedded picture, scaled to two inches by one:</w:t>
      </w:r>
    </w:p>
    <w:p>
      <w:pPr>
        <w:jc w:val="center"/>
      </w:pPr>
      <w:r>
        <w:drawing>
          <wp:inline xmlns:wp="http://schemas.openxmlformats.org/drawingml/2006/wordprocessingDrawing">
            <wp:extent cx="1828800" cy="914400"/>
            <wp:docPr id="1" name="Gradien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dient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Notes</w:t>
      </w:r>
    </w:p>
    <w:p>
      <w:r>
        <w:t xml:space="preserve">Layout in the preview is approximate: text, tables, lists and pictures come through well, floating shapes and complex sections less so. Download the file to see it exactly.</w:t>
      </w:r>
    </w:p>
    <w:sectPr>
      <w:footerReference w:type="default" r:id="rIdFooter"/>
      <w:pgSz w:w="12240" w:h="15840"/>
      <w:pgMar w:top="1440" w:right="1200" w:bottom="1440" w:left="12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color w:val="6B7280"/>
        <w:sz w:val="18"/>
      </w:rPr>
      <w:t xml:space="preserve">papyra · sample document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rFonts w:ascii="Calibri Light" w:hAnsi="Calibri Light"/>
      <w:color w:val="1F2937"/>
      <w:sz w:val="56"/>
    </w:rPr>
  </w:style>
  <w:style w:type="paragraph" w:styleId="Heading1">
    <w:name w:val="heading 1"/>
    <w:basedOn w:val="Normal"/>
    <w:next w:val="Normal"/>
    <w:pPr>
      <w:keepNext/>
      <w:spacing w:before="240" w:after="120"/>
    </w:pPr>
    <w:rPr>
      <w:rFonts w:ascii="Calibri Light" w:hAnsi="Calibri Light"/>
      <w:b/>
      <w:color w:val="1D4ED8"/>
      <w:sz w:val="32"/>
    </w:rPr>
  </w:style>
  <w:style w:type="paragraph" w:styleId="Heading2">
    <w:name w:val="heading 2"/>
    <w:basedOn w:val="Normal"/>
    <w:next w:val="Normal"/>
    <w:pPr>
      <w:keepNext/>
      <w:spacing w:before="240" w:after="120"/>
    </w:pPr>
    <w:rPr>
      <w:rFonts w:ascii="Calibri Light" w:hAnsi="Calibri Light"/>
      <w:b/>
      <w:color w:val="374151"/>
      <w:sz w:val="26"/>
    </w:rPr>
  </w:style>
  <w:style w:type="paragraph" w:styleId="ListParagraph">
    <w:name w:val="List Paragraph"/>
    <w:basedOn w:val="Normal"/>
    <w:pPr>
      <w:spacing w:after="60"/>
      <w:ind w:left="720"/>
    </w:pPr>
  </w:style>
  <w:style w:type="character" w:styleId="Hyperlink">
    <w:name w:val="Hyperlink"/>
    <w:rPr>
      <w:color w:val="1D4ED8"/>
      <w:u w:val="single"/>
    </w:rPr>
  </w:style>
  <w:style w:type="table" w:styleId="TableGrid">
    <w:name w:val="Table Grid"/>
    <w:tblPr>
      <w:tblBorders>
        <w:top w:val="single" w:sz="4" w:space="0" w:color="9CA3AF"/>
        <w:left w:val="single" w:sz="4" w:space="0" w:color="9CA3AF"/>
        <w:bottom w:val="single" w:sz="4" w:space="0" w:color="9CA3AF"/>
        <w:right w:val="single" w:sz="4" w:space="0" w:color="9CA3AF"/>
        <w:insideH w:val="single" w:sz="4" w:space="0" w:color="9CA3AF"/>
        <w:insideV w:val="single" w:sz="4" w:space="0" w:color="9CA3AF"/>
      </w:tblBorders>
      <w:tblCellMar>
        <w:left w:w="108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oter" Type="http://schemas.openxmlformats.org/officeDocument/2006/relationships/footer" Target="footer1.xml"/><Relationship Id="rIdImage" Type="http://schemas.openxmlformats.org/officeDocument/2006/relationships/image" Target="media/gradient.png"/><Relationship Id="rIdLink" Type="http://schemas.openxmlformats.org/officeDocument/2006/relationships/hyperlink" Target="https://github.com/BuildQube/Papyra" TargetMode="External"/></Relationships>
</file>