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-logo-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00122B"/>
          <w:sz w:val="48"/>
        </w:rPr>
        <w:t>PUBLIC BRAND STANDARDS</w:t>
      </w:r>
    </w:p>
    <w:p>
      <w:pPr>
        <w:jc w:val="center"/>
      </w:pPr>
      <w:r>
        <w:rPr>
          <w:b/>
          <w:color w:val="646465"/>
          <w:sz w:val="18"/>
        </w:rPr>
        <w:t>Version 1.1 | August 2026 | CANONICAL PUBLIC BRAND STANDARD</w:t>
      </w:r>
    </w:p>
    <w:p>
      <w:pPr>
        <w:jc w:val="center"/>
      </w:pPr>
      <w:r>
        <w:rPr>
          <w:color w:val="646465"/>
          <w:sz w:val="20"/>
        </w:rPr>
        <w:t>Public-safe governance for the GCS website, GitHub repositories, Nexus demonstrations, digital products, presentations, and marketing.</w:t>
      </w:r>
    </w:p>
    <w:p>
      <w:r>
        <w:br w:type="page"/>
      </w:r>
    </w:p>
    <w:p>
      <w:pPr>
        <w:pStyle w:val="Heading1"/>
      </w:pPr>
      <w:r>
        <w:t>1. Brand Hierarchy</w:t>
      </w:r>
    </w:p>
    <w:p>
      <w:r>
        <w:t>GCS is the master brand. Product names and quality standards strengthen GCS rather than compete with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012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456"/>
            <w:vAlign w:val="center"/>
            <w:shd w:fill="0012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fill="0012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GCS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Primary company brand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Always primary.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Build Better Organizations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Brand promise / tagline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Use with the master lockup and key brand moments.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Black Diamond Standard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Quality and execution standard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Not a competing brand and not a black-theme requirement.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Nexus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Enterprise intelligence platform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Product brand under GCS.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Genesis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Governed execution / orchestration capability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Capability/product name under GCS.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Mission Control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 and execution governance layer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Functional product name under GCS.</w:t>
            </w:r>
          </w:p>
        </w:tc>
      </w:tr>
    </w:tbl>
    <w:p>
      <w:r>
        <w:rPr>
          <w:b/>
        </w:rPr>
        <w:t xml:space="preserve">Canonical hierarchy: </w:t>
      </w:r>
      <w:r>
        <w:t>GCS = brand | Build Better Organizations = promise | Black Diamond = standard | Nexus = platform | Genesis = execution/orchestration.</w:t>
      </w:r>
    </w:p>
    <w:p>
      <w:pPr>
        <w:pStyle w:val="Heading1"/>
      </w:pPr>
      <w:r>
        <w:t>2. Canonical Logo System</w:t>
      </w:r>
    </w:p>
    <w:p>
      <w:r>
        <w:t>The permanent master logo consists of the approved compass/organizational mark, the GCS wordmark, and the tagline Build Better Organizations.</w:t>
      </w:r>
    </w:p>
    <w:p>
      <w:pPr>
        <w:pStyle w:val="ListBullet"/>
      </w:pPr>
      <w:r>
        <w:t>Do not make CONSULTING | PLATFORM | GENESIS part of the permanent master logo.</w:t>
      </w:r>
    </w:p>
    <w:p>
      <w:pPr>
        <w:pStyle w:val="ListBullet"/>
      </w:pPr>
      <w:r>
        <w:t>Product/service descriptors may appear separately in layouts but are not part of the canonical logo asset.</w:t>
      </w:r>
    </w:p>
    <w:p>
      <w:pPr>
        <w:pStyle w:val="ListBullet"/>
      </w:pPr>
      <w:r>
        <w:t>If a platform descriptor is needed, use Nexus rather than the generic word Platform.</w:t>
      </w:r>
    </w:p>
    <w:p>
      <w:pPr>
        <w:pStyle w:val="ListBullet"/>
      </w:pPr>
      <w:r>
        <w:t>Preferred website format is SVG; PNG fallbacks are included.</w:t>
      </w:r>
    </w:p>
    <w:p>
      <w:pPr>
        <w:pStyle w:val="ListBullet"/>
      </w:pPr>
      <w:r>
        <w:t>Use the icon-only mark when space is constrained or GCS identity is already clear.</w:t>
      </w:r>
    </w:p>
    <w:p>
      <w:pPr>
        <w:pStyle w:val="ListBullet"/>
      </w:pPr>
      <w:r>
        <w:t>At very small sizes, use the mark alone rather than rendering an unreadable tagline.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-mark-full-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Approved full-color mark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20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-logo-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Preferred horizontal lockup</w:t>
      </w:r>
    </w:p>
    <w:p>
      <w:r>
        <w:t>Vector source note: the included SVG geometry is a faithful vector reconstruction from the supplied approved raster artwork. If an original designer/source vector becomes available, it should replace the traced geometry after side-by-side visual verification. The brand hierarchy, colors, naming, and usage rules in this standard remain governing.</w:t>
      </w:r>
    </w:p>
    <w:p>
      <w:pPr>
        <w:pStyle w:val="Heading1"/>
      </w:pPr>
      <w:r>
        <w:t>3. Approved Asset Variants</w:t>
      </w:r>
    </w:p>
    <w:p>
      <w:pPr>
        <w:pStyle w:val="ListBullet"/>
      </w:pPr>
      <w:r>
        <w:t>gcs-logo-horizontal.svg - preferred desktop/header lockup.</w:t>
      </w:r>
    </w:p>
    <w:p>
      <w:pPr>
        <w:pStyle w:val="ListBullet"/>
      </w:pPr>
      <w:r>
        <w:t>gcs-logo-stacked.svg - stacked lockup for square or tall spaces.</w:t>
      </w:r>
    </w:p>
    <w:p>
      <w:pPr>
        <w:pStyle w:val="ListBullet"/>
      </w:pPr>
      <w:r>
        <w:t>gcs-mark-full-color.svg - full-color icon/mark.</w:t>
      </w:r>
    </w:p>
    <w:p>
      <w:pPr>
        <w:pStyle w:val="ListBullet"/>
      </w:pPr>
      <w:r>
        <w:t>gcs-mark-monochrome.svg - navy monochrome mark.</w:t>
      </w:r>
    </w:p>
    <w:p>
      <w:pPr>
        <w:pStyle w:val="ListBullet"/>
      </w:pPr>
      <w:r>
        <w:t>gcs-mark-black.svg - black reproduction mark.</w:t>
      </w:r>
    </w:p>
    <w:p>
      <w:pPr>
        <w:pStyle w:val="ListBullet"/>
      </w:pPr>
      <w:r>
        <w:t>gcs-mark-white.svg - white transparent mark for dark backgrounds.</w:t>
      </w:r>
    </w:p>
    <w:p>
      <w:pPr>
        <w:pStyle w:val="ListBullet"/>
      </w:pPr>
      <w:r>
        <w:t>gcs-logo-horizontal-black.svg / gcs-logo-stacked-black.svg - black lockups.</w:t>
      </w:r>
    </w:p>
    <w:p>
      <w:pPr>
        <w:pStyle w:val="ListBullet"/>
      </w:pPr>
      <w:r>
        <w:t>gcs-logo-horizontal-white.svg / gcs-logo-stacked-white.svg - white transparent reverse lockups.</w:t>
      </w:r>
    </w:p>
    <w:p>
      <w:pPr>
        <w:pStyle w:val="ListBullet"/>
      </w:pPr>
      <w:r>
        <w:t>gcs-logo-horizontal-green.svg / gcs-logo-stacked-green.svg - approved single-color green lockups.</w:t>
      </w:r>
    </w:p>
    <w:p>
      <w:pPr>
        <w:pStyle w:val="ListBullet"/>
      </w:pPr>
      <w:r>
        <w:t>PNG fallbacks are provided beside each SVG.</w:t>
      </w:r>
    </w:p>
    <w:p>
      <w:pPr>
        <w:pStyle w:val="Heading1"/>
      </w:pPr>
      <w:r>
        <w:t>4. Color System</w:t>
      </w:r>
    </w:p>
    <w:p>
      <w:r>
        <w:t>Use a light, premium enterprise canvas. Navy and blue establish trust and structure; green signals improvement and action; gray supports the system. Black is an accent/reproduction option, not the default website background.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012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456"/>
            <w:vAlign w:val="center"/>
            <w:shd w:fill="0012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3456"/>
            <w:vAlign w:val="center"/>
            <w:shd w:fill="0012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GCS Deep Navy</w:t>
            </w:r>
          </w:p>
        </w:tc>
        <w:tc>
          <w:tcPr>
            <w:tcW w:type="dxa" w:w="3456"/>
            <w:vAlign w:val="center"/>
            <w:shd w:fill="0012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#00122B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Primary wordmark, structure, navigation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GCS Steel Blue</w:t>
            </w:r>
          </w:p>
        </w:tc>
        <w:tc>
          <w:tcPr>
            <w:tcW w:type="dxa" w:w="3456"/>
            <w:vAlign w:val="center"/>
            <w:shd w:fill="33547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#335475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Secondary structure and intelligence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GCS Growth Green</w:t>
            </w:r>
          </w:p>
        </w:tc>
        <w:tc>
          <w:tcPr>
            <w:tcW w:type="dxa" w:w="3456"/>
            <w:vAlign w:val="center"/>
            <w:shd w:fill="68981C"/>
          </w:tcPr>
          <w:p>
            <w:r/>
            <w:r>
              <w:rPr>
                <w:rFonts w:ascii="Aptos" w:hAnsi="Aptos"/>
                <w:b/>
                <w:color w:val="000000"/>
                <w:sz w:val="18"/>
              </w:rPr>
              <w:t>#68981C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Progress, action, positive emphasis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GCS Graphite</w:t>
            </w:r>
          </w:p>
        </w:tc>
        <w:tc>
          <w:tcPr>
            <w:tcW w:type="dxa" w:w="3456"/>
            <w:vAlign w:val="center"/>
            <w:shd w:fill="64646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#646465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Supporting neutral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White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/>
                <w:color w:val="000000"/>
                <w:sz w:val="18"/>
              </w:rPr>
              <w:t>#FFFFFF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Primary canvas and reverse use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Soft Neutral</w:t>
            </w:r>
          </w:p>
        </w:tc>
        <w:tc>
          <w:tcPr>
            <w:tcW w:type="dxa" w:w="3456"/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00000"/>
                <w:sz w:val="18"/>
              </w:rPr>
              <w:t>#F4F6F8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Panels and separation</w:t>
            </w:r>
          </w:p>
        </w:tc>
      </w:tr>
    </w:tbl>
    <w:p>
      <w:pPr>
        <w:pStyle w:val="Heading1"/>
      </w:pPr>
      <w:r>
        <w:t>5. Black Diamond Standard</w:t>
      </w:r>
    </w:p>
    <w:p>
      <w:r>
        <w:t>Retain Black Diamond as the GCS quality and execution standard. It represents disciplined execution, clarity, rigor, reliability, and premium customer-facing quality.</w:t>
      </w:r>
    </w:p>
    <w:p>
      <w:pPr>
        <w:pStyle w:val="ListBullet"/>
      </w:pPr>
      <w:r>
        <w:t>Black Diamond does not replace the GCS logo.</w:t>
      </w:r>
    </w:p>
    <w:p>
      <w:pPr>
        <w:pStyle w:val="ListBullet"/>
      </w:pPr>
      <w:r>
        <w:t>Black Diamond does not require an all-black or dark-heavy website.</w:t>
      </w:r>
    </w:p>
    <w:p>
      <w:pPr>
        <w:pStyle w:val="ListBullet"/>
      </w:pPr>
      <w:r>
        <w:t>Black Diamond does not require a diamond symbol on every page.</w:t>
      </w:r>
    </w:p>
    <w:p>
      <w:pPr>
        <w:pStyle w:val="ListBullet"/>
      </w:pPr>
      <w:r>
        <w:t>Use the designation selectively when it reinforces quality, rigor, or premium delivery.</w:t>
      </w:r>
    </w:p>
    <w:p>
      <w:pPr>
        <w:pStyle w:val="Heading1"/>
      </w:pPr>
      <w:r>
        <w:t>6. Public Positioning</w:t>
      </w:r>
    </w:p>
    <w:p>
      <w:r>
        <w:rPr>
          <w:b/>
        </w:rPr>
        <w:t xml:space="preserve">Primary positioning: </w:t>
      </w:r>
      <w:r>
        <w:t>GCS turns organizational operations into intelligence, action, and accountability.</w:t>
      </w:r>
    </w:p>
    <w:p>
      <w:r>
        <w:t>GCS should be presented as an enterprise intelligence company serving the complete organization. Do not reduce the public identity to contractor services, facilities, municipal consulting, operations consulting, or AI bots.</w:t>
      </w:r>
    </w:p>
    <w:p>
      <w:pPr>
        <w:pStyle w:val="Heading1"/>
      </w:pPr>
      <w:r>
        <w:t>7. Website + Product Expression</w:t>
      </w:r>
    </w:p>
    <w:p>
      <w:pPr>
        <w:pStyle w:val="ListBullet"/>
      </w:pPr>
      <w:r>
        <w:t>Public website: Discover -&gt; Understand -&gt; Explore -&gt; Experience -&gt; Engage.</w:t>
      </w:r>
    </w:p>
    <w:p>
      <w:pPr>
        <w:pStyle w:val="ListBullet"/>
      </w:pPr>
      <w:r>
        <w:t>Nexus: Observe -&gt; Understand -&gt; Decide -&gt; Act -&gt; Measure -&gt; Learn.</w:t>
      </w:r>
    </w:p>
    <w:p>
      <w:pPr>
        <w:pStyle w:val="ListBullet"/>
      </w:pPr>
      <w:r>
        <w:t>Genesis: prepare, coordinate, and execute authorized work.</w:t>
      </w:r>
    </w:p>
    <w:p>
      <w:pPr>
        <w:pStyle w:val="ListBullet"/>
      </w:pPr>
      <w:r>
        <w:t>Mission Control: prioritize, decide, approve, and monitor.</w:t>
      </w:r>
    </w:p>
    <w:p>
      <w:pPr>
        <w:pStyle w:val="ListBullet"/>
      </w:pPr>
      <w:r>
        <w:t>Use selection-driven navigation, clear interaction states, and responsive layouts.</w:t>
      </w:r>
    </w:p>
    <w:p>
      <w:pPr>
        <w:pStyle w:val="ListBullet"/>
      </w:pPr>
      <w:r>
        <w:t>Avoid one long dark scrolling brochure-style website.</w:t>
      </w:r>
    </w:p>
    <w:p>
      <w:pPr>
        <w:pStyle w:val="Heading1"/>
      </w:pPr>
      <w:r>
        <w:t>8. Enterprise + Industry Expression</w:t>
      </w:r>
    </w:p>
    <w:p>
      <w:r>
        <w:t>Whole-organization positioning should include Executive, Finance, Accounting, HR, Operations, Facilities, Safety, Risk, Procurement, Assets, Fleet, Projects, IT/Data, Compliance, Logistics, Warehouse, Inventory, Shipping/Receiving, and Customer/Community functions.</w:t>
      </w:r>
    </w:p>
    <w:p>
      <w:r>
        <w:t>Industry expression should include municipal/local government, K-12, nonprofits, healthcare/hospitals, manufacturing, Data Centers, commercial/private enterprise, facilities/property management, and industrial operations. Data Centers are a first-class industry.</w:t>
      </w:r>
    </w:p>
    <w:p>
      <w:pPr>
        <w:pStyle w:val="Heading1"/>
      </w:pPr>
      <w:r>
        <w:t>9. Public GitHub Standard</w:t>
      </w:r>
    </w:p>
    <w:p>
      <w:r>
        <w:t>The public GitHub repository is a publishing surface. Anything committed to source code, comments, Markdown, assets, fixtures, configuration, branches, commits, pull requests, or issues must be treated as publicly disclosed.</w:t>
      </w:r>
    </w:p>
    <w:p>
      <w:pPr>
        <w:pStyle w:val="ListBullet"/>
      </w:pPr>
      <w:r>
        <w:t>Use synthetic demonstration data unless information is explicitly approved for public release.</w:t>
      </w:r>
    </w:p>
    <w:p>
      <w:pPr>
        <w:pStyle w:val="ListBullet"/>
      </w:pPr>
      <w:r>
        <w:t>Never commit credentials, secrets, API keys, tokens, private environment values, personal information, client information, employer-owned information, confidential records, or proprietary materials.</w:t>
      </w:r>
    </w:p>
    <w:p>
      <w:pPr>
        <w:pStyle w:val="ListBullet"/>
      </w:pPr>
      <w:r>
        <w:t>Keep code comments technical and public-safe.</w:t>
      </w:r>
    </w:p>
    <w:p>
      <w:pPr>
        <w:pStyle w:val="ListBullet"/>
      </w:pPr>
      <w:r>
        <w:t>Do not copy private Master Plan material verbatim into the public repository. Translate only necessary concepts into public-safe implementation specifications.</w:t>
      </w:r>
    </w:p>
    <w:p>
      <w:pPr>
        <w:pStyle w:val="ListBullet"/>
      </w:pPr>
      <w:r>
        <w:t>If sensitive information is found in Git history, flag it as a potential historical exposure; deleting the current file alone does not remove prior history.</w:t>
      </w:r>
    </w:p>
    <w:p>
      <w:pPr>
        <w:pStyle w:val="Heading1"/>
      </w:pPr>
      <w:r>
        <w:t>10. Synthetic Demo Rule</w:t>
      </w:r>
    </w:p>
    <w:p>
      <w:r>
        <w:t>All public Nexus demonstrations must be visibly labeled SYNTHETIC DEMONSTRATION DATA. Approved demonstration framework names include Northstar Municipality, BrightPath Foundation, Horizon Health Network, Atlas Manufacturing, and Vertex Data Center.</w:t>
      </w:r>
    </w:p>
    <w:p>
      <w:pPr>
        <w:pStyle w:val="Heading1"/>
      </w:pPr>
      <w:r>
        <w:t>11. Brand Do / Do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68981C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</w:t>
            </w:r>
          </w:p>
        </w:tc>
        <w:tc>
          <w:tcPr>
            <w:tcW w:type="dxa" w:w="5184"/>
            <w:vAlign w:val="center"/>
            <w:shd w:fill="64646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 NOT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Lead with GCS.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Create competing master brands.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Use approved vector assets.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AI-redraw or casually alter the canonical logo.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Use Black Diamond as a quality standard.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Turn Black Diamond into an all-black theme.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Use light, clear enterprise layouts.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Default to dark-heavy pages.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Show enterprise-wide intelligence.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Make GCS appear operations-only.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Use synthetic public demos.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Expose real private/client/employer 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Label simulated capability accurately.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Present mock functionality as production.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Design mobile and desktop together.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Treat mobile as an afterthought.</w:t>
            </w:r>
          </w:p>
        </w:tc>
      </w:tr>
    </w:tbl>
    <w:p>
      <w:pPr>
        <w:pStyle w:val="Heading1"/>
      </w:pPr>
      <w:r>
        <w:t>12. Repository Placement</w:t>
      </w:r>
    </w:p>
    <w:p>
      <w:pPr>
        <w:pStyle w:val="ListBullet"/>
      </w:pPr>
      <w:r>
        <w:t>/public/brand/gcs-logo-horizontal.svg</w:t>
      </w:r>
    </w:p>
    <w:p>
      <w:pPr>
        <w:pStyle w:val="ListBullet"/>
      </w:pPr>
      <w:r>
        <w:t>/public/brand/gcs-logo-stacked.svg</w:t>
      </w:r>
    </w:p>
    <w:p>
      <w:pPr>
        <w:pStyle w:val="ListBullet"/>
      </w:pPr>
      <w:r>
        <w:t>/public/brand/gcs-mark-full-color.svg</w:t>
      </w:r>
    </w:p>
    <w:p>
      <w:pPr>
        <w:pStyle w:val="ListBullet"/>
      </w:pPr>
      <w:r>
        <w:t>/public/brand/gcs-mark-monochrome.svg</w:t>
      </w:r>
    </w:p>
    <w:p>
      <w:pPr>
        <w:pStyle w:val="ListBullet"/>
      </w:pPr>
      <w:r>
        <w:t>/public/brand/gcs-mark-black.svg</w:t>
      </w:r>
    </w:p>
    <w:p>
      <w:pPr>
        <w:pStyle w:val="ListBullet"/>
      </w:pPr>
      <w:r>
        <w:t>/public/brand/gcs-mark-white.svg</w:t>
      </w:r>
    </w:p>
    <w:p>
      <w:pPr>
        <w:pStyle w:val="ListBullet"/>
      </w:pPr>
      <w:r>
        <w:t>/docs/brand/GCS_PUBLIC_BRAND_STANDARDS.md</w:t>
      </w:r>
    </w:p>
    <w:p>
      <w:pPr>
        <w:pStyle w:val="Heading1"/>
      </w:pPr>
      <w:r>
        <w:t>13. Release Checklist</w:t>
      </w:r>
    </w:p>
    <w:p>
      <w:r>
        <w:t>☐ Approved GCS logo asset is used and clearly visible.</w:t>
      </w:r>
    </w:p>
    <w:p>
      <w:r>
        <w:t>☐ Tagline reads exactly: Build Better Organizations.</w:t>
      </w:r>
    </w:p>
    <w:p>
      <w:r>
        <w:t>☐ Black Diamond is a quality standard, not a competing brand or mandatory black theme.</w:t>
      </w:r>
    </w:p>
    <w:p>
      <w:r>
        <w:t>☐ Canonical logo does not contain CONSULTING | PLATFORM | GENESIS.</w:t>
      </w:r>
    </w:p>
    <w:p>
      <w:r>
        <w:t>☐ Product descriptors are separate from the master logo.</w:t>
      </w:r>
    </w:p>
    <w:p>
      <w:r>
        <w:t>☐ Desktop and mobile layouts are verified.</w:t>
      </w:r>
    </w:p>
    <w:p>
      <w:r>
        <w:t>☐ Interactive states are clear and there are no unexplained dead ends.</w:t>
      </w:r>
    </w:p>
    <w:p>
      <w:r>
        <w:t>☐ Enterprise-wide and Data Center positioning is represented.</w:t>
      </w:r>
    </w:p>
    <w:p>
      <w:r>
        <w:t>☐ Public demo data is synthetic and labeled.</w:t>
      </w:r>
    </w:p>
    <w:p>
      <w:r>
        <w:t>☐ Changed public GitHub files contain no sensitive information.</w:t>
      </w:r>
    </w:p>
    <w:p>
      <w:r>
        <w:t>☐ Mocked, simulated, implemented, and roadmap capabilities are accurately distinguished.</w:t>
      </w:r>
    </w:p>
    <w:p>
      <w:pPr>
        <w:pStyle w:val="Heading1"/>
      </w:pPr>
      <w:r>
        <w:t>14. Governance</w:t>
      </w:r>
    </w:p>
    <w:p>
      <w:r>
        <w:t>This document is the canonical public brand standard until superseded by a later approved version. Material changes to the logo, tagline, primary color system, Black Diamond role, or brand hierarchy require explicit approval before becoming canonical.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12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54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12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