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start"/>
      </w:pPr>
      <w:r>
        <w:rPr>
          <w:rFonts w:ascii="Noto Sans Arabic" w:hAnsi="Noto Sans Arabic" w:cs="Noto Sans Arabic" w:eastAsia="Noto Sans Arabic"/>
          <w:b w:val="0"/>
          <w:color w:val="000000"/>
          <w:rtl/>
          <w:lang w:val="ar-EG" w:bidi="ar-EG"/>
        </w:rPr>
        <w:t>وثيقة مراجعة النظام المحاسبي</w:t>
      </w:r>
    </w:p>
    <w:p>
      <w:pPr>
        <w:bidi/>
        <w:jc w:val="start"/>
      </w:pPr>
      <w:r>
        <w:rPr>
          <w:rFonts w:ascii="Noto Sans Arabic" w:hAnsi="Noto Sans Arabic" w:cs="Noto Sans Arabic" w:eastAsia="Noto Sans Arabic"/>
          <w:b w:val="0"/>
          <w:color w:val="000000"/>
          <w:rtl/>
          <w:lang w:val="ar-EG" w:bidi="ar-EG"/>
        </w:rPr>
        <w:t>نسخة للمحاسب — ١٨ سبتمبر ٢٠٢٦</w:t>
      </w:r>
    </w:p>
    <w:p>
      <w:pPr>
        <w:bidi/>
        <w:jc w:val="start"/>
      </w:pPr>
      <w:r>
        <w:rPr>
          <w:rFonts w:ascii="Noto Sans Arabic" w:hAnsi="Noto Sans Arabic" w:cs="Noto Sans Arabic" w:eastAsia="Noto Sans Arabic"/>
          <w:b w:val="0"/>
          <w:color w:val="000000"/>
          <w:rtl/>
          <w:lang w:val="ar-EG" w:bidi="ar-EG"/>
        </w:rPr>
        <w:t>الغرض: مراجعة تصور نظام محاسبي عبر الإنترنت قبل تنفيذ تعديلاته المالية. هذه مواصفات مقترحة للمراجعة وليست وصفًا بأن كل الوظائف موجودة حاليًا. المطلوب تصحيح أي معالجة أو استكمال أي دورة ناقصة، مع مثال للمستند والقيد والتقرير المتوقع.</w:t>
      </w:r>
    </w:p>
    <w:p>
      <w:pPr>
        <w:pStyle w:val="Heading1"/>
        <w:keepNext/>
        <w:bidi/>
        <w:jc w:val="start"/>
      </w:pPr>
      <w:r>
        <w:rPr>
          <w:rFonts w:ascii="Noto Sans Arabic" w:hAnsi="Noto Sans Arabic" w:cs="Noto Sans Arabic" w:eastAsia="Noto Sans Arabic"/>
          <w:b w:val="0"/>
          <w:color w:val="000000"/>
          <w:rtl/>
          <w:lang w:val="ar-EG" w:bidi="ar-EG"/>
        </w:rPr>
        <w:t>١ النطاق وطريقة العمل</w:t>
      </w:r>
    </w:p>
    <w:p>
      <w:pPr>
        <w:bidi/>
        <w:jc w:val="start"/>
      </w:pPr>
      <w:r>
        <w:rPr>
          <w:rFonts w:ascii="Noto Sans Arabic" w:hAnsi="Noto Sans Arabic" w:cs="Noto Sans Arabic" w:eastAsia="Noto Sans Arabic"/>
          <w:b w:val="0"/>
          <w:color w:val="000000"/>
          <w:rtl/>
          <w:lang w:val="ar-EG" w:bidi="ar-EG"/>
        </w:rPr>
        <w:t>نفترض مبدئيًا منشأة خدمات أو تجارة صغيرة أو متوسطة في مصر، على أساس الاستحقاق. يؤكد المحاسب النشاط والبلد والإطار المحاسبي والسنة المالية والعملة الأساسية والحالة الضريبية. كل منشأة لها دفاتر وصلاحيات مستقلة. الصناعات والمقاولات والتجميع بين الشركات تحتاج حزمًا متخصصة قبل الادعاء بدعمها.</w:t>
      </w:r>
    </w:p>
    <w:p>
      <w:pPr>
        <w:bidi/>
        <w:jc w:val="start"/>
      </w:pPr>
      <w:r>
        <w:rPr>
          <w:rFonts w:ascii="Noto Sans Arabic" w:hAnsi="Noto Sans Arabic" w:cs="Noto Sans Arabic" w:eastAsia="Noto Sans Arabic"/>
          <w:b w:val="0"/>
          <w:color w:val="000000"/>
          <w:rtl/>
          <w:lang w:val="ar-EG" w:bidi="ar-EG"/>
        </w:rPr>
        <w:t>إدخال المستند مرة واحدة يربطه بالقيد والأستاذ والمساعد والتقارير. فاتورة البيع تختلف عن التحصيل، وفاتورة الشراء تختلف عن السداد. الدفعات المقدمة ليست إيرادًا أو مصروفًا تلقائيًا. تتوازن القيود على مستوى كل عملية، وتبقى المستندات والأطراف والتواريخ قابلة للتتبع.</w:t>
      </w:r>
    </w:p>
    <w:p>
      <w:pPr>
        <w:bidi/>
        <w:jc w:val="start"/>
      </w:pPr>
      <w:r>
        <w:rPr>
          <w:rFonts w:ascii="Noto Sans Arabic" w:hAnsi="Noto Sans Arabic" w:cs="Noto Sans Arabic" w:eastAsia="Noto Sans Arabic"/>
          <w:b w:val="0"/>
          <w:color w:val="000000"/>
          <w:rtl/>
          <w:lang w:val="ar-EG" w:bidi="ar-EG"/>
        </w:rPr>
        <w:t>اللغة العربية تعرض مصطلحات عربية فقط، والإنجليزية تعرض مصطلحاتها المقابلة فقط. لا نكتب اسم الحساب باللغتين في نفس الخانة. الاسم الذي يدخله المستخدم يُحفظ كما هو، ويمكن إضافة ترجمة مستقلة باختياره.</w:t>
      </w:r>
    </w:p>
    <w:p>
      <w:pPr>
        <w:pStyle w:val="Heading1"/>
        <w:keepNext/>
        <w:bidi/>
        <w:jc w:val="start"/>
      </w:pPr>
      <w:r>
        <w:rPr>
          <w:rFonts w:ascii="Noto Sans Arabic" w:hAnsi="Noto Sans Arabic" w:cs="Noto Sans Arabic" w:eastAsia="Noto Sans Arabic"/>
          <w:b w:val="0"/>
          <w:color w:val="000000"/>
          <w:rtl/>
          <w:lang w:val="ar-EG" w:bidi="ar-EG"/>
        </w:rPr>
        <w:t>٢ المصطلحات التي تظهر للمحاسب</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95" w:type="dxa"/>
          <w:right w:w="95" w:type="dxa"/>
        </w:tblCellMar>
      </w:tblPr>
      <w:tblGrid>
        <w:gridCol w:w="2592"/>
        <w:gridCol w:w="7776"/>
      </w:tblGrid>
      <w:tr>
        <w:trPr>
          <w:cantSplit/>
          <w:tblHeader/>
        </w:trPr>
        <w:tc>
          <w:tcPr>
            <w:tcW w:type="dxa" w:w="2592"/>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المصطلح</w:t>
            </w:r>
          </w:p>
        </w:tc>
        <w:tc>
          <w:tcPr>
            <w:tcW w:type="dxa" w:w="7776"/>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المعنى داخل النظام</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دليل الحسابات أو شجرة الحسابات</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تنظيم الحسابات وتصنيفها وعلاقتها بالقوائم</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تجميعي</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عنوان يجمع حسابات تحته ولا يقبل الترحيل المباشر</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ترحيل</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تفصيلي تُسجل عليه بنود القيد</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مراقبة</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أستاذ تقابله تفاصيل دفتر مساعد تُطابق معه</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طبيعة الرصيد</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الجانب المعتاد للحساب؛ لا تمنع رصيدًا فعليًا مخالفًا</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الحساب المقابل</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يخفض بندًا مرتبطًا مثل مجمع الإهلاك مقابل الأصل</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قيد يومية</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عملية متوازنة من بندين أو أكثر</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سند قبض أو صرف</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مستند تحصيل أو سداد ينتج قيدًا، وليس دائمًا إيرادًا أو مصروفًا</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دفتر الأستاذ</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حركة حساب مع رصيده الافتتاحي ورصيده المتراكم</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دفتر مساعد</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تفاصيل العملاء أو الموردين أو الأصول أو المخزون التي تطابق الأستاذ</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ترحيل</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اعتماد الأثر المحاسبي للقيد في الدفاتر والتقارير</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عكس وتسوية</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تصحيح موثق مرتبط بالأصل دون محو سجل العملية</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ميزان مراجعة</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أرصدة افتتاحية وحركة وأرصدة ختامية، كل منها مدين ودائن</w:t>
            </w:r>
          </w:p>
        </w:tc>
      </w:tr>
      <w:tr>
        <w:trPr>
          <w:cantSplit/>
        </w:trPr>
        <w:tc>
          <w:tcPr>
            <w:tcW w:type="dxa" w:w="2592"/>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تاريخ المستند وتاريخ القيد</w:t>
            </w:r>
          </w:p>
        </w:tc>
        <w:tc>
          <w:tcPr>
            <w:tcW w:type="dxa" w:w="77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تاريخ المصدر وتاريخ الاعتراف المحاسبي؛ قد يختلفان مع سبب</w:t>
            </w:r>
          </w:p>
        </w:tc>
      </w:tr>
    </w:tbl>
    <w:p>
      <w:pPr>
        <w:spacing w:after="40" w:before="0"/>
      </w:pPr>
    </w:p>
    <w:p>
      <w:pPr>
        <w:bidi/>
        <w:jc w:val="start"/>
      </w:pPr>
      <w:r>
        <w:rPr>
          <w:rFonts w:ascii="Noto Sans Arabic" w:hAnsi="Noto Sans Arabic" w:cs="Noto Sans Arabic" w:eastAsia="Noto Sans Arabic"/>
          <w:b w:val="0"/>
          <w:color w:val="000000"/>
          <w:rtl/>
          <w:lang w:val="ar-EG" w:bidi="ar-EG"/>
        </w:rPr>
        <w:t>لا تُستخدم «من» و«إلى» وحدهما في النماذج. عند صرف مصروف: «حساب المصروف — مدين» و«حساب السداد — دائن». عند تحصيل مديونية: «حساب التحصيل — مدين» و«العميل — دائن». يظهر القيد المتوقع قبل الترحيل.</w:t>
      </w:r>
    </w:p>
    <w:p>
      <w:pPr>
        <w:pStyle w:val="Heading1"/>
        <w:keepNext/>
        <w:bidi/>
        <w:jc w:val="start"/>
      </w:pPr>
      <w:r>
        <w:rPr>
          <w:rFonts w:ascii="Noto Sans Arabic" w:hAnsi="Noto Sans Arabic" w:cs="Noto Sans Arabic" w:eastAsia="Noto Sans Arabic"/>
          <w:b w:val="0"/>
          <w:color w:val="000000"/>
          <w:rtl/>
          <w:lang w:val="ar-EG" w:bidi="ar-EG"/>
        </w:rPr>
        <w:t>٣ دليل الحسابات المقترح</w:t>
      </w:r>
    </w:p>
    <w:p>
      <w:pPr>
        <w:bidi/>
        <w:jc w:val="start"/>
      </w:pPr>
      <w:r>
        <w:rPr>
          <w:rFonts w:ascii="Noto Sans Arabic" w:hAnsi="Noto Sans Arabic" w:cs="Noto Sans Arabic" w:eastAsia="Noto Sans Arabic"/>
          <w:b w:val="0"/>
          <w:color w:val="000000"/>
          <w:rtl/>
          <w:lang w:val="ar-EG" w:bidi="ar-EG"/>
        </w:rPr>
        <w:t>الأكواد التالية مقترحة لتنظيم قالب الخدمات والتجارة، وليست ترقيمًا إلزاميًا في معايير المحاسبة. الفروع الجامعة لا تقبل قيدًا؛ الحسابات التفصيلية تُنشأ تحتها حسب المنشأة. «متداول» و«غير متداول» يخضعان لظروف الاستحقاق والسياسة؛ الأصول الثابتة جزء من الأصول غير المتداولة وليست كلّها.</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95" w:type="dxa"/>
          <w:right w:w="95" w:type="dxa"/>
        </w:tblCellMar>
      </w:tblPr>
      <w:tblGrid>
        <w:gridCol w:w="3096"/>
        <w:gridCol w:w="5544"/>
        <w:gridCol w:w="1728"/>
      </w:tblGrid>
      <w:tr>
        <w:trPr>
          <w:cantSplit/>
          <w:tblHeader/>
        </w:trPr>
        <w:tc>
          <w:tcPr>
            <w:tcW w:type="dxa" w:w="3096"/>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الفرع</w:t>
            </w:r>
          </w:p>
        </w:tc>
        <w:tc>
          <w:tcPr>
            <w:tcW w:type="dxa" w:w="5544"/>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المحتوى والحسابات التفصيلية المقترحة</w:t>
            </w:r>
          </w:p>
        </w:tc>
        <w:tc>
          <w:tcPr>
            <w:tcW w:type="dxa" w:w="1728"/>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الطبيعة المعتادة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 — الأصول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تجمع الأصول المتداولة وغير المتداولة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 — أصول متداولة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الفروع التالية حسب النشاط</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١١٠١ — خزائن</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خزينة رئيسية، خزينة فرع، عهدة نقدية ثابتة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١١٠٢ — بنوك ووسائل تحصيل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لكل بنك وعملة، محافظ، تحصيلات بالطريق</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١١٠٣ — عملاء</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مراقبة العملاء، أوراق قبض، تسويات تحصيل</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١١٠٤ — خسائر ائتمانية متوقعة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مقابل لأرصدة العملاء وفق السياسة المعتمدة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١١٠٥ — مخزون</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بضاعة، بضاعة بالطريق عند تحقق الاعتراف، مخزون لدى الغير</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١١٠٦ — انخفاض قيمة مخزون</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مقابل منفصل عند استخدام هذه السياسة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١١٠٧ — مقدمات ومدينون</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مصروفات مقدمة، دفعات موردين، سلف عاملين، عهد تحت التسوية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١١٠٨ — أرصدة ضريبية مدينة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مدخلات قابلة للاسترداد، خصم تحت حساب الضريبة لدى الغير</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 — أصول غير متداولة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ممتلكات ومعدات وأصول أخرى طويلة الأجل</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١٢٠١ — ممتلكات ومعدات بالتكلفة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أراضٍ، مبانٍ، آلات، سيارات، أثاث، أجهزة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١٢٠٢ — مجمع إهلاك</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مقابل لكل فئة قابلة للإهلاك</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١٢٠٣ — انخفاض قيمة أصول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مقابل بحسب الفئة والسياسة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١٢٠٤ — أصول تحت التجهيز</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تكاليف أصول لم تصبح جاهزة للاستخدام</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١٢٠٥ — أصول غير ملموسة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أصول معترف بها ومجمع إطفائها في حساب مقابل دائن</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 للأصل</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١٢٠٦ — أصول أخرى طويلة الأجل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تأمينات واستثمارات وذمم طويلة الأجل حسب انطباقها</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 — الالتزامات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تجمع المتداول وغير المتداول</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 — التزامات متداولة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الفروع المستحقة ضمن التصنيف المتداول</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٢١٠١ — موردون</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مراقبة الموردين، أوراق دفع، استلامات لم تصل فواتيرها</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٢١٠٢ — مستحقات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رواتب، خدمات، فوائد ومصروفات مستحقة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٢١٠٣ — مقدمات عملاء</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دفعات قبل استحقاق الإيراد والتزامات تعاقدية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٢١٠٤ — ضرائب والتزامات حكومية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مخرجات، خصم واجب التوريد، تأمينات، ضرائب مستحقة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٢١٠٥ — تمويل قصير الأجل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سحب على المكشوف، قروض قصيرة، الجزء المتداول من الطويلة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٢٢ — التزامات غير متداولة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قروض طويلة والتزامات أخرى ومخصصات حسب طبيعتها</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 — حقوق الملكية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لا تُعامل كإيرادات تشغيل</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 إجمالًا</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٣١ — رأس المال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رأس مال المالك أو الشركاء حسب الشكل القانوني</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٣٢ — احتياطيات وأرباح محتجزة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احتياطيات، نتائج سنوات سابقة، نتيجة السنة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 عادة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٣٣ — مسحوبات وتوزيعات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مخفض لحقوق الملكية وفق الاعتماد القانوني</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٣٤ — جاري الشركاء</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يُحسم تصنيفه حسب حقيقة العلاقة وحقوق السداد</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حسب الحالة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٣٩ — تسوية افتتاح مؤقتة</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 ظاهر أثناء التحول، مطلوب تسويته قبل الاعتماد النهائي</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حسب الرصيد</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٤ — الإيرادات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مبيعات سلع، خدمات، عمولات، إيرادات أخرى مفصولة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٤١ — إيرادات النشاط</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تفصيل حسب خطوط النشاط دون تكرار العملاء كحسابات</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٤٢ — مردودات وخصومات مبيعات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حسابات مقابلة للإيراد وفق السياسة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٤٣ — إيرادات ومكاسب أخرى</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فوائد أو مكاسب استبعاد وفروق عملة حسب العرض المعتمد</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دائنة عادة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٥ — تكلفة المبيعات والخدمات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تكلفة بضاعة مباعة، وتكلفة خدمات مباشرة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٦ — مصروفات التشغيل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بيع وتسويق، إدارة، رواتب، إيجار، مرافق، اتصالات، أتعاب، صيانة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٦١ — إهلاك وإطفاء</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بحسب وظيفة الأصل ومركز التكلفة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٦٢ — مصروفات تمويل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فوائد ورسوم تمويل منفصلة عن أصل الدين</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٦٣ — خسائر وتسويات</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انخفاض قيمة، خسائر استبعاد، فروق عملة حسب السياسة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 عادة</w:t>
            </w:r>
          </w:p>
        </w:tc>
      </w:tr>
      <w:tr>
        <w:trPr>
          <w:cantSplit/>
        </w:trPr>
        <w:tc>
          <w:tcPr>
            <w:tcW w:type="dxa" w:w="309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٧ — ضريبة الدخل</w:t>
            </w:r>
          </w:p>
        </w:tc>
        <w:tc>
          <w:tcPr>
            <w:tcW w:type="dxa" w:w="5544"/>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الضريبة الجارية أو المؤجلة عند انطباق المعالجة</w:t>
            </w:r>
          </w:p>
        </w:tc>
        <w:tc>
          <w:tcPr>
            <w:tcW w:type="dxa" w:w="172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مدينة عادة</w:t>
            </w:r>
          </w:p>
        </w:tc>
      </w:tr>
    </w:tbl>
    <w:p>
      <w:pPr>
        <w:spacing w:after="40" w:before="0"/>
      </w:pPr>
    </w:p>
    <w:p>
      <w:pPr>
        <w:bidi/>
        <w:jc w:val="start"/>
      </w:pPr>
      <w:r>
        <w:rPr>
          <w:rFonts w:ascii="Noto Sans Arabic" w:hAnsi="Noto Sans Arabic" w:cs="Noto Sans Arabic" w:eastAsia="Noto Sans Arabic"/>
          <w:b w:val="0"/>
          <w:color w:val="000000"/>
          <w:rtl/>
          <w:lang w:val="ar-EG" w:bidi="ar-EG"/>
        </w:rPr>
        <w:t>هذه الشجرة لا تفتح كل الفروع لكل عميل. حقوق استخدام الأصول والتزامات الإيجار، والأدوات المالية والضرائب المؤجلة تتطلب معالجة متخصصة عند انطباقها، ولا يكفي إنشاء اسم حساب لإعلان دعمها. الأرض لا يُفرض عليها جدول إهلاك تلقائي كالمباني. جاري الشركاء والأرصدة المخالفة لطبيعتها لا تُصنف بالاسم وحده.</w:t>
      </w:r>
    </w:p>
    <w:p>
      <w:pPr>
        <w:bidi/>
        <w:jc w:val="start"/>
      </w:pPr>
      <w:r>
        <w:rPr>
          <w:rFonts w:ascii="Noto Sans Arabic" w:hAnsi="Noto Sans Arabic" w:cs="Noto Sans Arabic" w:eastAsia="Noto Sans Arabic"/>
          <w:b w:val="0"/>
          <w:color w:val="000000"/>
          <w:rtl/>
          <w:lang w:val="ar-EG" w:bidi="ar-EG"/>
        </w:rPr>
        <w:t>مراجعة مطلوبة: ما الحسابات الناقصة لنشاطك؟ ما الحسابات غير اللازمة؟ هل نحتاج فروعًا أو مشروعات أو مراكز تكلفة؟ ما حسابات المراقبة التي يجب منع القيود اليدوية عليها إلا بتسوية مرتبطة بتفاصيل مساعد؟</w:t>
      </w:r>
    </w:p>
    <w:p>
      <w:pPr>
        <w:pStyle w:val="Heading1"/>
        <w:keepNext/>
        <w:bidi/>
        <w:jc w:val="start"/>
      </w:pPr>
      <w:r>
        <w:rPr>
          <w:rFonts w:ascii="Noto Sans Arabic" w:hAnsi="Noto Sans Arabic" w:cs="Noto Sans Arabic" w:eastAsia="Noto Sans Arabic"/>
          <w:b w:val="0"/>
          <w:color w:val="000000"/>
          <w:rtl/>
          <w:lang w:val="ar-EG" w:bidi="ar-EG"/>
        </w:rPr>
        <w:t>٤ إنشاء الحساب والبداية الصحيحة</w:t>
      </w:r>
    </w:p>
    <w:p>
      <w:pPr>
        <w:bidi/>
        <w:jc w:val="start"/>
      </w:pPr>
      <w:r>
        <w:rPr>
          <w:rFonts w:ascii="Noto Sans Arabic" w:hAnsi="Noto Sans Arabic" w:cs="Noto Sans Arabic" w:eastAsia="Noto Sans Arabic"/>
          <w:b w:val="0"/>
          <w:color w:val="000000"/>
          <w:rtl/>
          <w:lang w:val="ar-EG" w:bidi="ar-EG"/>
        </w:rPr>
        <w:t>إنشاء حساب يحدد الاسم والكود والأب والتصنيف ونوع العقدة والطبيعة والعملة وبند القوائم. يُقترح الجانب المعتاد تلقائيًا مع اختيار معتمد للحسابات المقابلة. الرصيد الفعلي قد يكون مدينًا أو دائنًا دون تبديل الطبيعة. إنشاء حساب من داخل مستند يعيده مختارًا فورًا، ويحفظ باقي البنود.</w:t>
      </w:r>
    </w:p>
    <w:p>
      <w:pPr>
        <w:bidi/>
        <w:jc w:val="start"/>
      </w:pPr>
      <w:r>
        <w:rPr>
          <w:rFonts w:ascii="Noto Sans Arabic" w:hAnsi="Noto Sans Arabic" w:cs="Noto Sans Arabic" w:eastAsia="Noto Sans Arabic"/>
          <w:b w:val="0"/>
          <w:color w:val="000000"/>
          <w:rtl/>
          <w:lang w:val="ar-EG" w:bidi="ar-EG"/>
        </w:rPr>
        <w:t>يظهر خيار الرصيد الافتتاحي مع التاريخ والجانب والعملة والسعر، ويتحول إلى قيد افتتاحي مرتبط. استيراد بداية المنشأة يشمل ميزانًا متوازنًا وتفاصيل ذمم ومخزون وأصول مطابقة له. لا يختفي فرق الافتتاح داخل حقوق الملكية بصمت. إضافة حساب بعد بدء العمل لا تعني حق إدخال رصيد قديم خارج مراجعة التحول.</w:t>
      </w:r>
    </w:p>
    <w:p>
      <w:pPr>
        <w:bidi/>
        <w:jc w:val="start"/>
      </w:pPr>
      <w:r>
        <w:rPr>
          <w:rFonts w:ascii="Noto Sans Arabic" w:hAnsi="Noto Sans Arabic" w:cs="Noto Sans Arabic" w:eastAsia="Noto Sans Arabic"/>
          <w:b w:val="0"/>
          <w:color w:val="000000"/>
          <w:rtl/>
          <w:lang w:val="ar-EG" w:bidi="ar-EG"/>
        </w:rPr>
        <w:t>في بداية السنة تحمل أرصدة الميزانية المعتمدة. في منتصف السنة نحدد هل سنستورد الحركات منذ أول السنة أم أرصدة مجمعة مع نتيجة الفترة وتفاصيلها المتاحة، مع منع ازدواج الإيرادات أو المصروفات. يختار المحاسب تاريخ القطع وطريقة المطابقة ومصدر الاعتماد.</w:t>
      </w:r>
    </w:p>
    <w:p>
      <w:pPr>
        <w:pStyle w:val="Heading1"/>
        <w:keepNext/>
        <w:bidi/>
        <w:jc w:val="start"/>
      </w:pPr>
      <w:r>
        <w:rPr>
          <w:rFonts w:ascii="Noto Sans Arabic" w:hAnsi="Noto Sans Arabic" w:cs="Noto Sans Arabic" w:eastAsia="Noto Sans Arabic"/>
          <w:b w:val="0"/>
          <w:color w:val="000000"/>
          <w:rtl/>
          <w:lang w:val="ar-EG" w:bidi="ar-EG"/>
        </w:rPr>
        <w:t>٥ أمثلة القيود المطلوبة</w:t>
      </w:r>
    </w:p>
    <w:p>
      <w:pPr>
        <w:bidi/>
        <w:jc w:val="start"/>
      </w:pPr>
      <w:r>
        <w:rPr>
          <w:rFonts w:ascii="Noto Sans Arabic" w:hAnsi="Noto Sans Arabic" w:cs="Noto Sans Arabic" w:eastAsia="Noto Sans Arabic"/>
          <w:b w:val="0"/>
          <w:color w:val="000000"/>
          <w:rtl/>
          <w:lang w:val="ar-EG" w:bidi="ar-EG"/>
        </w:rPr>
        <w:t>الأمثلة تعليمية افتراضية بوحدة نقد واحدة، دون ضرائب إلا المثال الضريبي. تفترض تحقق شروط الاعتراف ووجود المستند؛ لا تحدد معالجة كل عقد أو حالة قانونية.</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95" w:type="dxa"/>
          <w:right w:w="95" w:type="dxa"/>
        </w:tblCellMar>
      </w:tblPr>
      <w:tblGrid>
        <w:gridCol w:w="3816"/>
        <w:gridCol w:w="3276"/>
        <w:gridCol w:w="3276"/>
      </w:tblGrid>
      <w:tr>
        <w:trPr>
          <w:cantSplit/>
          <w:tblHeader/>
        </w:trPr>
        <w:tc>
          <w:tcPr>
            <w:tcW w:type="dxa" w:w="3816"/>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العملية</w:t>
            </w:r>
          </w:p>
        </w:tc>
        <w:tc>
          <w:tcPr>
            <w:tcW w:type="dxa" w:w="3276"/>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الطرف المدين</w:t>
            </w:r>
          </w:p>
        </w:tc>
        <w:tc>
          <w:tcPr>
            <w:tcW w:type="dxa" w:w="3276"/>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الطرف الدائن</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إيجار نقدي ١٬٠٠٠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إيجار ١٬٠٠٠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خزينة ١٬٠٠٠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خدمة منفذة على الحساب ١٠٬٠٠٠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عملاء ١٠٬٠٠٠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إيراد خدمات ١٠٬٠٠٠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تحصيل جزئي من العميل ٤٬٠٠٠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٤٬٠٠٠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عملاء ٤٬٠٠٠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مقدم من عميل ٣٬٠٠٠ قبل التنفيذ</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٣٬٠٠٠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دفعات مقدمة من عملاء ٣٬٠٠٠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تحقق إيراد المقدم بعد التنفيذ</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دفعات مقدمة من عملاء ٣٬٠٠٠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إيراد خدمات ٣٬٠٠٠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شراء بضاعة آجلًا ٨٬٠٠٠ بالجرد المستمر</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مخزون ٨٬٠٠٠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موردون ٨٬٠٠٠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سداد المورد ٥٬٠٠٠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موردون ٥٬٠٠٠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٥٬٠٠٠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بيع البضاعة ١٢٬٠٠٠ وتكلفتها ٨٬٠٠٠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عملاء ١٢٬٠٠٠؛ تكلفة مبيعات ٨٬٠٠٠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مبيعات ١٢٬٠٠٠؛ مخزون ٨٬٠٠٠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تحويل بين بنك وخزينة 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خزينة 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٢٬٠٠٠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شراء جهاز جاهز للاستخدام ٢٤٬٠٠٠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أجهزة ٢٤٬٠٠٠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٢٤٬٠٠٠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إهلاك شهر ١٬٠٠٠ وفق جدول معتمد</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إهلاك ١٬٠٠٠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مجمع إهلاك أجهزة ١٬٠٠٠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خدمة مستحقة لم تُسدد 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خدمة 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مصروفات مستحقة ٢٬٠٠٠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سداد المستحق في الشهر التالي</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مصروفات مستحقة 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٢٬٠٠٠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اشتراك سنة مقدم ١٢٬٠٠٠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مصروفات مقدمة ١٢٬٠٠٠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١٢٬٠٠٠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تحميل شهر من الاشتراك ١٬٠٠٠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 اشتراك ١٬٠٠٠</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مصروفات مقدمة ١٬٠٠٠</w:t>
            </w:r>
          </w:p>
        </w:tc>
      </w:tr>
      <w:tr>
        <w:trPr>
          <w:cantSplit/>
        </w:trPr>
        <w:tc>
          <w:tcPr>
            <w:tcW w:type="dxa" w:w="381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أصل قرض ١٠٬٠٠٠ مع فائدة ٥٠٠ عند السداد</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قرض ١٠٬٠٠٠؛ مصروف فائدة ٥٠٠ إذا لم يسبق إثباتها</w:t>
            </w:r>
          </w:p>
        </w:tc>
        <w:tc>
          <w:tcPr>
            <w:tcW w:type="dxa" w:w="3276"/>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بنك ١٠٬٥٠٠</w:t>
            </w:r>
          </w:p>
        </w:tc>
      </w:tr>
    </w:tbl>
    <w:p>
      <w:pPr>
        <w:spacing w:after="40" w:before="0"/>
      </w:pPr>
    </w:p>
    <w:p>
      <w:pPr>
        <w:bidi/>
        <w:jc w:val="start"/>
      </w:pPr>
      <w:r>
        <w:rPr>
          <w:rFonts w:ascii="Noto Sans Arabic" w:hAnsi="Noto Sans Arabic" w:cs="Noto Sans Arabic" w:eastAsia="Noto Sans Arabic"/>
          <w:b w:val="0"/>
          <w:color w:val="000000"/>
          <w:rtl/>
          <w:lang w:val="ar-EG" w:bidi="ar-EG"/>
        </w:rPr>
        <w:t>مثال ضريبي حسابي فقط: فاتورة أساسها ١٬٠٠٠ وضريبتها الافتراضية ١٠٠؛ يُثبت العميل مدينًا ١٬١٠٠، والإيراد دائنًا ١٬٠٠٠، وضريبة المخرجات دائنة ١٠٠. ليست هذه نسبة ضريبية مقترحة أو إقرارًا بخضوع العملية. يحدد المحاسب نسب وأنواع الضرائب والخصم وقابلية استرداد المدخلات حسب المنشأة وتاريخ المستند.</w:t>
      </w:r>
    </w:p>
    <w:p>
      <w:pPr>
        <w:bidi/>
        <w:jc w:val="start"/>
      </w:pPr>
      <w:r>
        <w:rPr>
          <w:rFonts w:ascii="Noto Sans Arabic" w:hAnsi="Noto Sans Arabic" w:cs="Noto Sans Arabic" w:eastAsia="Noto Sans Arabic"/>
          <w:b w:val="0"/>
          <w:color w:val="000000"/>
          <w:rtl/>
          <w:lang w:val="ar-EG" w:bidi="ar-EG"/>
        </w:rPr>
        <w:t>عند المرتجع يُربط الإشعار بالفاتورة وتُعكس الآثار المناسبة، وتعود البضاعة وتكلفتها عند استلامها فعليًا وفق سياستها. عند بيع أصل تُستبعد تكلفته ومجمعه ويظهر الفرق ربحًا أو خسارة، ولا تُعتبر كل المتحصلات ربحًا. إذا كانت الفائدة مثبتة قبل السداد يُسدد حساب المستحق بدل تكرار المصروف.</w:t>
      </w:r>
    </w:p>
    <w:p>
      <w:pPr>
        <w:pStyle w:val="Heading1"/>
        <w:keepNext/>
        <w:bidi/>
        <w:jc w:val="start"/>
      </w:pPr>
      <w:r>
        <w:rPr>
          <w:rFonts w:ascii="Noto Sans Arabic" w:hAnsi="Noto Sans Arabic" w:cs="Noto Sans Arabic" w:eastAsia="Noto Sans Arabic"/>
          <w:b w:val="0"/>
          <w:color w:val="000000"/>
          <w:rtl/>
          <w:lang w:val="ar-EG" w:bidi="ar-EG"/>
        </w:rPr>
        <w:t>٦ المستندات والدفاتر المساعدة</w:t>
      </w:r>
    </w:p>
    <w:p>
      <w:pPr>
        <w:bidi/>
        <w:jc w:val="start"/>
      </w:pPr>
      <w:r>
        <w:rPr>
          <w:rFonts w:ascii="Noto Sans Arabic" w:hAnsi="Noto Sans Arabic" w:cs="Noto Sans Arabic" w:eastAsia="Noto Sans Arabic"/>
          <w:b w:val="0"/>
          <w:color w:val="000000"/>
          <w:rtl/>
          <w:lang w:val="ar-EG" w:bidi="ar-EG"/>
        </w:rPr>
        <w:t>دورة العميل: تنفيذ أو تسليم، فاتورة، تحصيل، تخصيص، إشعار تعديل، كشف وأعمار. دورة المورد: استلام، فاتورة، سداد، تخصيص، مرتجع، كشف وأعمار. تاريخ الاستحقاق والتسويات اللاحقة محفوظان حتى يمكن استخراج الرصيد في تاريخ سابق. لا يُسجل التحصيل إيرادًا مرة أخرى.</w:t>
      </w:r>
    </w:p>
    <w:p>
      <w:pPr>
        <w:bidi/>
        <w:jc w:val="start"/>
      </w:pPr>
      <w:r>
        <w:rPr>
          <w:rFonts w:ascii="Noto Sans Arabic" w:hAnsi="Noto Sans Arabic" w:cs="Noto Sans Arabic" w:eastAsia="Noto Sans Arabic"/>
          <w:b w:val="0"/>
          <w:color w:val="000000"/>
          <w:rtl/>
          <w:lang w:val="ar-EG" w:bidi="ar-EG"/>
        </w:rPr>
        <w:t>أرصدة العملاء والموردين المفصلة تطابق حسابات المراقبة. يُسمح بتحصيل أو دفع غير مخصص، ويظهر منفصلًا إلى أن يُخصص. طرف واحد يمكن أن يكون عميلًا وموردًا، دون مقاصة تلقائية. من كل رصيد يمكن فتح الفواتير والتسويات والمستندات.</w:t>
      </w:r>
    </w:p>
    <w:p>
      <w:pPr>
        <w:bidi/>
        <w:jc w:val="start"/>
      </w:pPr>
      <w:r>
        <w:rPr>
          <w:rFonts w:ascii="Noto Sans Arabic" w:hAnsi="Noto Sans Arabic" w:cs="Noto Sans Arabic" w:eastAsia="Noto Sans Arabic"/>
          <w:b w:val="0"/>
          <w:color w:val="000000"/>
          <w:rtl/>
          <w:lang w:val="ar-EG" w:bidi="ar-EG"/>
        </w:rPr>
        <w:t>المخزون يحتاج كمية وقيمة وحركة ومخزن وتكلفة بيع وجرد ومرتجعات، وليس حسابًا اسمه مخزون فقط. يُقترح الجرد المستمر والمتوسط المتحرك للنشاط التجاري بعد المراجعة. لا تُسمح كميات سالبة افتراضيًا، وتحتاج الحركات بأثر سابق معالجة تكلفة محكومة.</w:t>
      </w:r>
    </w:p>
    <w:p>
      <w:pPr>
        <w:bidi/>
        <w:jc w:val="start"/>
      </w:pPr>
      <w:r>
        <w:rPr>
          <w:rFonts w:ascii="Noto Sans Arabic" w:hAnsi="Noto Sans Arabic" w:cs="Noto Sans Arabic" w:eastAsia="Noto Sans Arabic"/>
          <w:b w:val="0"/>
          <w:color w:val="000000"/>
          <w:rtl/>
          <w:lang w:val="ar-EG" w:bidi="ar-EG"/>
        </w:rPr>
        <w:t>الأصل يحتاج بطاقة وجدول إهلاك وحالة جاهزية واستبعاد. البنوك تحتاج كشفًا وتسوية مع بنود معلقة؛ مطابقة سطر بنك بقيد قائم لا تنشئ قيدًا ثانيًا. الشيكات وأوراق القبض والدفع لها حالات تتحرك حتى التحصيل أو الصرف أو الارتداد.</w:t>
      </w:r>
    </w:p>
    <w:p>
      <w:pPr>
        <w:pStyle w:val="Heading1"/>
        <w:keepNext/>
        <w:bidi/>
        <w:jc w:val="start"/>
      </w:pPr>
      <w:r>
        <w:rPr>
          <w:rFonts w:ascii="Noto Sans Arabic" w:hAnsi="Noto Sans Arabic" w:cs="Noto Sans Arabic" w:eastAsia="Noto Sans Arabic"/>
          <w:b w:val="0"/>
          <w:color w:val="000000"/>
          <w:rtl/>
          <w:lang w:val="ar-EG" w:bidi="ar-EG"/>
        </w:rPr>
        <w:t>٧ مكان واحد للعمل والمراجعة</w:t>
      </w:r>
    </w:p>
    <w:p>
      <w:pPr>
        <w:bidi/>
        <w:jc w:val="start"/>
      </w:pPr>
      <w:r>
        <w:rPr>
          <w:rFonts w:ascii="Noto Sans Arabic" w:hAnsi="Noto Sans Arabic" w:cs="Noto Sans Arabic" w:eastAsia="Noto Sans Arabic"/>
          <w:b w:val="0"/>
          <w:color w:val="000000"/>
          <w:rtl/>
          <w:lang w:val="ar-EG" w:bidi="ar-EG"/>
        </w:rPr>
        <w:t>مركز اليومية يجمع القيود الناتجة من كل المستندات، مع فلاتر التاريخ والنوع والحالة والحساب والطرف والمشروع. إضافة قيد مركب متاحة بجانب نماذج القبض والصرف والفواتير. تظهر إجماليات المدين والدائن والفرق ومعاينة الأثر قبل الترحيل.</w:t>
      </w:r>
    </w:p>
    <w:p>
      <w:pPr>
        <w:bidi/>
        <w:jc w:val="start"/>
      </w:pPr>
      <w:r>
        <w:rPr>
          <w:rFonts w:ascii="Noto Sans Arabic" w:hAnsi="Noto Sans Arabic" w:cs="Noto Sans Arabic" w:eastAsia="Noto Sans Arabic"/>
          <w:b w:val="0"/>
          <w:color w:val="000000"/>
          <w:rtl/>
          <w:lang w:val="ar-EG" w:bidi="ar-EG"/>
        </w:rPr>
        <w:t>الضغط على اسم حساب داخل قيد يفتح لوحة فيها بياناته ورصيده وحركاته ورابط كشفه. من اللوحة يمكن فتح مستند أو طرف ثم الرجوع دون ضياع القيد أو المسودة أو موضع التمرير والفلاتر. التقرير يتيح الوصول من الإجمالي إلى البند ثم المستند. لكل مستخدم الشركة الحالية واضحة دائمًا.</w:t>
      </w:r>
    </w:p>
    <w:p>
      <w:pPr>
        <w:bidi/>
        <w:jc w:val="start"/>
      </w:pPr>
      <w:r>
        <w:rPr>
          <w:rFonts w:ascii="Noto Sans Arabic" w:hAnsi="Noto Sans Arabic" w:cs="Noto Sans Arabic" w:eastAsia="Noto Sans Arabic"/>
          <w:b w:val="0"/>
          <w:color w:val="000000"/>
          <w:rtl/>
          <w:lang w:val="ar-EG" w:bidi="ar-EG"/>
        </w:rPr>
        <w:t>القيود تمر بمسودة ثم مراجعة عند تفعيلها ثم ترحيل. بعد الترحيل يكون التصحيح بعكس أو تسوية مرتبطين بالأصل مع سبب وهوية المنفذ. إلغاء مستند غير مرحل يختلف عن عكس قيد مرحل. رقم العملية يبقى قابلًا للتتبع ولا يُعاد استخدامه لإخفاء إلغاء.</w:t>
      </w:r>
    </w:p>
    <w:p>
      <w:pPr>
        <w:pStyle w:val="Heading1"/>
        <w:keepNext/>
        <w:bidi/>
        <w:jc w:val="start"/>
      </w:pPr>
      <w:r>
        <w:rPr>
          <w:rFonts w:ascii="Noto Sans Arabic" w:hAnsi="Noto Sans Arabic" w:cs="Noto Sans Arabic" w:eastAsia="Noto Sans Arabic"/>
          <w:b w:val="0"/>
          <w:color w:val="000000"/>
          <w:rtl/>
          <w:lang w:val="ar-EG" w:bidi="ar-EG"/>
        </w:rPr>
        <w:t>٨ التقارير والإقفال</w:t>
      </w:r>
    </w:p>
    <w:p>
      <w:pPr>
        <w:bidi/>
        <w:jc w:val="start"/>
      </w:pPr>
      <w:r>
        <w:rPr>
          <w:rFonts w:ascii="Noto Sans Arabic" w:hAnsi="Noto Sans Arabic" w:cs="Noto Sans Arabic" w:eastAsia="Noto Sans Arabic"/>
          <w:b w:val="0"/>
          <w:color w:val="000000"/>
          <w:rtl/>
          <w:lang w:val="ar-EG" w:bidi="ar-EG"/>
        </w:rPr>
        <w:t>المطلوب: يومية عامة، أستاذ، ميزان مراجعة افتتاحي وحركة وختامي، دخل للفترة، مركز مالي في تاريخ، تدفقات نقدية، تغيرات حقوق ملكية، وكشوف وأعمار العملاء والموردين، ومخزون وأصول وضرائب وتسويات بنوك. المقارنات والإيضاحات تُجهز حسب الإطار المطلوب. التقارير تدعم الطباعة والتصدير بلغة واحدة مع اسم المنشأة والفترة والعملة.</w:t>
      </w:r>
    </w:p>
    <w:p>
      <w:pPr>
        <w:bidi/>
        <w:jc w:val="start"/>
      </w:pPr>
      <w:r>
        <w:rPr>
          <w:rFonts w:ascii="Noto Sans Arabic" w:hAnsi="Noto Sans Arabic" w:cs="Noto Sans Arabic" w:eastAsia="Noto Sans Arabic"/>
          <w:b w:val="0"/>
          <w:color w:val="000000"/>
          <w:rtl/>
          <w:lang w:val="ar-EG" w:bidi="ar-EG"/>
        </w:rPr>
        <w:t>اختبارات المطابقة: مجموع المدين يساوي الدائن؛ الافتتاح مع صافي الحركة يساوي الختام؛ المساعد يساوي الأستاذ؛ المخزون والأصول يطابقان حساباتهما؛ المركز المالي متوازن؛ نتيجة الدخل تظهر مرة واحدة في حقوق الملكية؛ النقد الافتتاحي مع حركته وأثر العملة المناسب يساوي النقد الختامي.</w:t>
      </w:r>
    </w:p>
    <w:p>
      <w:pPr>
        <w:bidi/>
        <w:jc w:val="start"/>
      </w:pPr>
      <w:r>
        <w:rPr>
          <w:rFonts w:ascii="Noto Sans Arabic" w:hAnsi="Noto Sans Arabic" w:cs="Noto Sans Arabic" w:eastAsia="Noto Sans Arabic"/>
          <w:b w:val="0"/>
          <w:color w:val="000000"/>
          <w:rtl/>
          <w:lang w:val="ar-EG" w:bidi="ar-EG"/>
        </w:rPr>
        <w:t>قبل قفل الشهر تُراجع البنوك والذمم والجرد والأصول والمستحقات والمقدمات والضرائب. إقفال السنة ينقل نتيجة الفترة للأرباح المحتجزة دون تكرارها أو إعادة نسخ أرصدة الميزانية في دفتر مستمر. إعادة الفتح تحتاج صلاحية وسببًا واعتمادًا. لا تقبل الفترة المقفلة قيدًا جديدًا أو عكسًا بتاريخها دون المسار المعتمد.</w:t>
      </w:r>
    </w:p>
    <w:p>
      <w:pPr>
        <w:pStyle w:val="Heading1"/>
        <w:keepNext/>
        <w:bidi/>
        <w:jc w:val="start"/>
      </w:pPr>
      <w:r>
        <w:rPr>
          <w:rFonts w:ascii="Noto Sans Arabic" w:hAnsi="Noto Sans Arabic" w:cs="Noto Sans Arabic" w:eastAsia="Noto Sans Arabic"/>
          <w:b w:val="0"/>
          <w:color w:val="000000"/>
          <w:rtl/>
          <w:lang w:val="ar-EG" w:bidi="ar-EG"/>
        </w:rPr>
        <w:t>٩ أسئلة الاعتماد</w:t>
      </w:r>
    </w:p>
    <w:p>
      <w:pPr>
        <w:bidi/>
        <w:jc w:val="start"/>
      </w:pPr>
      <w:r>
        <w:rPr>
          <w:rFonts w:ascii="Noto Sans Arabic" w:hAnsi="Noto Sans Arabic" w:cs="Noto Sans Arabic" w:eastAsia="Noto Sans Arabic"/>
          <w:b w:val="0"/>
          <w:color w:val="000000"/>
          <w:rtl/>
          <w:lang w:val="ar-EG" w:bidi="ar-EG"/>
        </w:rPr>
        <w:t>يكتب المحاسب أمام كل بند: موافق، يحتاج تعديلًا، أو غير منطبق؛ مع السبب والمثال. عدم الرد ليس موافقة. يمكن إرفاق نموذج مستند منزوع البيانات الشخصية لتوضيح دورة غير مغطاة.</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95" w:type="dxa"/>
          <w:right w:w="95" w:type="dxa"/>
        </w:tblCellMar>
      </w:tblPr>
      <w:tblGrid>
        <w:gridCol w:w="720"/>
        <w:gridCol w:w="6480"/>
        <w:gridCol w:w="3168"/>
      </w:tblGrid>
      <w:tr>
        <w:trPr>
          <w:cantSplit/>
          <w:tblHeader/>
        </w:trPr>
        <w:tc>
          <w:tcPr>
            <w:tcW w:type="dxa" w:w="720"/>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رقم</w:t>
            </w:r>
          </w:p>
        </w:tc>
        <w:tc>
          <w:tcPr>
            <w:tcW w:type="dxa" w:w="6480"/>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القرار المطلوب</w:t>
            </w:r>
          </w:p>
        </w:tc>
        <w:tc>
          <w:tcPr>
            <w:tcW w:type="dxa" w:w="3168"/>
            <w:vAlign w:val="center"/>
            <w:shd w:fill="E9EEF3"/>
          </w:tcPr>
          <w:p>
            <w:pPr>
              <w:bidi/>
              <w:spacing w:after="40" w:before="40" w:line="264" w:lineRule="auto"/>
              <w:jc w:val="start"/>
            </w:pPr>
            <w:r>
              <w:rPr>
                <w:rFonts w:ascii="Noto Sans Arabic" w:hAnsi="Noto Sans Arabic" w:cs="Noto Sans Arabic" w:eastAsia="Noto Sans Arabic"/>
                <w:b/>
                <w:color w:val="000000"/>
                <w:sz w:val="21"/>
                <w:rtl/>
                <w:lang w:val="ar-EG" w:bidi="ar-EG"/>
                <w:szCs w:val="21"/>
                <w:bCs/>
              </w:rPr>
              <w:t>الإجابة أو التعديل</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النشاط والبلد والشكل القانوني والإطار المحاسبي؟</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٢</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بداية السنة المالية والعملة الأساسية وتاريخ التحول؟</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٣</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الشجرة تغطي النشاط؟ ما الحسابات التي تُضاف أو تُحذف؟</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٤</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توجد أرصدة قديمة على حسابات تجميعية؟ كيف تُنقل مع حفظ التاريخ؟</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٥</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التحول بداية سنة أم منتصفها؟ ما مستوى التاريخ المطلوب استيراده؟</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٦</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سياسة الاعتراف بالخدمات والمقدمات والمرتجعات؟</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٧</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الجرد المستمر والمتوسط المتحرك مناسبان؟ هل توجد دفعات أو صلاحية أو أرقام مسلسلة؟</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٨</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سياسة الإهلاك والرسملة والقيمة التخريدية ومراجعة العمر؟</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٩</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الضرائب والخصم والاستقطاع والتكاملات الإلكترونية المنطبقة؟</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١٠</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تحتاج معاملات أجنبية أو إعادة تقييم أو قيود تمويل أو إيجار متخصصة؟</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١١</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الأدوار وحدود الاعتماد وسياسة القفل وإعادة الفتح والتصحيح؟</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١٢</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تقارير الإدارة والفروع ومراكز التكلفة المطلوبة؟</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١٣</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هل مسار فتح الحساب والرجوع للقيد يطابق طريقة المراجعة اليومية؟</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r>
        <w:trPr>
          <w:cantSplit/>
        </w:trPr>
        <w:tc>
          <w:tcPr>
            <w:tcW w:type="dxa" w:w="72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١٤</w:t>
            </w:r>
          </w:p>
        </w:tc>
        <w:tc>
          <w:tcPr>
            <w:tcW w:type="dxa" w:w="6480"/>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ما العملية المحاسبية التي لا يغطيها التصور؟ اذكر مستندًا وقيدًا وتقريرًا متوقعًا.</w:t>
            </w:r>
          </w:p>
        </w:tc>
        <w:tc>
          <w:tcPr>
            <w:tcW w:type="dxa" w:w="3168"/>
            <w:vAlign w:val="center"/>
          </w:tcPr>
          <w:p>
            <w:pPr>
              <w:bidi/>
              <w:spacing w:after="40" w:before="40" w:line="264" w:lineRule="auto"/>
              <w:jc w:val="start"/>
            </w:pPr>
            <w:r>
              <w:rPr>
                <w:rFonts w:ascii="Noto Sans Arabic" w:hAnsi="Noto Sans Arabic" w:cs="Noto Sans Arabic" w:eastAsia="Noto Sans Arabic"/>
                <w:b w:val="0"/>
                <w:color w:val="000000"/>
                <w:sz w:val="21"/>
                <w:rtl/>
                <w:lang w:val="ar-EG" w:bidi="ar-EG"/>
                <w:szCs w:val="21"/>
              </w:rPr>
              <w:t>يُستكمل بالمراجعة</w:t>
            </w:r>
          </w:p>
        </w:tc>
      </w:tr>
    </w:tbl>
    <w:p>
      <w:pPr>
        <w:spacing w:after="40" w:before="0"/>
      </w:pPr>
    </w:p>
    <w:p>
      <w:pPr>
        <w:bidi/>
        <w:jc w:val="start"/>
      </w:pPr>
      <w:r>
        <w:rPr>
          <w:rFonts w:ascii="Noto Sans Arabic" w:hAnsi="Noto Sans Arabic" w:cs="Noto Sans Arabic" w:eastAsia="Noto Sans Arabic"/>
          <w:b w:val="0"/>
          <w:color w:val="000000"/>
          <w:rtl/>
          <w:lang w:val="ar-EG" w:bidi="ar-EG"/>
        </w:rPr>
        <w:t>اسم المراجع وصفته: يضافان عند المراجعة. تاريخ المراجعة ورقم نسخة الوثيقة: يثبتان عند الرد. حالة الاعتماد الحالية: لم يُعتمد بعد. نجاح أي اختبار برمجي لا يحل محل مراجعة المعالجة المحاسبية.</w:t>
      </w:r>
    </w:p>
    <w:p>
      <w:pPr>
        <w:pStyle w:val="Heading1"/>
        <w:keepNext/>
        <w:bidi/>
        <w:jc w:val="start"/>
      </w:pPr>
      <w:r>
        <w:rPr>
          <w:rFonts w:ascii="Noto Sans Arabic" w:hAnsi="Noto Sans Arabic" w:cs="Noto Sans Arabic" w:eastAsia="Noto Sans Arabic"/>
          <w:b w:val="0"/>
          <w:color w:val="000000"/>
          <w:rtl/>
          <w:lang w:val="ar-EG" w:bidi="ar-EG"/>
        </w:rPr>
        <w:t>١٠ أساس البحث وحدوده</w:t>
      </w:r>
    </w:p>
    <w:p>
      <w:pPr>
        <w:bidi/>
        <w:jc w:val="start"/>
      </w:pPr>
      <w:r>
        <w:rPr>
          <w:rFonts w:ascii="Noto Sans Arabic" w:hAnsi="Noto Sans Arabic" w:cs="Noto Sans Arabic" w:eastAsia="Noto Sans Arabic"/>
          <w:b w:val="0"/>
          <w:color w:val="000000"/>
          <w:rtl/>
          <w:lang w:val="ar-EG" w:bidi="ar-EG"/>
        </w:rPr>
        <w:t>الملف المرسل يحتوي يومية ودليلًا وميزانًا وقوائم وتقارير عملاء وموردين. استُخدم لفهم طريقة العمل، ولم تُنقل صِيَغه باعتبارها قواعد نهائية؛ بيانات اليومية الفعلية فيه غير مُعبأة، وبعض نطاقات وصيغ التقارير تحتاج مراجعة. النظام الحالي يحتوي أساس قيد مزدوج يمكن تطويره، لكنه لا يحقق كل المواصفات الواردة هنا بعد.</w:t>
      </w:r>
    </w:p>
    <w:p>
      <w:pPr>
        <w:bidi/>
        <w:jc w:val="start"/>
      </w:pPr>
      <w:r>
        <w:rPr>
          <w:rFonts w:ascii="Noto Sans Arabic" w:hAnsi="Noto Sans Arabic" w:cs="Noto Sans Arabic" w:eastAsia="Noto Sans Arabic"/>
          <w:b w:val="0"/>
          <w:color w:val="000000"/>
          <w:rtl/>
          <w:lang w:val="ar-EG" w:bidi="ar-EG"/>
        </w:rPr>
        <w:t xml:space="preserve">المبادئ المهنية جرى الرجوع فيها إلى </w:t>
      </w:r>
      <w:hyperlink r:id="rId11">
        <w:r>
          <w:rPr>
            <w:rFonts w:ascii="Noto Sans Arabic" w:hAnsi="Noto Sans Arabic" w:cs="Noto Sans Arabic" w:eastAsia="Noto Sans Arabic"/>
            <w:b w:val="0"/>
            <w:color w:val="254B70"/>
            <w:rtl/>
            <w:lang w:val="ar-EG" w:bidi="ar-EG"/>
          </w:rPr>
          <w:t>شرح جمعية المحاسبين القانونيين المعتمدين للقيد والمعادلة</w:t>
        </w:r>
      </w:hyperlink>
      <w:r>
        <w:rPr>
          <w:rFonts w:ascii="Noto Sans Arabic" w:hAnsi="Noto Sans Arabic" w:cs="Noto Sans Arabic" w:eastAsia="Noto Sans Arabic"/>
          <w:b w:val="0"/>
          <w:color w:val="000000"/>
          <w:rtl/>
          <w:lang w:val="ar-EG" w:bidi="ar-EG"/>
        </w:rPr>
        <w:t>، و</w:t>
      </w:r>
      <w:hyperlink r:id="rId12">
        <w:r>
          <w:rPr>
            <w:rFonts w:ascii="Noto Sans Arabic" w:hAnsi="Noto Sans Arabic" w:cs="Noto Sans Arabic" w:eastAsia="Noto Sans Arabic"/>
            <w:b w:val="0"/>
            <w:color w:val="254B70"/>
            <w:rtl/>
            <w:lang w:val="ar-EG" w:bidi="ar-EG"/>
          </w:rPr>
          <w:t>المخزون</w:t>
        </w:r>
      </w:hyperlink>
      <w:r>
        <w:rPr>
          <w:rFonts w:ascii="Noto Sans Arabic" w:hAnsi="Noto Sans Arabic" w:cs="Noto Sans Arabic" w:eastAsia="Noto Sans Arabic"/>
          <w:b w:val="0"/>
          <w:color w:val="000000"/>
          <w:rtl/>
          <w:lang w:val="ar-EG" w:bidi="ar-EG"/>
        </w:rPr>
        <w:t>، و</w:t>
      </w:r>
      <w:hyperlink r:id="rId13">
        <w:r>
          <w:rPr>
            <w:rFonts w:ascii="Noto Sans Arabic" w:hAnsi="Noto Sans Arabic" w:cs="Noto Sans Arabic" w:eastAsia="Noto Sans Arabic"/>
            <w:b w:val="0"/>
            <w:color w:val="254B70"/>
            <w:rtl/>
            <w:lang w:val="ar-EG" w:bidi="ar-EG"/>
          </w:rPr>
          <w:t>الأصول</w:t>
        </w:r>
      </w:hyperlink>
      <w:r>
        <w:rPr>
          <w:rFonts w:ascii="Noto Sans Arabic" w:hAnsi="Noto Sans Arabic" w:cs="Noto Sans Arabic" w:eastAsia="Noto Sans Arabic"/>
          <w:b w:val="0"/>
          <w:color w:val="000000"/>
          <w:rtl/>
          <w:lang w:val="ar-EG" w:bidi="ar-EG"/>
        </w:rPr>
        <w:t>، و</w:t>
      </w:r>
      <w:hyperlink r:id="rId14">
        <w:r>
          <w:rPr>
            <w:rFonts w:ascii="Noto Sans Arabic" w:hAnsi="Noto Sans Arabic" w:cs="Noto Sans Arabic" w:eastAsia="Noto Sans Arabic"/>
            <w:b w:val="0"/>
            <w:color w:val="254B70"/>
            <w:rtl/>
            <w:lang w:val="ar-EG" w:bidi="ar-EG"/>
          </w:rPr>
          <w:t>التدفقات النقدية</w:t>
        </w:r>
      </w:hyperlink>
      <w:r>
        <w:rPr>
          <w:rFonts w:ascii="Noto Sans Arabic" w:hAnsi="Noto Sans Arabic" w:cs="Noto Sans Arabic" w:eastAsia="Noto Sans Arabic"/>
          <w:b w:val="0"/>
          <w:color w:val="000000"/>
          <w:rtl/>
          <w:lang w:val="ar-EG" w:bidi="ar-EG"/>
        </w:rPr>
        <w:t xml:space="preserve">. تحديد الإطار المحلي يستند إلى </w:t>
      </w:r>
      <w:hyperlink r:id="rId15">
        <w:r>
          <w:rPr>
            <w:rFonts w:ascii="Noto Sans Arabic" w:hAnsi="Noto Sans Arabic" w:cs="Noto Sans Arabic" w:eastAsia="Noto Sans Arabic"/>
            <w:b w:val="0"/>
            <w:color w:val="254B70"/>
            <w:rtl/>
            <w:lang w:val="ar-EG" w:bidi="ar-EG"/>
          </w:rPr>
          <w:t>مرجع المعايير المصرية</w:t>
        </w:r>
      </w:hyperlink>
      <w:r>
        <w:rPr>
          <w:rFonts w:ascii="Noto Sans Arabic" w:hAnsi="Noto Sans Arabic" w:cs="Noto Sans Arabic" w:eastAsia="Noto Sans Arabic"/>
          <w:b w:val="0"/>
          <w:color w:val="000000"/>
          <w:rtl/>
          <w:lang w:val="ar-EG" w:bidi="ar-EG"/>
        </w:rPr>
        <w:t xml:space="preserve">، والتكامل الضريبي إلى </w:t>
      </w:r>
      <w:hyperlink r:id="rId16">
        <w:r>
          <w:rPr>
            <w:rFonts w:ascii="Noto Sans Arabic" w:hAnsi="Noto Sans Arabic" w:cs="Noto Sans Arabic" w:eastAsia="Noto Sans Arabic"/>
            <w:b w:val="0"/>
            <w:color w:val="254B70"/>
            <w:rtl/>
            <w:lang w:val="ar-EG" w:bidi="ar-EG"/>
          </w:rPr>
          <w:t>مصلحة الضرائب المصرية</w:t>
        </w:r>
      </w:hyperlink>
      <w:r>
        <w:rPr>
          <w:rFonts w:ascii="Noto Sans Arabic" w:hAnsi="Noto Sans Arabic" w:cs="Noto Sans Arabic" w:eastAsia="Noto Sans Arabic"/>
          <w:b w:val="0"/>
          <w:color w:val="000000"/>
          <w:rtl/>
          <w:lang w:val="ar-EG" w:bidi="ar-EG"/>
        </w:rPr>
        <w:t>. تاريخ الاطلاع: ١٨ سبتمبر ٢٠٢٦. تصميم النظام لا يشكل بمفرده إقرار امتثال لكل المعايير أو تشريعات كل منشأة.</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start"/>
    </w:pPr>
    <w:r>
      <w:rPr>
        <w:rFonts w:ascii="Noto Sans Arabic" w:hAnsi="Noto Sans Arabic" w:cs="Noto Sans Arabic" w:eastAsia="Noto Sans Arabic"/>
        <w:b w:val="0"/>
        <w:color w:val="000000"/>
        <w:sz w:val="18"/>
        <w:rtl/>
        <w:lang w:val="ar-EG" w:bidi="ar-EG"/>
        <w:szCs w:val="18"/>
      </w:rPr>
      <w:t xml:space="preserve">نسخة للمراجعة  |  ١٨ سبتمبر ٢٠٢٦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start"/>
    </w:pPr>
    <w:r>
      <w:rPr>
        <w:rFonts w:ascii="Noto Sans Arabic" w:hAnsi="Noto Sans Arabic" w:cs="Noto Sans Arabic" w:eastAsia="Noto Sans Arabic"/>
        <w:b w:val="0"/>
        <w:color w:val="000000"/>
        <w:sz w:val="18"/>
        <w:rtl/>
        <w:lang w:val="ar-EG" w:bidi="ar-EG"/>
        <w:szCs w:val="18"/>
      </w:rPr>
      <w:t>وثيقة مراجعة النظام المحاسبي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before="0" w:line="283" w:lineRule="auto"/>
    </w:pPr>
    <w:rPr>
      <w:rFonts w:ascii="Noto Sans Arabic" w:hAnsi="Noto Sans Arabic"/>
      <w:b w:val="0"/>
      <w:color w:val="000000"/>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200" w:line="283" w:lineRule="auto"/>
      <w:outlineLvl w:val="0"/>
    </w:pPr>
    <w:rPr>
      <w:rFonts w:asciiTheme="majorHAnsi" w:eastAsiaTheme="majorEastAsia" w:hAnsiTheme="majorHAnsi" w:cstheme="majorBidi" w:ascii="Noto Sans Arabic" w:hAnsi="Noto Sans Arabic"/>
      <w:b/>
      <w:bCs/>
      <w:color w:val="000000"/>
      <w:sz w:val="30"/>
      <w:szCs w:val="30"/>
      <w:bCs/>
    </w:rPr>
  </w:style>
  <w:style w:type="paragraph" w:styleId="Heading2">
    <w:name w:val="heading 2"/>
    <w:basedOn w:val="Normal"/>
    <w:next w:val="Normal"/>
    <w:link w:val="Heading2Char"/>
    <w:uiPriority w:val="9"/>
    <w:unhideWhenUsed/>
    <w:qFormat/>
    <w:rsid w:val="00FC693F"/>
    <w:pPr>
      <w:keepNext/>
      <w:keepLines/>
      <w:widowControl/>
      <w:spacing w:before="260" w:after="200" w:line="283" w:lineRule="auto"/>
      <w:outlineLvl w:val="1"/>
    </w:pPr>
    <w:rPr>
      <w:rFonts w:asciiTheme="majorHAnsi" w:eastAsiaTheme="majorEastAsia" w:hAnsiTheme="majorHAnsi" w:cstheme="majorBidi" w:ascii="Noto Sans Arabic" w:hAnsi="Noto Sans Arabic"/>
      <w:b/>
      <w:bCs/>
      <w:color w:val="000000"/>
      <w:sz w:val="26"/>
      <w:szCs w:val="26"/>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83" w:lineRule="auto" w:before="0"/>
      <w:contextualSpacing/>
    </w:pPr>
    <w:rPr>
      <w:rFonts w:asciiTheme="majorHAnsi" w:eastAsiaTheme="majorEastAsia" w:hAnsiTheme="majorHAnsi" w:cstheme="majorBidi" w:ascii="Noto Sans Arabic" w:hAnsi="Noto Sans Arabic"/>
      <w:b/>
      <w:color w:val="000000"/>
      <w:spacing w:val="5"/>
      <w:kern w:val="28"/>
      <w:sz w:val="44"/>
      <w:szCs w:val="44"/>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ccaglobal.com/gb/en/student/exam-support-resources/foundation-level-study-resources/fa1/technical-articles/accounting-equation.html" TargetMode="External"/><Relationship Id="rId12" Type="http://schemas.openxmlformats.org/officeDocument/2006/relationships/hyperlink" Target="https://www.ifrs.org/issued-standards/list-of-standards/ias-2-inventories/" TargetMode="External"/><Relationship Id="rId13" Type="http://schemas.openxmlformats.org/officeDocument/2006/relationships/hyperlink" Target="https://www.ifrs.org/issued-standards/list-of-standards/ias-16-property-plant-and-equipment/" TargetMode="External"/><Relationship Id="rId14" Type="http://schemas.openxmlformats.org/officeDocument/2006/relationships/hyperlink" Target="https://www.ifrs.org/issued-standards/list-of-standards/ias-7-statement-of-cash-flows/" TargetMode="External"/><Relationship Id="rId15" Type="http://schemas.openxmlformats.org/officeDocument/2006/relationships/hyperlink" Target="https://fra.gov.eg/&#1605;&#1593;&#1575;&#1610;&#1610;&#1585;-&#1575;&#1604;&#1605;&#1581;&#1575;&#1587;&#1576;&#1577;&#1608;&#1605;&#1585;&#1575;&#1602;&#1576;&#1610;-&#1575;&#1604;&#1581;&#1587;&#1575;&#1576;&#1575;&#1578;/" TargetMode="External"/><Relationship Id="rId16" Type="http://schemas.openxmlformats.org/officeDocument/2006/relationships/hyperlink" Target="https://sdk.invoicing.eta.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مراجعة النظام المحاسبي</dc:title>
  <dc:subject>دليل الحسابات ودورات العمل وأسئلة اعتماد المحاسب</dc:subject>
  <dc:creator>Ledger Suit</dc:creator>
  <cp:keywords/>
  <dc:description>generated by python-docx</dc:description>
  <cp:lastModifiedBy/>
  <cp:revision>1</cp:revision>
  <dcterms:created xsi:type="dcterms:W3CDTF">2013-12-23T23:15:00Z</dcterms:created>
  <dcterms:modified xsi:type="dcterms:W3CDTF">2013-12-23T23:15:00Z</dcterms:modified>
  <cp:category/>
</cp:coreProperties>
</file>