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E9302" w14:textId="77777777" w:rsidR="00DA20AB" w:rsidRDefault="00EB0C32" w:rsidP="00DA20AB">
      <w:pPr>
        <w:rPr>
          <w:b/>
          <w:bCs/>
          <w:lang w:val="en-US"/>
        </w:rPr>
      </w:pPr>
      <w:r>
        <w:t xml:space="preserve"> </w:t>
      </w:r>
      <w:r w:rsidR="00DA20AB" w:rsidRPr="00D94C1E">
        <w:rPr>
          <w:b/>
          <w:bCs/>
          <w:lang w:val="en-US"/>
        </w:rPr>
        <w:t>Dublin Geodemographic Tool</w:t>
      </w:r>
    </w:p>
    <w:p w14:paraId="648A6926" w14:textId="77777777" w:rsidR="00DA20AB" w:rsidRPr="00D94C1E" w:rsidRDefault="00DA20AB" w:rsidP="00DA20AB">
      <w:pPr>
        <w:rPr>
          <w:b/>
          <w:bCs/>
          <w:lang w:val="en-US"/>
        </w:rPr>
      </w:pPr>
    </w:p>
    <w:p w14:paraId="2CF0C434" w14:textId="77777777" w:rsidR="00DA20AB" w:rsidRDefault="00DA20AB" w:rsidP="00DA20AB">
      <w:pPr>
        <w:rPr>
          <w:lang w:val="en-US"/>
        </w:rPr>
      </w:pPr>
      <w:r w:rsidRPr="00C76C41">
        <w:rPr>
          <w:lang w:val="en-US"/>
        </w:rPr>
        <w:t xml:space="preserve">Geodemographic classification is a tool that groups spatial units based on socio-economic characteristics. </w:t>
      </w:r>
    </w:p>
    <w:p w14:paraId="2BA3B9DC" w14:textId="77777777" w:rsidR="00DA20AB" w:rsidRDefault="00DA20AB" w:rsidP="00DA20AB">
      <w:pPr>
        <w:rPr>
          <w:lang w:val="en-US"/>
        </w:rPr>
      </w:pPr>
      <w:r w:rsidRPr="35EF2D14">
        <w:rPr>
          <w:lang w:val="en-US"/>
        </w:rPr>
        <w:t xml:space="preserve">The Dublin Geodemographic Tool is following the Ireland Geodemographic classification method but focusing on Dublin for a better insight. For the Dublin Geodemographic Tool, Small Areas are selected as spatial units and 2016 Census of Population results are used for socio-economic components. </w:t>
      </w:r>
    </w:p>
    <w:p w14:paraId="431E04E3" w14:textId="77777777" w:rsidR="00DA20AB" w:rsidRDefault="00DA20AB" w:rsidP="00DA20AB">
      <w:pPr>
        <w:rPr>
          <w:lang w:val="en-US"/>
        </w:rPr>
      </w:pPr>
      <w:r w:rsidRPr="35EF2D14">
        <w:rPr>
          <w:lang w:val="en-US"/>
        </w:rPr>
        <w:t xml:space="preserve">The classifications are the result of similarities found in data through the analysis of 33 different variables under the themes of age and marital status; ethnicity; housing; socio-economic group; education; commuting; occupation type; motor car availability and internet access. </w:t>
      </w:r>
    </w:p>
    <w:p w14:paraId="71AE5BBE" w14:textId="77777777" w:rsidR="00DA20AB" w:rsidRDefault="00DA20AB" w:rsidP="00DA20AB">
      <w:pPr>
        <w:rPr>
          <w:lang w:val="en-US"/>
        </w:rPr>
      </w:pPr>
      <w:r>
        <w:rPr>
          <w:lang w:val="en-US"/>
        </w:rPr>
        <w:t xml:space="preserve">Every step included in the production of this geodemographic tool is open to all users.  </w:t>
      </w:r>
    </w:p>
    <w:p w14:paraId="49027BB6" w14:textId="77777777" w:rsidR="00DA20AB" w:rsidRDefault="00DA20AB" w:rsidP="00DA20AB">
      <w:pPr>
        <w:rPr>
          <w:highlight w:val="darkYellow"/>
          <w:lang w:val="en-US"/>
        </w:rPr>
      </w:pPr>
    </w:p>
    <w:p w14:paraId="7F50E056" w14:textId="77777777" w:rsidR="00DA20AB" w:rsidRDefault="00DA20AB" w:rsidP="00DA20AB">
      <w:pPr>
        <w:rPr>
          <w:lang w:val="en-US"/>
        </w:rPr>
      </w:pPr>
      <w:r w:rsidRPr="00A1344F">
        <w:rPr>
          <w:highlight w:val="darkYellow"/>
          <w:lang w:val="en-US"/>
        </w:rPr>
        <w:t>Group 1</w:t>
      </w:r>
    </w:p>
    <w:p w14:paraId="5CBB40AC" w14:textId="77777777" w:rsidR="00DA20AB" w:rsidRDefault="00DA20AB" w:rsidP="00DA20AB">
      <w:pPr>
        <w:rPr>
          <w:lang w:val="en-US"/>
        </w:rPr>
      </w:pPr>
    </w:p>
    <w:p w14:paraId="16ACE306" w14:textId="77777777" w:rsidR="00DA20AB" w:rsidRDefault="00DA20AB" w:rsidP="00DA20AB">
      <w:pPr>
        <w:rPr>
          <w:lang w:val="en-US"/>
        </w:rPr>
      </w:pPr>
      <w:r w:rsidRPr="35EF2D14">
        <w:rPr>
          <w:lang w:val="en-US"/>
        </w:rPr>
        <w:t xml:space="preserve">Students from different levels (undergraduate and postgraduate), single people who are at their early career stage, young professionals, couples without children are represented in this group. Residents of these areas mostly coming from an international background and age range is between 25 to 44. In these ethnically diverse small areas, employment levels and educational levels are high. </w:t>
      </w:r>
      <w:r>
        <w:rPr>
          <w:lang w:val="en-US"/>
        </w:rPr>
        <w:t>P</w:t>
      </w:r>
      <w:r w:rsidRPr="35EF2D14">
        <w:rPr>
          <w:lang w:val="en-US"/>
        </w:rPr>
        <w:t xml:space="preserve">rivately rented flat </w:t>
      </w:r>
      <w:r w:rsidRPr="00BF6E37">
        <w:rPr>
          <w:lang w:val="en-US"/>
        </w:rPr>
        <w:t>living is popular in</w:t>
      </w:r>
      <w:r w:rsidRPr="35EF2D14">
        <w:rPr>
          <w:lang w:val="en-US"/>
        </w:rPr>
        <w:t xml:space="preserve"> this group and residents of these apartments are mostly using public transport to work. </w:t>
      </w:r>
    </w:p>
    <w:p w14:paraId="018E1D2C" w14:textId="77777777" w:rsidR="00DA20AB" w:rsidRDefault="00DA20AB" w:rsidP="00DA20AB">
      <w:pPr>
        <w:rPr>
          <w:lang w:val="en-US"/>
        </w:rPr>
      </w:pPr>
    </w:p>
    <w:p w14:paraId="4401D91B" w14:textId="77777777" w:rsidR="00DA20AB" w:rsidRDefault="00DA20AB" w:rsidP="00DA20AB">
      <w:pPr>
        <w:rPr>
          <w:lang w:val="en-US"/>
        </w:rPr>
      </w:pPr>
      <w:r>
        <w:rPr>
          <w:lang w:val="en-US"/>
        </w:rPr>
        <w:t xml:space="preserve">This group consists the lowest percentage of the Dublin population (8.2 %) compared to the other groups. Out of four different authorities Dublin City has the highest percentage of the small areas belonging to this group (86.8 %). </w:t>
      </w:r>
    </w:p>
    <w:p w14:paraId="15F2BC86" w14:textId="77777777" w:rsidR="00DA20AB" w:rsidRDefault="00DA20AB" w:rsidP="00DA20AB">
      <w:pPr>
        <w:rPr>
          <w:lang w:val="en-US"/>
        </w:rPr>
      </w:pPr>
    </w:p>
    <w:p w14:paraId="1C372C36" w14:textId="77777777" w:rsidR="00DA20AB" w:rsidRDefault="00DA20AB" w:rsidP="00DA20AB">
      <w:pPr>
        <w:rPr>
          <w:lang w:val="en-US"/>
        </w:rPr>
      </w:pPr>
      <w:r w:rsidRPr="00A1344F">
        <w:rPr>
          <w:highlight w:val="darkMagenta"/>
          <w:lang w:val="en-US"/>
        </w:rPr>
        <w:t>Group 2</w:t>
      </w:r>
    </w:p>
    <w:p w14:paraId="0BA7CAB1" w14:textId="77777777" w:rsidR="00DA20AB" w:rsidRDefault="00DA20AB" w:rsidP="00DA20AB">
      <w:pPr>
        <w:rPr>
          <w:lang w:val="en-US"/>
        </w:rPr>
      </w:pPr>
    </w:p>
    <w:p w14:paraId="3F17AF2F" w14:textId="77777777" w:rsidR="00DA20AB" w:rsidRDefault="00DA20AB" w:rsidP="00DA20AB">
      <w:pPr>
        <w:rPr>
          <w:lang w:val="en-US"/>
        </w:rPr>
      </w:pPr>
      <w:r>
        <w:rPr>
          <w:lang w:val="en-US"/>
        </w:rPr>
        <w:t xml:space="preserve">Resident composition of this group is mostly young families with young children. The ethnic diversity is high in these peripherally located small areas. Apartment living is another noticeable characteristic for this group. </w:t>
      </w:r>
    </w:p>
    <w:p w14:paraId="0AA87179" w14:textId="77777777" w:rsidR="00DA20AB" w:rsidRDefault="00DA20AB" w:rsidP="00DA20AB"/>
    <w:p w14:paraId="7B15E8CC" w14:textId="77777777" w:rsidR="00DA20AB" w:rsidRPr="00A1344F" w:rsidRDefault="00DA20AB" w:rsidP="00DA20AB">
      <w:r>
        <w:t>12.0 % of Dublin population resides under this category. Fingal is the county in Dublin with the highest percentage (50.8 %) followed by South Dublin (24.1 %) and Dublin City (16.8 %).</w:t>
      </w:r>
    </w:p>
    <w:p w14:paraId="1290E302" w14:textId="77777777" w:rsidR="00DA20AB" w:rsidRDefault="00DA20AB" w:rsidP="00DA20AB"/>
    <w:p w14:paraId="5B6171CE" w14:textId="77777777" w:rsidR="00DA20AB" w:rsidRDefault="00DA20AB" w:rsidP="00DA20AB">
      <w:r w:rsidRPr="00A1344F">
        <w:rPr>
          <w:highlight w:val="darkGray"/>
        </w:rPr>
        <w:t>Group 3</w:t>
      </w:r>
    </w:p>
    <w:p w14:paraId="4457E0E0" w14:textId="77777777" w:rsidR="00DA20AB" w:rsidRDefault="00DA20AB" w:rsidP="00DA20AB"/>
    <w:p w14:paraId="7A5AC092" w14:textId="77777777" w:rsidR="00DA20AB" w:rsidRDefault="00DA20AB" w:rsidP="00DA20AB">
      <w:r>
        <w:t xml:space="preserve">This group is mostly presenting a ‘single person’ profile which can be either separated people, single parents or older adults. Households in this group mostly have low internet connectivity. </w:t>
      </w:r>
    </w:p>
    <w:p w14:paraId="069AA105" w14:textId="77777777" w:rsidR="00DA20AB" w:rsidRDefault="00DA20AB" w:rsidP="00DA20AB"/>
    <w:p w14:paraId="751FF995" w14:textId="77777777" w:rsidR="00DA20AB" w:rsidRPr="00A1344F" w:rsidRDefault="00DA20AB" w:rsidP="00DA20AB">
      <w:r>
        <w:t>The second highest percentage (15.9 %) of the Dublin population is part of this group. Spatially, the highest percentage is located in Dublin City (67.8 %). South Dublin is the next county in Dublin with a percentage of 14.4 %.</w:t>
      </w:r>
    </w:p>
    <w:p w14:paraId="66B6AEE1" w14:textId="77777777" w:rsidR="00DA20AB" w:rsidRDefault="00DA20AB" w:rsidP="00DA20AB"/>
    <w:p w14:paraId="095FE15B" w14:textId="77777777" w:rsidR="00DA20AB" w:rsidRDefault="00DA20AB" w:rsidP="00DA20AB"/>
    <w:p w14:paraId="3E551DF3" w14:textId="77777777" w:rsidR="00DA20AB" w:rsidRDefault="00DA20AB" w:rsidP="00DA20AB"/>
    <w:p w14:paraId="626ACE77" w14:textId="77777777" w:rsidR="00DA20AB" w:rsidRDefault="00DA20AB" w:rsidP="00DA20AB">
      <w:r w:rsidRPr="00A1344F">
        <w:rPr>
          <w:highlight w:val="yellow"/>
        </w:rPr>
        <w:t>Group 4</w:t>
      </w:r>
    </w:p>
    <w:p w14:paraId="367F873E" w14:textId="77777777" w:rsidR="00DA20AB" w:rsidRDefault="00DA20AB" w:rsidP="00DA20AB"/>
    <w:p w14:paraId="55743176" w14:textId="77777777" w:rsidR="00DA20AB" w:rsidRDefault="00DA20AB" w:rsidP="00DA20AB">
      <w:r>
        <w:t xml:space="preserve">The residents of this group are mostly mature families with an Irish background. The population is mostly over 45 of age and married. The children of these families are no longer dependent on their parents. The households represented by this group have a high car ownership rate. </w:t>
      </w:r>
    </w:p>
    <w:p w14:paraId="659A50D5" w14:textId="77777777" w:rsidR="00DA20AB" w:rsidRDefault="00DA20AB" w:rsidP="00DA20AB"/>
    <w:p w14:paraId="6C1BFAD4" w14:textId="77777777" w:rsidR="00DA20AB" w:rsidRPr="00A1344F" w:rsidRDefault="00DA20AB" w:rsidP="00DA20AB">
      <w:r>
        <w:t xml:space="preserve">This group makes up the highest percentage population of Dublin (28.0 %). The spatial distribution of this group in the four counties of Dublin are: Dun Laoghaire - </w:t>
      </w:r>
      <w:proofErr w:type="spellStart"/>
      <w:r>
        <w:t>Rathdown</w:t>
      </w:r>
      <w:proofErr w:type="spellEnd"/>
      <w:r>
        <w:t xml:space="preserve"> (29.9 %); Dublin City (28.4 %); South Dublin (22.8 %) and Fingal (18.9 %).</w:t>
      </w:r>
    </w:p>
    <w:p w14:paraId="08729619" w14:textId="77777777" w:rsidR="00DA20AB" w:rsidRDefault="00DA20AB" w:rsidP="00DA20AB"/>
    <w:p w14:paraId="2EF4F2F5" w14:textId="77777777" w:rsidR="00DA20AB" w:rsidRDefault="00DA20AB" w:rsidP="00DA20AB">
      <w:r w:rsidRPr="00A1344F">
        <w:rPr>
          <w:highlight w:val="blue"/>
        </w:rPr>
        <w:t>Group 5</w:t>
      </w:r>
    </w:p>
    <w:p w14:paraId="06196B7D" w14:textId="77777777" w:rsidR="00DA20AB" w:rsidRDefault="00DA20AB" w:rsidP="00DA20AB"/>
    <w:p w14:paraId="183D3CA8" w14:textId="77777777" w:rsidR="00DA20AB" w:rsidRDefault="00DA20AB" w:rsidP="00DA20AB">
      <w:r>
        <w:t xml:space="preserve">The small areas that are part of this classification are mostly located at the periphery of Dublin. The representation of this group is mostly two or more car households and internet-connected households. The dominant housing type is privately owned houses. The composition of the population in this group is mostly families with kids mostly between the age of 5-14. Working from home is another important characteristic of this group. </w:t>
      </w:r>
    </w:p>
    <w:p w14:paraId="004CACE3" w14:textId="77777777" w:rsidR="00DA20AB" w:rsidRDefault="00DA20AB" w:rsidP="00DA20AB"/>
    <w:p w14:paraId="18912841" w14:textId="77777777" w:rsidR="00DA20AB" w:rsidRPr="00A1344F" w:rsidRDefault="00DA20AB" w:rsidP="00DA20AB">
      <w:r w:rsidRPr="00BF6E37">
        <w:t>This group represents the third highest population percentage of Dublin (15.3 %).</w:t>
      </w:r>
      <w:r>
        <w:t xml:space="preserve"> Fingal (44.1 %) and South Dublin (36.0 %) are the areas that this group is highly located in Dublin. </w:t>
      </w:r>
    </w:p>
    <w:p w14:paraId="13C20A67" w14:textId="77777777" w:rsidR="00DA20AB" w:rsidRDefault="00DA20AB" w:rsidP="00DA20AB"/>
    <w:p w14:paraId="1615C986" w14:textId="77777777" w:rsidR="00DA20AB" w:rsidRDefault="00DA20AB" w:rsidP="00DA20AB">
      <w:r w:rsidRPr="00A1344F">
        <w:rPr>
          <w:highlight w:val="magenta"/>
        </w:rPr>
        <w:t>Group 6</w:t>
      </w:r>
    </w:p>
    <w:p w14:paraId="5CE0D6E0" w14:textId="77777777" w:rsidR="00DA20AB" w:rsidRDefault="00DA20AB" w:rsidP="00DA20AB"/>
    <w:p w14:paraId="38A0406D" w14:textId="77777777" w:rsidR="00DA20AB" w:rsidRDefault="00DA20AB" w:rsidP="00DA20AB">
      <w:r>
        <w:t xml:space="preserve">The areas under this category are mostly composed of economically inactive families, separated families and single parents. Unemployment rate within the households of this group is quite high. The residents are born in Ireland. Education qualifications are low and houses are mostly rented through public authorities. </w:t>
      </w:r>
    </w:p>
    <w:p w14:paraId="76D4549C" w14:textId="77777777" w:rsidR="00DA20AB" w:rsidRDefault="00DA20AB" w:rsidP="00DA20AB"/>
    <w:p w14:paraId="4ABEDBA8" w14:textId="77777777" w:rsidR="00DA20AB" w:rsidRDefault="00DA20AB" w:rsidP="00DA20AB">
      <w:r>
        <w:t xml:space="preserve">9.6 % of the Dublin population is resident of this category. Dublin City is the highly concentrated location of this group with a percentage of 54.8 %. South Dublin (28.3 %) is the next spatially dense area of this group. </w:t>
      </w:r>
    </w:p>
    <w:p w14:paraId="16FDA6F5" w14:textId="77777777" w:rsidR="00DA20AB" w:rsidRPr="00A1344F" w:rsidRDefault="00DA20AB" w:rsidP="00DA20AB"/>
    <w:p w14:paraId="1BFAC033" w14:textId="77777777" w:rsidR="00DA20AB" w:rsidRDefault="00DA20AB" w:rsidP="00DA20AB">
      <w:r w:rsidRPr="00A1344F">
        <w:rPr>
          <w:highlight w:val="darkRed"/>
        </w:rPr>
        <w:t>Group 7</w:t>
      </w:r>
      <w:r w:rsidRPr="00A1344F">
        <w:t> </w:t>
      </w:r>
    </w:p>
    <w:p w14:paraId="7DAC2B08" w14:textId="77777777" w:rsidR="00DA20AB" w:rsidRDefault="00DA20AB" w:rsidP="00DA20AB"/>
    <w:p w14:paraId="50FBCF30" w14:textId="77777777" w:rsidR="00DA20AB" w:rsidRDefault="00DA20AB" w:rsidP="00DA20AB">
      <w:r>
        <w:t xml:space="preserve">This group is represented by young single people or young couples without children. Residents of these groups are mostly born in Ireland and higher education qualifications are high. The dominant housing type is apartments and they are mostly rented privately. </w:t>
      </w:r>
    </w:p>
    <w:p w14:paraId="674832E3" w14:textId="77777777" w:rsidR="00DA20AB" w:rsidRDefault="00DA20AB" w:rsidP="00DA20AB"/>
    <w:p w14:paraId="57D50F1F" w14:textId="77777777" w:rsidR="00DA20AB" w:rsidRDefault="00DA20AB" w:rsidP="00DA20AB">
      <w:r>
        <w:t xml:space="preserve">11.0 % of Dublin population is represented by this group. This group is unequally spatially distributed. 76.0 % of the small areas belonging to this group is in Dublin City borders. </w:t>
      </w:r>
    </w:p>
    <w:p w14:paraId="759F66C0" w14:textId="05E78539" w:rsidR="00A74E45" w:rsidRDefault="00A74E45">
      <w:bookmarkStart w:id="0" w:name="_GoBack"/>
      <w:bookmarkEnd w:id="0"/>
    </w:p>
    <w:sectPr w:rsidR="00A74E45" w:rsidSect="00FC33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A08"/>
    <w:multiLevelType w:val="hybridMultilevel"/>
    <w:tmpl w:val="EF9A7278"/>
    <w:lvl w:ilvl="0" w:tplc="E5C8C298">
      <w:start w:val="1"/>
      <w:numFmt w:val="bullet"/>
      <w:lvlText w:val="•"/>
      <w:lvlJc w:val="left"/>
      <w:pPr>
        <w:tabs>
          <w:tab w:val="num" w:pos="720"/>
        </w:tabs>
        <w:ind w:left="720" w:hanging="360"/>
      </w:pPr>
      <w:rPr>
        <w:rFonts w:ascii="Arial" w:hAnsi="Arial" w:hint="default"/>
      </w:rPr>
    </w:lvl>
    <w:lvl w:ilvl="1" w:tplc="D932D3AA" w:tentative="1">
      <w:start w:val="1"/>
      <w:numFmt w:val="bullet"/>
      <w:lvlText w:val="•"/>
      <w:lvlJc w:val="left"/>
      <w:pPr>
        <w:tabs>
          <w:tab w:val="num" w:pos="1440"/>
        </w:tabs>
        <w:ind w:left="1440" w:hanging="360"/>
      </w:pPr>
      <w:rPr>
        <w:rFonts w:ascii="Arial" w:hAnsi="Arial" w:hint="default"/>
      </w:rPr>
    </w:lvl>
    <w:lvl w:ilvl="2" w:tplc="D6F4076C" w:tentative="1">
      <w:start w:val="1"/>
      <w:numFmt w:val="bullet"/>
      <w:lvlText w:val="•"/>
      <w:lvlJc w:val="left"/>
      <w:pPr>
        <w:tabs>
          <w:tab w:val="num" w:pos="2160"/>
        </w:tabs>
        <w:ind w:left="2160" w:hanging="360"/>
      </w:pPr>
      <w:rPr>
        <w:rFonts w:ascii="Arial" w:hAnsi="Arial" w:hint="default"/>
      </w:rPr>
    </w:lvl>
    <w:lvl w:ilvl="3" w:tplc="2A2C46D6" w:tentative="1">
      <w:start w:val="1"/>
      <w:numFmt w:val="bullet"/>
      <w:lvlText w:val="•"/>
      <w:lvlJc w:val="left"/>
      <w:pPr>
        <w:tabs>
          <w:tab w:val="num" w:pos="2880"/>
        </w:tabs>
        <w:ind w:left="2880" w:hanging="360"/>
      </w:pPr>
      <w:rPr>
        <w:rFonts w:ascii="Arial" w:hAnsi="Arial" w:hint="default"/>
      </w:rPr>
    </w:lvl>
    <w:lvl w:ilvl="4" w:tplc="F61E6100" w:tentative="1">
      <w:start w:val="1"/>
      <w:numFmt w:val="bullet"/>
      <w:lvlText w:val="•"/>
      <w:lvlJc w:val="left"/>
      <w:pPr>
        <w:tabs>
          <w:tab w:val="num" w:pos="3600"/>
        </w:tabs>
        <w:ind w:left="3600" w:hanging="360"/>
      </w:pPr>
      <w:rPr>
        <w:rFonts w:ascii="Arial" w:hAnsi="Arial" w:hint="default"/>
      </w:rPr>
    </w:lvl>
    <w:lvl w:ilvl="5" w:tplc="B3E6102C" w:tentative="1">
      <w:start w:val="1"/>
      <w:numFmt w:val="bullet"/>
      <w:lvlText w:val="•"/>
      <w:lvlJc w:val="left"/>
      <w:pPr>
        <w:tabs>
          <w:tab w:val="num" w:pos="4320"/>
        </w:tabs>
        <w:ind w:left="4320" w:hanging="360"/>
      </w:pPr>
      <w:rPr>
        <w:rFonts w:ascii="Arial" w:hAnsi="Arial" w:hint="default"/>
      </w:rPr>
    </w:lvl>
    <w:lvl w:ilvl="6" w:tplc="CFDE1228" w:tentative="1">
      <w:start w:val="1"/>
      <w:numFmt w:val="bullet"/>
      <w:lvlText w:val="•"/>
      <w:lvlJc w:val="left"/>
      <w:pPr>
        <w:tabs>
          <w:tab w:val="num" w:pos="5040"/>
        </w:tabs>
        <w:ind w:left="5040" w:hanging="360"/>
      </w:pPr>
      <w:rPr>
        <w:rFonts w:ascii="Arial" w:hAnsi="Arial" w:hint="default"/>
      </w:rPr>
    </w:lvl>
    <w:lvl w:ilvl="7" w:tplc="E9BEA2DA" w:tentative="1">
      <w:start w:val="1"/>
      <w:numFmt w:val="bullet"/>
      <w:lvlText w:val="•"/>
      <w:lvlJc w:val="left"/>
      <w:pPr>
        <w:tabs>
          <w:tab w:val="num" w:pos="5760"/>
        </w:tabs>
        <w:ind w:left="5760" w:hanging="360"/>
      </w:pPr>
      <w:rPr>
        <w:rFonts w:ascii="Arial" w:hAnsi="Arial" w:hint="default"/>
      </w:rPr>
    </w:lvl>
    <w:lvl w:ilvl="8" w:tplc="F8A42E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D53A5C"/>
    <w:multiLevelType w:val="hybridMultilevel"/>
    <w:tmpl w:val="4200873E"/>
    <w:lvl w:ilvl="0" w:tplc="D7B0FFAA">
      <w:start w:val="1"/>
      <w:numFmt w:val="bullet"/>
      <w:lvlText w:val="•"/>
      <w:lvlJc w:val="left"/>
      <w:pPr>
        <w:tabs>
          <w:tab w:val="num" w:pos="720"/>
        </w:tabs>
        <w:ind w:left="720" w:hanging="360"/>
      </w:pPr>
      <w:rPr>
        <w:rFonts w:ascii="Arial" w:hAnsi="Arial" w:hint="default"/>
      </w:rPr>
    </w:lvl>
    <w:lvl w:ilvl="1" w:tplc="CA0CBBF0" w:tentative="1">
      <w:start w:val="1"/>
      <w:numFmt w:val="bullet"/>
      <w:lvlText w:val="•"/>
      <w:lvlJc w:val="left"/>
      <w:pPr>
        <w:tabs>
          <w:tab w:val="num" w:pos="1440"/>
        </w:tabs>
        <w:ind w:left="1440" w:hanging="360"/>
      </w:pPr>
      <w:rPr>
        <w:rFonts w:ascii="Arial" w:hAnsi="Arial" w:hint="default"/>
      </w:rPr>
    </w:lvl>
    <w:lvl w:ilvl="2" w:tplc="84AC53F0" w:tentative="1">
      <w:start w:val="1"/>
      <w:numFmt w:val="bullet"/>
      <w:lvlText w:val="•"/>
      <w:lvlJc w:val="left"/>
      <w:pPr>
        <w:tabs>
          <w:tab w:val="num" w:pos="2160"/>
        </w:tabs>
        <w:ind w:left="2160" w:hanging="360"/>
      </w:pPr>
      <w:rPr>
        <w:rFonts w:ascii="Arial" w:hAnsi="Arial" w:hint="default"/>
      </w:rPr>
    </w:lvl>
    <w:lvl w:ilvl="3" w:tplc="9F6C83A4" w:tentative="1">
      <w:start w:val="1"/>
      <w:numFmt w:val="bullet"/>
      <w:lvlText w:val="•"/>
      <w:lvlJc w:val="left"/>
      <w:pPr>
        <w:tabs>
          <w:tab w:val="num" w:pos="2880"/>
        </w:tabs>
        <w:ind w:left="2880" w:hanging="360"/>
      </w:pPr>
      <w:rPr>
        <w:rFonts w:ascii="Arial" w:hAnsi="Arial" w:hint="default"/>
      </w:rPr>
    </w:lvl>
    <w:lvl w:ilvl="4" w:tplc="B0380670" w:tentative="1">
      <w:start w:val="1"/>
      <w:numFmt w:val="bullet"/>
      <w:lvlText w:val="•"/>
      <w:lvlJc w:val="left"/>
      <w:pPr>
        <w:tabs>
          <w:tab w:val="num" w:pos="3600"/>
        </w:tabs>
        <w:ind w:left="3600" w:hanging="360"/>
      </w:pPr>
      <w:rPr>
        <w:rFonts w:ascii="Arial" w:hAnsi="Arial" w:hint="default"/>
      </w:rPr>
    </w:lvl>
    <w:lvl w:ilvl="5" w:tplc="5A12C68E" w:tentative="1">
      <w:start w:val="1"/>
      <w:numFmt w:val="bullet"/>
      <w:lvlText w:val="•"/>
      <w:lvlJc w:val="left"/>
      <w:pPr>
        <w:tabs>
          <w:tab w:val="num" w:pos="4320"/>
        </w:tabs>
        <w:ind w:left="4320" w:hanging="360"/>
      </w:pPr>
      <w:rPr>
        <w:rFonts w:ascii="Arial" w:hAnsi="Arial" w:hint="default"/>
      </w:rPr>
    </w:lvl>
    <w:lvl w:ilvl="6" w:tplc="E8D0FB9C" w:tentative="1">
      <w:start w:val="1"/>
      <w:numFmt w:val="bullet"/>
      <w:lvlText w:val="•"/>
      <w:lvlJc w:val="left"/>
      <w:pPr>
        <w:tabs>
          <w:tab w:val="num" w:pos="5040"/>
        </w:tabs>
        <w:ind w:left="5040" w:hanging="360"/>
      </w:pPr>
      <w:rPr>
        <w:rFonts w:ascii="Arial" w:hAnsi="Arial" w:hint="default"/>
      </w:rPr>
    </w:lvl>
    <w:lvl w:ilvl="7" w:tplc="3730AD12" w:tentative="1">
      <w:start w:val="1"/>
      <w:numFmt w:val="bullet"/>
      <w:lvlText w:val="•"/>
      <w:lvlJc w:val="left"/>
      <w:pPr>
        <w:tabs>
          <w:tab w:val="num" w:pos="5760"/>
        </w:tabs>
        <w:ind w:left="5760" w:hanging="360"/>
      </w:pPr>
      <w:rPr>
        <w:rFonts w:ascii="Arial" w:hAnsi="Arial" w:hint="default"/>
      </w:rPr>
    </w:lvl>
    <w:lvl w:ilvl="8" w:tplc="412CC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8124A"/>
    <w:multiLevelType w:val="hybridMultilevel"/>
    <w:tmpl w:val="BA169798"/>
    <w:lvl w:ilvl="0" w:tplc="414A43FE">
      <w:start w:val="1"/>
      <w:numFmt w:val="bullet"/>
      <w:lvlText w:val="•"/>
      <w:lvlJc w:val="left"/>
      <w:pPr>
        <w:tabs>
          <w:tab w:val="num" w:pos="720"/>
        </w:tabs>
        <w:ind w:left="720" w:hanging="360"/>
      </w:pPr>
      <w:rPr>
        <w:rFonts w:ascii="Arial" w:hAnsi="Arial" w:hint="default"/>
      </w:rPr>
    </w:lvl>
    <w:lvl w:ilvl="1" w:tplc="F2E83A70" w:tentative="1">
      <w:start w:val="1"/>
      <w:numFmt w:val="bullet"/>
      <w:lvlText w:val="•"/>
      <w:lvlJc w:val="left"/>
      <w:pPr>
        <w:tabs>
          <w:tab w:val="num" w:pos="1440"/>
        </w:tabs>
        <w:ind w:left="1440" w:hanging="360"/>
      </w:pPr>
      <w:rPr>
        <w:rFonts w:ascii="Arial" w:hAnsi="Arial" w:hint="default"/>
      </w:rPr>
    </w:lvl>
    <w:lvl w:ilvl="2" w:tplc="22742BF0" w:tentative="1">
      <w:start w:val="1"/>
      <w:numFmt w:val="bullet"/>
      <w:lvlText w:val="•"/>
      <w:lvlJc w:val="left"/>
      <w:pPr>
        <w:tabs>
          <w:tab w:val="num" w:pos="2160"/>
        </w:tabs>
        <w:ind w:left="2160" w:hanging="360"/>
      </w:pPr>
      <w:rPr>
        <w:rFonts w:ascii="Arial" w:hAnsi="Arial" w:hint="default"/>
      </w:rPr>
    </w:lvl>
    <w:lvl w:ilvl="3" w:tplc="E654DB3C" w:tentative="1">
      <w:start w:val="1"/>
      <w:numFmt w:val="bullet"/>
      <w:lvlText w:val="•"/>
      <w:lvlJc w:val="left"/>
      <w:pPr>
        <w:tabs>
          <w:tab w:val="num" w:pos="2880"/>
        </w:tabs>
        <w:ind w:left="2880" w:hanging="360"/>
      </w:pPr>
      <w:rPr>
        <w:rFonts w:ascii="Arial" w:hAnsi="Arial" w:hint="default"/>
      </w:rPr>
    </w:lvl>
    <w:lvl w:ilvl="4" w:tplc="210ACA74" w:tentative="1">
      <w:start w:val="1"/>
      <w:numFmt w:val="bullet"/>
      <w:lvlText w:val="•"/>
      <w:lvlJc w:val="left"/>
      <w:pPr>
        <w:tabs>
          <w:tab w:val="num" w:pos="3600"/>
        </w:tabs>
        <w:ind w:left="3600" w:hanging="360"/>
      </w:pPr>
      <w:rPr>
        <w:rFonts w:ascii="Arial" w:hAnsi="Arial" w:hint="default"/>
      </w:rPr>
    </w:lvl>
    <w:lvl w:ilvl="5" w:tplc="3A60D50A" w:tentative="1">
      <w:start w:val="1"/>
      <w:numFmt w:val="bullet"/>
      <w:lvlText w:val="•"/>
      <w:lvlJc w:val="left"/>
      <w:pPr>
        <w:tabs>
          <w:tab w:val="num" w:pos="4320"/>
        </w:tabs>
        <w:ind w:left="4320" w:hanging="360"/>
      </w:pPr>
      <w:rPr>
        <w:rFonts w:ascii="Arial" w:hAnsi="Arial" w:hint="default"/>
      </w:rPr>
    </w:lvl>
    <w:lvl w:ilvl="6" w:tplc="6AD040B0" w:tentative="1">
      <w:start w:val="1"/>
      <w:numFmt w:val="bullet"/>
      <w:lvlText w:val="•"/>
      <w:lvlJc w:val="left"/>
      <w:pPr>
        <w:tabs>
          <w:tab w:val="num" w:pos="5040"/>
        </w:tabs>
        <w:ind w:left="5040" w:hanging="360"/>
      </w:pPr>
      <w:rPr>
        <w:rFonts w:ascii="Arial" w:hAnsi="Arial" w:hint="default"/>
      </w:rPr>
    </w:lvl>
    <w:lvl w:ilvl="7" w:tplc="34AC31BC" w:tentative="1">
      <w:start w:val="1"/>
      <w:numFmt w:val="bullet"/>
      <w:lvlText w:val="•"/>
      <w:lvlJc w:val="left"/>
      <w:pPr>
        <w:tabs>
          <w:tab w:val="num" w:pos="5760"/>
        </w:tabs>
        <w:ind w:left="5760" w:hanging="360"/>
      </w:pPr>
      <w:rPr>
        <w:rFonts w:ascii="Arial" w:hAnsi="Arial" w:hint="default"/>
      </w:rPr>
    </w:lvl>
    <w:lvl w:ilvl="8" w:tplc="507877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420D47"/>
    <w:multiLevelType w:val="hybridMultilevel"/>
    <w:tmpl w:val="32DEFC20"/>
    <w:lvl w:ilvl="0" w:tplc="FC1428D6">
      <w:start w:val="1"/>
      <w:numFmt w:val="bullet"/>
      <w:lvlText w:val="•"/>
      <w:lvlJc w:val="left"/>
      <w:pPr>
        <w:tabs>
          <w:tab w:val="num" w:pos="720"/>
        </w:tabs>
        <w:ind w:left="720" w:hanging="360"/>
      </w:pPr>
      <w:rPr>
        <w:rFonts w:ascii="Arial" w:hAnsi="Arial" w:hint="default"/>
      </w:rPr>
    </w:lvl>
    <w:lvl w:ilvl="1" w:tplc="1AC08866" w:tentative="1">
      <w:start w:val="1"/>
      <w:numFmt w:val="bullet"/>
      <w:lvlText w:val="•"/>
      <w:lvlJc w:val="left"/>
      <w:pPr>
        <w:tabs>
          <w:tab w:val="num" w:pos="1440"/>
        </w:tabs>
        <w:ind w:left="1440" w:hanging="360"/>
      </w:pPr>
      <w:rPr>
        <w:rFonts w:ascii="Arial" w:hAnsi="Arial" w:hint="default"/>
      </w:rPr>
    </w:lvl>
    <w:lvl w:ilvl="2" w:tplc="411C1AEC" w:tentative="1">
      <w:start w:val="1"/>
      <w:numFmt w:val="bullet"/>
      <w:lvlText w:val="•"/>
      <w:lvlJc w:val="left"/>
      <w:pPr>
        <w:tabs>
          <w:tab w:val="num" w:pos="2160"/>
        </w:tabs>
        <w:ind w:left="2160" w:hanging="360"/>
      </w:pPr>
      <w:rPr>
        <w:rFonts w:ascii="Arial" w:hAnsi="Arial" w:hint="default"/>
      </w:rPr>
    </w:lvl>
    <w:lvl w:ilvl="3" w:tplc="4094EB76" w:tentative="1">
      <w:start w:val="1"/>
      <w:numFmt w:val="bullet"/>
      <w:lvlText w:val="•"/>
      <w:lvlJc w:val="left"/>
      <w:pPr>
        <w:tabs>
          <w:tab w:val="num" w:pos="2880"/>
        </w:tabs>
        <w:ind w:left="2880" w:hanging="360"/>
      </w:pPr>
      <w:rPr>
        <w:rFonts w:ascii="Arial" w:hAnsi="Arial" w:hint="default"/>
      </w:rPr>
    </w:lvl>
    <w:lvl w:ilvl="4" w:tplc="C9B60442" w:tentative="1">
      <w:start w:val="1"/>
      <w:numFmt w:val="bullet"/>
      <w:lvlText w:val="•"/>
      <w:lvlJc w:val="left"/>
      <w:pPr>
        <w:tabs>
          <w:tab w:val="num" w:pos="3600"/>
        </w:tabs>
        <w:ind w:left="3600" w:hanging="360"/>
      </w:pPr>
      <w:rPr>
        <w:rFonts w:ascii="Arial" w:hAnsi="Arial" w:hint="default"/>
      </w:rPr>
    </w:lvl>
    <w:lvl w:ilvl="5" w:tplc="BC3842EA" w:tentative="1">
      <w:start w:val="1"/>
      <w:numFmt w:val="bullet"/>
      <w:lvlText w:val="•"/>
      <w:lvlJc w:val="left"/>
      <w:pPr>
        <w:tabs>
          <w:tab w:val="num" w:pos="4320"/>
        </w:tabs>
        <w:ind w:left="4320" w:hanging="360"/>
      </w:pPr>
      <w:rPr>
        <w:rFonts w:ascii="Arial" w:hAnsi="Arial" w:hint="default"/>
      </w:rPr>
    </w:lvl>
    <w:lvl w:ilvl="6" w:tplc="9B94159A" w:tentative="1">
      <w:start w:val="1"/>
      <w:numFmt w:val="bullet"/>
      <w:lvlText w:val="•"/>
      <w:lvlJc w:val="left"/>
      <w:pPr>
        <w:tabs>
          <w:tab w:val="num" w:pos="5040"/>
        </w:tabs>
        <w:ind w:left="5040" w:hanging="360"/>
      </w:pPr>
      <w:rPr>
        <w:rFonts w:ascii="Arial" w:hAnsi="Arial" w:hint="default"/>
      </w:rPr>
    </w:lvl>
    <w:lvl w:ilvl="7" w:tplc="F3F0F38E" w:tentative="1">
      <w:start w:val="1"/>
      <w:numFmt w:val="bullet"/>
      <w:lvlText w:val="•"/>
      <w:lvlJc w:val="left"/>
      <w:pPr>
        <w:tabs>
          <w:tab w:val="num" w:pos="5760"/>
        </w:tabs>
        <w:ind w:left="5760" w:hanging="360"/>
      </w:pPr>
      <w:rPr>
        <w:rFonts w:ascii="Arial" w:hAnsi="Arial" w:hint="default"/>
      </w:rPr>
    </w:lvl>
    <w:lvl w:ilvl="8" w:tplc="1690E9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4C6224"/>
    <w:multiLevelType w:val="hybridMultilevel"/>
    <w:tmpl w:val="B73624E4"/>
    <w:lvl w:ilvl="0" w:tplc="B0D45C16">
      <w:start w:val="1"/>
      <w:numFmt w:val="bullet"/>
      <w:lvlText w:val="•"/>
      <w:lvlJc w:val="left"/>
      <w:pPr>
        <w:tabs>
          <w:tab w:val="num" w:pos="720"/>
        </w:tabs>
        <w:ind w:left="720" w:hanging="360"/>
      </w:pPr>
      <w:rPr>
        <w:rFonts w:ascii="Arial" w:hAnsi="Arial" w:hint="default"/>
      </w:rPr>
    </w:lvl>
    <w:lvl w:ilvl="1" w:tplc="3A145B68" w:tentative="1">
      <w:start w:val="1"/>
      <w:numFmt w:val="bullet"/>
      <w:lvlText w:val="•"/>
      <w:lvlJc w:val="left"/>
      <w:pPr>
        <w:tabs>
          <w:tab w:val="num" w:pos="1440"/>
        </w:tabs>
        <w:ind w:left="1440" w:hanging="360"/>
      </w:pPr>
      <w:rPr>
        <w:rFonts w:ascii="Arial" w:hAnsi="Arial" w:hint="default"/>
      </w:rPr>
    </w:lvl>
    <w:lvl w:ilvl="2" w:tplc="281AD912" w:tentative="1">
      <w:start w:val="1"/>
      <w:numFmt w:val="bullet"/>
      <w:lvlText w:val="•"/>
      <w:lvlJc w:val="left"/>
      <w:pPr>
        <w:tabs>
          <w:tab w:val="num" w:pos="2160"/>
        </w:tabs>
        <w:ind w:left="2160" w:hanging="360"/>
      </w:pPr>
      <w:rPr>
        <w:rFonts w:ascii="Arial" w:hAnsi="Arial" w:hint="default"/>
      </w:rPr>
    </w:lvl>
    <w:lvl w:ilvl="3" w:tplc="2112FF1E" w:tentative="1">
      <w:start w:val="1"/>
      <w:numFmt w:val="bullet"/>
      <w:lvlText w:val="•"/>
      <w:lvlJc w:val="left"/>
      <w:pPr>
        <w:tabs>
          <w:tab w:val="num" w:pos="2880"/>
        </w:tabs>
        <w:ind w:left="2880" w:hanging="360"/>
      </w:pPr>
      <w:rPr>
        <w:rFonts w:ascii="Arial" w:hAnsi="Arial" w:hint="default"/>
      </w:rPr>
    </w:lvl>
    <w:lvl w:ilvl="4" w:tplc="D848FEFC" w:tentative="1">
      <w:start w:val="1"/>
      <w:numFmt w:val="bullet"/>
      <w:lvlText w:val="•"/>
      <w:lvlJc w:val="left"/>
      <w:pPr>
        <w:tabs>
          <w:tab w:val="num" w:pos="3600"/>
        </w:tabs>
        <w:ind w:left="3600" w:hanging="360"/>
      </w:pPr>
      <w:rPr>
        <w:rFonts w:ascii="Arial" w:hAnsi="Arial" w:hint="default"/>
      </w:rPr>
    </w:lvl>
    <w:lvl w:ilvl="5" w:tplc="CEAE9A8A" w:tentative="1">
      <w:start w:val="1"/>
      <w:numFmt w:val="bullet"/>
      <w:lvlText w:val="•"/>
      <w:lvlJc w:val="left"/>
      <w:pPr>
        <w:tabs>
          <w:tab w:val="num" w:pos="4320"/>
        </w:tabs>
        <w:ind w:left="4320" w:hanging="360"/>
      </w:pPr>
      <w:rPr>
        <w:rFonts w:ascii="Arial" w:hAnsi="Arial" w:hint="default"/>
      </w:rPr>
    </w:lvl>
    <w:lvl w:ilvl="6" w:tplc="150CF5FA" w:tentative="1">
      <w:start w:val="1"/>
      <w:numFmt w:val="bullet"/>
      <w:lvlText w:val="•"/>
      <w:lvlJc w:val="left"/>
      <w:pPr>
        <w:tabs>
          <w:tab w:val="num" w:pos="5040"/>
        </w:tabs>
        <w:ind w:left="5040" w:hanging="360"/>
      </w:pPr>
      <w:rPr>
        <w:rFonts w:ascii="Arial" w:hAnsi="Arial" w:hint="default"/>
      </w:rPr>
    </w:lvl>
    <w:lvl w:ilvl="7" w:tplc="17BABEEE" w:tentative="1">
      <w:start w:val="1"/>
      <w:numFmt w:val="bullet"/>
      <w:lvlText w:val="•"/>
      <w:lvlJc w:val="left"/>
      <w:pPr>
        <w:tabs>
          <w:tab w:val="num" w:pos="5760"/>
        </w:tabs>
        <w:ind w:left="5760" w:hanging="360"/>
      </w:pPr>
      <w:rPr>
        <w:rFonts w:ascii="Arial" w:hAnsi="Arial" w:hint="default"/>
      </w:rPr>
    </w:lvl>
    <w:lvl w:ilvl="8" w:tplc="38DCD0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DA6B2E"/>
    <w:multiLevelType w:val="hybridMultilevel"/>
    <w:tmpl w:val="41D84978"/>
    <w:lvl w:ilvl="0" w:tplc="0E5E8E0C">
      <w:start w:val="1"/>
      <w:numFmt w:val="bullet"/>
      <w:lvlText w:val="•"/>
      <w:lvlJc w:val="left"/>
      <w:pPr>
        <w:tabs>
          <w:tab w:val="num" w:pos="720"/>
        </w:tabs>
        <w:ind w:left="720" w:hanging="360"/>
      </w:pPr>
      <w:rPr>
        <w:rFonts w:ascii="Arial" w:hAnsi="Arial" w:hint="default"/>
      </w:rPr>
    </w:lvl>
    <w:lvl w:ilvl="1" w:tplc="DC346C46" w:tentative="1">
      <w:start w:val="1"/>
      <w:numFmt w:val="bullet"/>
      <w:lvlText w:val="•"/>
      <w:lvlJc w:val="left"/>
      <w:pPr>
        <w:tabs>
          <w:tab w:val="num" w:pos="1440"/>
        </w:tabs>
        <w:ind w:left="1440" w:hanging="360"/>
      </w:pPr>
      <w:rPr>
        <w:rFonts w:ascii="Arial" w:hAnsi="Arial" w:hint="default"/>
      </w:rPr>
    </w:lvl>
    <w:lvl w:ilvl="2" w:tplc="2A8A55CC" w:tentative="1">
      <w:start w:val="1"/>
      <w:numFmt w:val="bullet"/>
      <w:lvlText w:val="•"/>
      <w:lvlJc w:val="left"/>
      <w:pPr>
        <w:tabs>
          <w:tab w:val="num" w:pos="2160"/>
        </w:tabs>
        <w:ind w:left="2160" w:hanging="360"/>
      </w:pPr>
      <w:rPr>
        <w:rFonts w:ascii="Arial" w:hAnsi="Arial" w:hint="default"/>
      </w:rPr>
    </w:lvl>
    <w:lvl w:ilvl="3" w:tplc="EA6E3380" w:tentative="1">
      <w:start w:val="1"/>
      <w:numFmt w:val="bullet"/>
      <w:lvlText w:val="•"/>
      <w:lvlJc w:val="left"/>
      <w:pPr>
        <w:tabs>
          <w:tab w:val="num" w:pos="2880"/>
        </w:tabs>
        <w:ind w:left="2880" w:hanging="360"/>
      </w:pPr>
      <w:rPr>
        <w:rFonts w:ascii="Arial" w:hAnsi="Arial" w:hint="default"/>
      </w:rPr>
    </w:lvl>
    <w:lvl w:ilvl="4" w:tplc="1C7C06BC" w:tentative="1">
      <w:start w:val="1"/>
      <w:numFmt w:val="bullet"/>
      <w:lvlText w:val="•"/>
      <w:lvlJc w:val="left"/>
      <w:pPr>
        <w:tabs>
          <w:tab w:val="num" w:pos="3600"/>
        </w:tabs>
        <w:ind w:left="3600" w:hanging="360"/>
      </w:pPr>
      <w:rPr>
        <w:rFonts w:ascii="Arial" w:hAnsi="Arial" w:hint="default"/>
      </w:rPr>
    </w:lvl>
    <w:lvl w:ilvl="5" w:tplc="C6D21B32" w:tentative="1">
      <w:start w:val="1"/>
      <w:numFmt w:val="bullet"/>
      <w:lvlText w:val="•"/>
      <w:lvlJc w:val="left"/>
      <w:pPr>
        <w:tabs>
          <w:tab w:val="num" w:pos="4320"/>
        </w:tabs>
        <w:ind w:left="4320" w:hanging="360"/>
      </w:pPr>
      <w:rPr>
        <w:rFonts w:ascii="Arial" w:hAnsi="Arial" w:hint="default"/>
      </w:rPr>
    </w:lvl>
    <w:lvl w:ilvl="6" w:tplc="94AC0AB6" w:tentative="1">
      <w:start w:val="1"/>
      <w:numFmt w:val="bullet"/>
      <w:lvlText w:val="•"/>
      <w:lvlJc w:val="left"/>
      <w:pPr>
        <w:tabs>
          <w:tab w:val="num" w:pos="5040"/>
        </w:tabs>
        <w:ind w:left="5040" w:hanging="360"/>
      </w:pPr>
      <w:rPr>
        <w:rFonts w:ascii="Arial" w:hAnsi="Arial" w:hint="default"/>
      </w:rPr>
    </w:lvl>
    <w:lvl w:ilvl="7" w:tplc="656427F4" w:tentative="1">
      <w:start w:val="1"/>
      <w:numFmt w:val="bullet"/>
      <w:lvlText w:val="•"/>
      <w:lvlJc w:val="left"/>
      <w:pPr>
        <w:tabs>
          <w:tab w:val="num" w:pos="5760"/>
        </w:tabs>
        <w:ind w:left="5760" w:hanging="360"/>
      </w:pPr>
      <w:rPr>
        <w:rFonts w:ascii="Arial" w:hAnsi="Arial" w:hint="default"/>
      </w:rPr>
    </w:lvl>
    <w:lvl w:ilvl="8" w:tplc="1868C9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523255"/>
    <w:multiLevelType w:val="hybridMultilevel"/>
    <w:tmpl w:val="35E04766"/>
    <w:lvl w:ilvl="0" w:tplc="96E44FBA">
      <w:start w:val="1"/>
      <w:numFmt w:val="bullet"/>
      <w:lvlText w:val="•"/>
      <w:lvlJc w:val="left"/>
      <w:pPr>
        <w:tabs>
          <w:tab w:val="num" w:pos="720"/>
        </w:tabs>
        <w:ind w:left="720" w:hanging="360"/>
      </w:pPr>
      <w:rPr>
        <w:rFonts w:ascii="Arial" w:hAnsi="Arial" w:hint="default"/>
      </w:rPr>
    </w:lvl>
    <w:lvl w:ilvl="1" w:tplc="003EC8EA" w:tentative="1">
      <w:start w:val="1"/>
      <w:numFmt w:val="bullet"/>
      <w:lvlText w:val="•"/>
      <w:lvlJc w:val="left"/>
      <w:pPr>
        <w:tabs>
          <w:tab w:val="num" w:pos="1440"/>
        </w:tabs>
        <w:ind w:left="1440" w:hanging="360"/>
      </w:pPr>
      <w:rPr>
        <w:rFonts w:ascii="Arial" w:hAnsi="Arial" w:hint="default"/>
      </w:rPr>
    </w:lvl>
    <w:lvl w:ilvl="2" w:tplc="44083564" w:tentative="1">
      <w:start w:val="1"/>
      <w:numFmt w:val="bullet"/>
      <w:lvlText w:val="•"/>
      <w:lvlJc w:val="left"/>
      <w:pPr>
        <w:tabs>
          <w:tab w:val="num" w:pos="2160"/>
        </w:tabs>
        <w:ind w:left="2160" w:hanging="360"/>
      </w:pPr>
      <w:rPr>
        <w:rFonts w:ascii="Arial" w:hAnsi="Arial" w:hint="default"/>
      </w:rPr>
    </w:lvl>
    <w:lvl w:ilvl="3" w:tplc="9424AF64" w:tentative="1">
      <w:start w:val="1"/>
      <w:numFmt w:val="bullet"/>
      <w:lvlText w:val="•"/>
      <w:lvlJc w:val="left"/>
      <w:pPr>
        <w:tabs>
          <w:tab w:val="num" w:pos="2880"/>
        </w:tabs>
        <w:ind w:left="2880" w:hanging="360"/>
      </w:pPr>
      <w:rPr>
        <w:rFonts w:ascii="Arial" w:hAnsi="Arial" w:hint="default"/>
      </w:rPr>
    </w:lvl>
    <w:lvl w:ilvl="4" w:tplc="FA703A62" w:tentative="1">
      <w:start w:val="1"/>
      <w:numFmt w:val="bullet"/>
      <w:lvlText w:val="•"/>
      <w:lvlJc w:val="left"/>
      <w:pPr>
        <w:tabs>
          <w:tab w:val="num" w:pos="3600"/>
        </w:tabs>
        <w:ind w:left="3600" w:hanging="360"/>
      </w:pPr>
      <w:rPr>
        <w:rFonts w:ascii="Arial" w:hAnsi="Arial" w:hint="default"/>
      </w:rPr>
    </w:lvl>
    <w:lvl w:ilvl="5" w:tplc="3008EF80" w:tentative="1">
      <w:start w:val="1"/>
      <w:numFmt w:val="bullet"/>
      <w:lvlText w:val="•"/>
      <w:lvlJc w:val="left"/>
      <w:pPr>
        <w:tabs>
          <w:tab w:val="num" w:pos="4320"/>
        </w:tabs>
        <w:ind w:left="4320" w:hanging="360"/>
      </w:pPr>
      <w:rPr>
        <w:rFonts w:ascii="Arial" w:hAnsi="Arial" w:hint="default"/>
      </w:rPr>
    </w:lvl>
    <w:lvl w:ilvl="6" w:tplc="B8867E9E" w:tentative="1">
      <w:start w:val="1"/>
      <w:numFmt w:val="bullet"/>
      <w:lvlText w:val="•"/>
      <w:lvlJc w:val="left"/>
      <w:pPr>
        <w:tabs>
          <w:tab w:val="num" w:pos="5040"/>
        </w:tabs>
        <w:ind w:left="5040" w:hanging="360"/>
      </w:pPr>
      <w:rPr>
        <w:rFonts w:ascii="Arial" w:hAnsi="Arial" w:hint="default"/>
      </w:rPr>
    </w:lvl>
    <w:lvl w:ilvl="7" w:tplc="F044F28C" w:tentative="1">
      <w:start w:val="1"/>
      <w:numFmt w:val="bullet"/>
      <w:lvlText w:val="•"/>
      <w:lvlJc w:val="left"/>
      <w:pPr>
        <w:tabs>
          <w:tab w:val="num" w:pos="5760"/>
        </w:tabs>
        <w:ind w:left="5760" w:hanging="360"/>
      </w:pPr>
      <w:rPr>
        <w:rFonts w:ascii="Arial" w:hAnsi="Arial" w:hint="default"/>
      </w:rPr>
    </w:lvl>
    <w:lvl w:ilvl="8" w:tplc="832CAA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4F"/>
    <w:rsid w:val="0006163D"/>
    <w:rsid w:val="000C01BC"/>
    <w:rsid w:val="000E2C2C"/>
    <w:rsid w:val="001318A8"/>
    <w:rsid w:val="00146510"/>
    <w:rsid w:val="001D7D4A"/>
    <w:rsid w:val="00257980"/>
    <w:rsid w:val="002A39E1"/>
    <w:rsid w:val="002C60D8"/>
    <w:rsid w:val="004D6F6A"/>
    <w:rsid w:val="005634CE"/>
    <w:rsid w:val="006252B0"/>
    <w:rsid w:val="00640C26"/>
    <w:rsid w:val="00702E60"/>
    <w:rsid w:val="009E5FEC"/>
    <w:rsid w:val="00A1344F"/>
    <w:rsid w:val="00A708DE"/>
    <w:rsid w:val="00A74E45"/>
    <w:rsid w:val="00BA13D9"/>
    <w:rsid w:val="00C76C41"/>
    <w:rsid w:val="00CF01F3"/>
    <w:rsid w:val="00D00B9E"/>
    <w:rsid w:val="00D50161"/>
    <w:rsid w:val="00D94C1E"/>
    <w:rsid w:val="00DA20AB"/>
    <w:rsid w:val="00E43F67"/>
    <w:rsid w:val="00E8491A"/>
    <w:rsid w:val="00EB0C32"/>
    <w:rsid w:val="00EB132F"/>
    <w:rsid w:val="00EC6599"/>
    <w:rsid w:val="00F0286C"/>
    <w:rsid w:val="00FC3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44731AF"/>
  <w15:chartTrackingRefBased/>
  <w15:docId w15:val="{E9E08638-B979-E040-ABD8-42938D2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8165">
      <w:bodyDiv w:val="1"/>
      <w:marLeft w:val="0"/>
      <w:marRight w:val="0"/>
      <w:marTop w:val="0"/>
      <w:marBottom w:val="0"/>
      <w:divBdr>
        <w:top w:val="none" w:sz="0" w:space="0" w:color="auto"/>
        <w:left w:val="none" w:sz="0" w:space="0" w:color="auto"/>
        <w:bottom w:val="none" w:sz="0" w:space="0" w:color="auto"/>
        <w:right w:val="none" w:sz="0" w:space="0" w:color="auto"/>
      </w:divBdr>
      <w:divsChild>
        <w:div w:id="1669096039">
          <w:marLeft w:val="360"/>
          <w:marRight w:val="0"/>
          <w:marTop w:val="200"/>
          <w:marBottom w:val="0"/>
          <w:divBdr>
            <w:top w:val="none" w:sz="0" w:space="0" w:color="auto"/>
            <w:left w:val="none" w:sz="0" w:space="0" w:color="auto"/>
            <w:bottom w:val="none" w:sz="0" w:space="0" w:color="auto"/>
            <w:right w:val="none" w:sz="0" w:space="0" w:color="auto"/>
          </w:divBdr>
        </w:div>
        <w:div w:id="1989282958">
          <w:marLeft w:val="360"/>
          <w:marRight w:val="0"/>
          <w:marTop w:val="200"/>
          <w:marBottom w:val="0"/>
          <w:divBdr>
            <w:top w:val="none" w:sz="0" w:space="0" w:color="auto"/>
            <w:left w:val="none" w:sz="0" w:space="0" w:color="auto"/>
            <w:bottom w:val="none" w:sz="0" w:space="0" w:color="auto"/>
            <w:right w:val="none" w:sz="0" w:space="0" w:color="auto"/>
          </w:divBdr>
        </w:div>
        <w:div w:id="106583721">
          <w:marLeft w:val="360"/>
          <w:marRight w:val="0"/>
          <w:marTop w:val="200"/>
          <w:marBottom w:val="0"/>
          <w:divBdr>
            <w:top w:val="none" w:sz="0" w:space="0" w:color="auto"/>
            <w:left w:val="none" w:sz="0" w:space="0" w:color="auto"/>
            <w:bottom w:val="none" w:sz="0" w:space="0" w:color="auto"/>
            <w:right w:val="none" w:sz="0" w:space="0" w:color="auto"/>
          </w:divBdr>
        </w:div>
        <w:div w:id="737554570">
          <w:marLeft w:val="360"/>
          <w:marRight w:val="0"/>
          <w:marTop w:val="200"/>
          <w:marBottom w:val="0"/>
          <w:divBdr>
            <w:top w:val="none" w:sz="0" w:space="0" w:color="auto"/>
            <w:left w:val="none" w:sz="0" w:space="0" w:color="auto"/>
            <w:bottom w:val="none" w:sz="0" w:space="0" w:color="auto"/>
            <w:right w:val="none" w:sz="0" w:space="0" w:color="auto"/>
          </w:divBdr>
        </w:div>
        <w:div w:id="1570841744">
          <w:marLeft w:val="360"/>
          <w:marRight w:val="0"/>
          <w:marTop w:val="200"/>
          <w:marBottom w:val="0"/>
          <w:divBdr>
            <w:top w:val="none" w:sz="0" w:space="0" w:color="auto"/>
            <w:left w:val="none" w:sz="0" w:space="0" w:color="auto"/>
            <w:bottom w:val="none" w:sz="0" w:space="0" w:color="auto"/>
            <w:right w:val="none" w:sz="0" w:space="0" w:color="auto"/>
          </w:divBdr>
        </w:div>
        <w:div w:id="718437595">
          <w:marLeft w:val="360"/>
          <w:marRight w:val="0"/>
          <w:marTop w:val="200"/>
          <w:marBottom w:val="0"/>
          <w:divBdr>
            <w:top w:val="none" w:sz="0" w:space="0" w:color="auto"/>
            <w:left w:val="none" w:sz="0" w:space="0" w:color="auto"/>
            <w:bottom w:val="none" w:sz="0" w:space="0" w:color="auto"/>
            <w:right w:val="none" w:sz="0" w:space="0" w:color="auto"/>
          </w:divBdr>
        </w:div>
      </w:divsChild>
    </w:div>
    <w:div w:id="355233973">
      <w:bodyDiv w:val="1"/>
      <w:marLeft w:val="0"/>
      <w:marRight w:val="0"/>
      <w:marTop w:val="0"/>
      <w:marBottom w:val="0"/>
      <w:divBdr>
        <w:top w:val="none" w:sz="0" w:space="0" w:color="auto"/>
        <w:left w:val="none" w:sz="0" w:space="0" w:color="auto"/>
        <w:bottom w:val="none" w:sz="0" w:space="0" w:color="auto"/>
        <w:right w:val="none" w:sz="0" w:space="0" w:color="auto"/>
      </w:divBdr>
      <w:divsChild>
        <w:div w:id="435442399">
          <w:marLeft w:val="360"/>
          <w:marRight w:val="0"/>
          <w:marTop w:val="200"/>
          <w:marBottom w:val="0"/>
          <w:divBdr>
            <w:top w:val="none" w:sz="0" w:space="0" w:color="auto"/>
            <w:left w:val="none" w:sz="0" w:space="0" w:color="auto"/>
            <w:bottom w:val="none" w:sz="0" w:space="0" w:color="auto"/>
            <w:right w:val="none" w:sz="0" w:space="0" w:color="auto"/>
          </w:divBdr>
        </w:div>
        <w:div w:id="489643071">
          <w:marLeft w:val="360"/>
          <w:marRight w:val="0"/>
          <w:marTop w:val="200"/>
          <w:marBottom w:val="0"/>
          <w:divBdr>
            <w:top w:val="none" w:sz="0" w:space="0" w:color="auto"/>
            <w:left w:val="none" w:sz="0" w:space="0" w:color="auto"/>
            <w:bottom w:val="none" w:sz="0" w:space="0" w:color="auto"/>
            <w:right w:val="none" w:sz="0" w:space="0" w:color="auto"/>
          </w:divBdr>
        </w:div>
        <w:div w:id="7143659">
          <w:marLeft w:val="360"/>
          <w:marRight w:val="0"/>
          <w:marTop w:val="200"/>
          <w:marBottom w:val="0"/>
          <w:divBdr>
            <w:top w:val="none" w:sz="0" w:space="0" w:color="auto"/>
            <w:left w:val="none" w:sz="0" w:space="0" w:color="auto"/>
            <w:bottom w:val="none" w:sz="0" w:space="0" w:color="auto"/>
            <w:right w:val="none" w:sz="0" w:space="0" w:color="auto"/>
          </w:divBdr>
        </w:div>
        <w:div w:id="2115125761">
          <w:marLeft w:val="360"/>
          <w:marRight w:val="0"/>
          <w:marTop w:val="200"/>
          <w:marBottom w:val="0"/>
          <w:divBdr>
            <w:top w:val="none" w:sz="0" w:space="0" w:color="auto"/>
            <w:left w:val="none" w:sz="0" w:space="0" w:color="auto"/>
            <w:bottom w:val="none" w:sz="0" w:space="0" w:color="auto"/>
            <w:right w:val="none" w:sz="0" w:space="0" w:color="auto"/>
          </w:divBdr>
        </w:div>
        <w:div w:id="751123524">
          <w:marLeft w:val="360"/>
          <w:marRight w:val="0"/>
          <w:marTop w:val="200"/>
          <w:marBottom w:val="0"/>
          <w:divBdr>
            <w:top w:val="none" w:sz="0" w:space="0" w:color="auto"/>
            <w:left w:val="none" w:sz="0" w:space="0" w:color="auto"/>
            <w:bottom w:val="none" w:sz="0" w:space="0" w:color="auto"/>
            <w:right w:val="none" w:sz="0" w:space="0" w:color="auto"/>
          </w:divBdr>
        </w:div>
        <w:div w:id="672148290">
          <w:marLeft w:val="360"/>
          <w:marRight w:val="0"/>
          <w:marTop w:val="200"/>
          <w:marBottom w:val="0"/>
          <w:divBdr>
            <w:top w:val="none" w:sz="0" w:space="0" w:color="auto"/>
            <w:left w:val="none" w:sz="0" w:space="0" w:color="auto"/>
            <w:bottom w:val="none" w:sz="0" w:space="0" w:color="auto"/>
            <w:right w:val="none" w:sz="0" w:space="0" w:color="auto"/>
          </w:divBdr>
        </w:div>
      </w:divsChild>
    </w:div>
    <w:div w:id="485975685">
      <w:bodyDiv w:val="1"/>
      <w:marLeft w:val="0"/>
      <w:marRight w:val="0"/>
      <w:marTop w:val="0"/>
      <w:marBottom w:val="0"/>
      <w:divBdr>
        <w:top w:val="none" w:sz="0" w:space="0" w:color="auto"/>
        <w:left w:val="none" w:sz="0" w:space="0" w:color="auto"/>
        <w:bottom w:val="none" w:sz="0" w:space="0" w:color="auto"/>
        <w:right w:val="none" w:sz="0" w:space="0" w:color="auto"/>
      </w:divBdr>
      <w:divsChild>
        <w:div w:id="1707869381">
          <w:marLeft w:val="360"/>
          <w:marRight w:val="0"/>
          <w:marTop w:val="200"/>
          <w:marBottom w:val="0"/>
          <w:divBdr>
            <w:top w:val="none" w:sz="0" w:space="0" w:color="auto"/>
            <w:left w:val="none" w:sz="0" w:space="0" w:color="auto"/>
            <w:bottom w:val="none" w:sz="0" w:space="0" w:color="auto"/>
            <w:right w:val="none" w:sz="0" w:space="0" w:color="auto"/>
          </w:divBdr>
        </w:div>
        <w:div w:id="1018583620">
          <w:marLeft w:val="360"/>
          <w:marRight w:val="0"/>
          <w:marTop w:val="200"/>
          <w:marBottom w:val="0"/>
          <w:divBdr>
            <w:top w:val="none" w:sz="0" w:space="0" w:color="auto"/>
            <w:left w:val="none" w:sz="0" w:space="0" w:color="auto"/>
            <w:bottom w:val="none" w:sz="0" w:space="0" w:color="auto"/>
            <w:right w:val="none" w:sz="0" w:space="0" w:color="auto"/>
          </w:divBdr>
        </w:div>
        <w:div w:id="975993657">
          <w:marLeft w:val="360"/>
          <w:marRight w:val="0"/>
          <w:marTop w:val="200"/>
          <w:marBottom w:val="0"/>
          <w:divBdr>
            <w:top w:val="none" w:sz="0" w:space="0" w:color="auto"/>
            <w:left w:val="none" w:sz="0" w:space="0" w:color="auto"/>
            <w:bottom w:val="none" w:sz="0" w:space="0" w:color="auto"/>
            <w:right w:val="none" w:sz="0" w:space="0" w:color="auto"/>
          </w:divBdr>
        </w:div>
        <w:div w:id="2145654625">
          <w:marLeft w:val="360"/>
          <w:marRight w:val="0"/>
          <w:marTop w:val="200"/>
          <w:marBottom w:val="0"/>
          <w:divBdr>
            <w:top w:val="none" w:sz="0" w:space="0" w:color="auto"/>
            <w:left w:val="none" w:sz="0" w:space="0" w:color="auto"/>
            <w:bottom w:val="none" w:sz="0" w:space="0" w:color="auto"/>
            <w:right w:val="none" w:sz="0" w:space="0" w:color="auto"/>
          </w:divBdr>
        </w:div>
        <w:div w:id="1807777176">
          <w:marLeft w:val="360"/>
          <w:marRight w:val="0"/>
          <w:marTop w:val="200"/>
          <w:marBottom w:val="0"/>
          <w:divBdr>
            <w:top w:val="none" w:sz="0" w:space="0" w:color="auto"/>
            <w:left w:val="none" w:sz="0" w:space="0" w:color="auto"/>
            <w:bottom w:val="none" w:sz="0" w:space="0" w:color="auto"/>
            <w:right w:val="none" w:sz="0" w:space="0" w:color="auto"/>
          </w:divBdr>
        </w:div>
        <w:div w:id="1178278747">
          <w:marLeft w:val="360"/>
          <w:marRight w:val="0"/>
          <w:marTop w:val="200"/>
          <w:marBottom w:val="0"/>
          <w:divBdr>
            <w:top w:val="none" w:sz="0" w:space="0" w:color="auto"/>
            <w:left w:val="none" w:sz="0" w:space="0" w:color="auto"/>
            <w:bottom w:val="none" w:sz="0" w:space="0" w:color="auto"/>
            <w:right w:val="none" w:sz="0" w:space="0" w:color="auto"/>
          </w:divBdr>
        </w:div>
        <w:div w:id="94640160">
          <w:marLeft w:val="360"/>
          <w:marRight w:val="0"/>
          <w:marTop w:val="200"/>
          <w:marBottom w:val="0"/>
          <w:divBdr>
            <w:top w:val="none" w:sz="0" w:space="0" w:color="auto"/>
            <w:left w:val="none" w:sz="0" w:space="0" w:color="auto"/>
            <w:bottom w:val="none" w:sz="0" w:space="0" w:color="auto"/>
            <w:right w:val="none" w:sz="0" w:space="0" w:color="auto"/>
          </w:divBdr>
        </w:div>
      </w:divsChild>
    </w:div>
    <w:div w:id="1995911648">
      <w:bodyDiv w:val="1"/>
      <w:marLeft w:val="0"/>
      <w:marRight w:val="0"/>
      <w:marTop w:val="0"/>
      <w:marBottom w:val="0"/>
      <w:divBdr>
        <w:top w:val="none" w:sz="0" w:space="0" w:color="auto"/>
        <w:left w:val="none" w:sz="0" w:space="0" w:color="auto"/>
        <w:bottom w:val="none" w:sz="0" w:space="0" w:color="auto"/>
        <w:right w:val="none" w:sz="0" w:space="0" w:color="auto"/>
      </w:divBdr>
      <w:divsChild>
        <w:div w:id="936403171">
          <w:marLeft w:val="360"/>
          <w:marRight w:val="0"/>
          <w:marTop w:val="200"/>
          <w:marBottom w:val="0"/>
          <w:divBdr>
            <w:top w:val="none" w:sz="0" w:space="0" w:color="auto"/>
            <w:left w:val="none" w:sz="0" w:space="0" w:color="auto"/>
            <w:bottom w:val="none" w:sz="0" w:space="0" w:color="auto"/>
            <w:right w:val="none" w:sz="0" w:space="0" w:color="auto"/>
          </w:divBdr>
        </w:div>
        <w:div w:id="369111467">
          <w:marLeft w:val="360"/>
          <w:marRight w:val="0"/>
          <w:marTop w:val="200"/>
          <w:marBottom w:val="0"/>
          <w:divBdr>
            <w:top w:val="none" w:sz="0" w:space="0" w:color="auto"/>
            <w:left w:val="none" w:sz="0" w:space="0" w:color="auto"/>
            <w:bottom w:val="none" w:sz="0" w:space="0" w:color="auto"/>
            <w:right w:val="none" w:sz="0" w:space="0" w:color="auto"/>
          </w:divBdr>
        </w:div>
        <w:div w:id="1221476369">
          <w:marLeft w:val="360"/>
          <w:marRight w:val="0"/>
          <w:marTop w:val="200"/>
          <w:marBottom w:val="0"/>
          <w:divBdr>
            <w:top w:val="none" w:sz="0" w:space="0" w:color="auto"/>
            <w:left w:val="none" w:sz="0" w:space="0" w:color="auto"/>
            <w:bottom w:val="none" w:sz="0" w:space="0" w:color="auto"/>
            <w:right w:val="none" w:sz="0" w:space="0" w:color="auto"/>
          </w:divBdr>
        </w:div>
        <w:div w:id="1407844874">
          <w:marLeft w:val="360"/>
          <w:marRight w:val="0"/>
          <w:marTop w:val="200"/>
          <w:marBottom w:val="0"/>
          <w:divBdr>
            <w:top w:val="none" w:sz="0" w:space="0" w:color="auto"/>
            <w:left w:val="none" w:sz="0" w:space="0" w:color="auto"/>
            <w:bottom w:val="none" w:sz="0" w:space="0" w:color="auto"/>
            <w:right w:val="none" w:sz="0" w:space="0" w:color="auto"/>
          </w:divBdr>
        </w:div>
        <w:div w:id="1691451172">
          <w:marLeft w:val="360"/>
          <w:marRight w:val="0"/>
          <w:marTop w:val="200"/>
          <w:marBottom w:val="0"/>
          <w:divBdr>
            <w:top w:val="none" w:sz="0" w:space="0" w:color="auto"/>
            <w:left w:val="none" w:sz="0" w:space="0" w:color="auto"/>
            <w:bottom w:val="none" w:sz="0" w:space="0" w:color="auto"/>
            <w:right w:val="none" w:sz="0" w:space="0" w:color="auto"/>
          </w:divBdr>
        </w:div>
        <w:div w:id="1788740268">
          <w:marLeft w:val="360"/>
          <w:marRight w:val="0"/>
          <w:marTop w:val="200"/>
          <w:marBottom w:val="0"/>
          <w:divBdr>
            <w:top w:val="none" w:sz="0" w:space="0" w:color="auto"/>
            <w:left w:val="none" w:sz="0" w:space="0" w:color="auto"/>
            <w:bottom w:val="none" w:sz="0" w:space="0" w:color="auto"/>
            <w:right w:val="none" w:sz="0" w:space="0" w:color="auto"/>
          </w:divBdr>
        </w:div>
        <w:div w:id="1996950975">
          <w:marLeft w:val="360"/>
          <w:marRight w:val="0"/>
          <w:marTop w:val="200"/>
          <w:marBottom w:val="0"/>
          <w:divBdr>
            <w:top w:val="none" w:sz="0" w:space="0" w:color="auto"/>
            <w:left w:val="none" w:sz="0" w:space="0" w:color="auto"/>
            <w:bottom w:val="none" w:sz="0" w:space="0" w:color="auto"/>
            <w:right w:val="none" w:sz="0" w:space="0" w:color="auto"/>
          </w:divBdr>
        </w:div>
      </w:divsChild>
    </w:div>
    <w:div w:id="2028171988">
      <w:bodyDiv w:val="1"/>
      <w:marLeft w:val="0"/>
      <w:marRight w:val="0"/>
      <w:marTop w:val="0"/>
      <w:marBottom w:val="0"/>
      <w:divBdr>
        <w:top w:val="none" w:sz="0" w:space="0" w:color="auto"/>
        <w:left w:val="none" w:sz="0" w:space="0" w:color="auto"/>
        <w:bottom w:val="none" w:sz="0" w:space="0" w:color="auto"/>
        <w:right w:val="none" w:sz="0" w:space="0" w:color="auto"/>
      </w:divBdr>
      <w:divsChild>
        <w:div w:id="1947272512">
          <w:marLeft w:val="360"/>
          <w:marRight w:val="0"/>
          <w:marTop w:val="200"/>
          <w:marBottom w:val="0"/>
          <w:divBdr>
            <w:top w:val="none" w:sz="0" w:space="0" w:color="auto"/>
            <w:left w:val="none" w:sz="0" w:space="0" w:color="auto"/>
            <w:bottom w:val="none" w:sz="0" w:space="0" w:color="auto"/>
            <w:right w:val="none" w:sz="0" w:space="0" w:color="auto"/>
          </w:divBdr>
        </w:div>
        <w:div w:id="2016154532">
          <w:marLeft w:val="360"/>
          <w:marRight w:val="0"/>
          <w:marTop w:val="200"/>
          <w:marBottom w:val="0"/>
          <w:divBdr>
            <w:top w:val="none" w:sz="0" w:space="0" w:color="auto"/>
            <w:left w:val="none" w:sz="0" w:space="0" w:color="auto"/>
            <w:bottom w:val="none" w:sz="0" w:space="0" w:color="auto"/>
            <w:right w:val="none" w:sz="0" w:space="0" w:color="auto"/>
          </w:divBdr>
        </w:div>
        <w:div w:id="2105419797">
          <w:marLeft w:val="360"/>
          <w:marRight w:val="0"/>
          <w:marTop w:val="200"/>
          <w:marBottom w:val="0"/>
          <w:divBdr>
            <w:top w:val="none" w:sz="0" w:space="0" w:color="auto"/>
            <w:left w:val="none" w:sz="0" w:space="0" w:color="auto"/>
            <w:bottom w:val="none" w:sz="0" w:space="0" w:color="auto"/>
            <w:right w:val="none" w:sz="0" w:space="0" w:color="auto"/>
          </w:divBdr>
        </w:div>
        <w:div w:id="1103305243">
          <w:marLeft w:val="360"/>
          <w:marRight w:val="0"/>
          <w:marTop w:val="200"/>
          <w:marBottom w:val="0"/>
          <w:divBdr>
            <w:top w:val="none" w:sz="0" w:space="0" w:color="auto"/>
            <w:left w:val="none" w:sz="0" w:space="0" w:color="auto"/>
            <w:bottom w:val="none" w:sz="0" w:space="0" w:color="auto"/>
            <w:right w:val="none" w:sz="0" w:space="0" w:color="auto"/>
          </w:divBdr>
        </w:div>
        <w:div w:id="2103991455">
          <w:marLeft w:val="360"/>
          <w:marRight w:val="0"/>
          <w:marTop w:val="200"/>
          <w:marBottom w:val="0"/>
          <w:divBdr>
            <w:top w:val="none" w:sz="0" w:space="0" w:color="auto"/>
            <w:left w:val="none" w:sz="0" w:space="0" w:color="auto"/>
            <w:bottom w:val="none" w:sz="0" w:space="0" w:color="auto"/>
            <w:right w:val="none" w:sz="0" w:space="0" w:color="auto"/>
          </w:divBdr>
        </w:div>
        <w:div w:id="1944072779">
          <w:marLeft w:val="360"/>
          <w:marRight w:val="0"/>
          <w:marTop w:val="200"/>
          <w:marBottom w:val="0"/>
          <w:divBdr>
            <w:top w:val="none" w:sz="0" w:space="0" w:color="auto"/>
            <w:left w:val="none" w:sz="0" w:space="0" w:color="auto"/>
            <w:bottom w:val="none" w:sz="0" w:space="0" w:color="auto"/>
            <w:right w:val="none" w:sz="0" w:space="0" w:color="auto"/>
          </w:divBdr>
        </w:div>
        <w:div w:id="5406342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2BB305B93FF40B93EBD2318B0AF27" ma:contentTypeVersion="12" ma:contentTypeDescription="Create a new document." ma:contentTypeScope="" ma:versionID="d6cd69f3b539bc663f823e8d86c1cb67">
  <xsd:schema xmlns:xsd="http://www.w3.org/2001/XMLSchema" xmlns:xs="http://www.w3.org/2001/XMLSchema" xmlns:p="http://schemas.microsoft.com/office/2006/metadata/properties" xmlns:ns2="edfacf83-951b-4dc6-822b-2c02bca35ad8" xmlns:ns3="06e0d976-3d31-4bf3-b229-12f0909620f9" targetNamespace="http://schemas.microsoft.com/office/2006/metadata/properties" ma:root="true" ma:fieldsID="c72055dbbf9d342edbc71916879f289f" ns2:_="" ns3:_="">
    <xsd:import namespace="edfacf83-951b-4dc6-822b-2c02bca35ad8"/>
    <xsd:import namespace="06e0d976-3d31-4bf3-b229-12f0909620f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2:MediaServiceDateTaken" minOccurs="0"/>
                <xsd:element ref="ns2:MediaServiceOCR" minOccurs="0"/>
                <xsd:element ref="ns2:MediaServiceLocation"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acf83-951b-4dc6-822b-2c02bca35ad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e0d976-3d31-4bf3-b229-12f0909620f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D8AF95-A07F-44B7-8CAF-F236AC232A17}"/>
</file>

<file path=customXml/itemProps2.xml><?xml version="1.0" encoding="utf-8"?>
<ds:datastoreItem xmlns:ds="http://schemas.openxmlformats.org/officeDocument/2006/customXml" ds:itemID="{849EAAD8-7C01-4C5A-AF8E-82B75896BC20}"/>
</file>

<file path=customXml/itemProps3.xml><?xml version="1.0" encoding="utf-8"?>
<ds:datastoreItem xmlns:ds="http://schemas.openxmlformats.org/officeDocument/2006/customXml" ds:itemID="{32F92FB8-113D-4E9E-AD0B-1962C16ABC37}"/>
</file>

<file path=docProps/app.xml><?xml version="1.0" encoding="utf-8"?>
<Properties xmlns="http://schemas.openxmlformats.org/officeDocument/2006/extended-properties" xmlns:vt="http://schemas.openxmlformats.org/officeDocument/2006/docPropsVTypes">
  <Template>Normal.dotm</Template>
  <TotalTime>177</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Burcin Yazgi Walsh</dc:creator>
  <cp:keywords/>
  <dc:description/>
  <cp:lastModifiedBy>Burcin Yazgi Walsh</cp:lastModifiedBy>
  <cp:revision>19</cp:revision>
  <dcterms:created xsi:type="dcterms:W3CDTF">2020-05-06T10:39:00Z</dcterms:created>
  <dcterms:modified xsi:type="dcterms:W3CDTF">2020-05-15T14:26:00Z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0x010100F9E2BB305B93FF40B93EBD2318B0AF27</vt:lpwstr>
  </property>
</Properties>
</file>