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Ind w:type="dxa" w:w="-1021"/>
        <w:tblBorders>
          <w:top w:val="none" w:color="FFFFFF" w:sz="0"/>
          <w:left w:val="none" w:color="FFFFFF" w:sz="0"/>
          <w:bottom w:val="none" w:color="FFFFFF" w:sz="0"/>
          <w:right w:val="none" w:color="FFFFFF" w:sz="0"/>
          <w:insideH w:val="none" w:color="FFFFFF" w:sz="0"/>
          <w:insideV w:val="none" w:color="FFFFFF" w:sz="0"/>
        </w:tblBorders>
      </w:tblPr>
      <w:tblGrid>
        <w:gridCol w:w="11906"/>
      </w:tblGrid>
      <w:tr>
        <w:tc>
          <w:tcPr>
            <w:tcW w:type="dxa" w:w="11906"/>
            <w:shd w:fill="001F5F" w:color="auto" w:val="clear"/>
            <w:tcMar>
              <w:top w:type="dxa" w:w="460"/>
              <w:left w:type="dxa" w:w="1021"/>
              <w:bottom w:type="dxa" w:w="380"/>
              <w:right w:type="dxa" w:w="907"/>
            </w:tcMar>
          </w:tcPr>
          <w:p>
            <w:pPr>
              <w:spacing w:after="220"/>
            </w:pPr>
            <w:r>
              <w:rPr>
                <w:rFonts w:ascii="Arial" w:cs="Arial" w:eastAsia="Arial" w:hAnsi="Arial"/>
                <w:b/>
                <w:bCs/>
                <w:color w:val="FFFFFF"/>
                <w:sz w:val="28"/>
                <w:szCs w:val="28"/>
              </w:rPr>
              <w:t xml:space="preserve">MOTORSPORT  AUSTRALIA  MANUAL</w:t>
            </w:r>
          </w:p>
          <w:p>
            <w:pPr>
              <w:spacing w:after="60"/>
            </w:pPr>
            <w:r>
              <w:rPr>
                <w:rFonts w:ascii="Arial" w:cs="Arial" w:eastAsia="Arial" w:hAnsi="Arial"/>
                <w:b/>
                <w:bCs/>
                <w:color w:val="FFFFFF"/>
                <w:sz w:val="20"/>
                <w:szCs w:val="20"/>
              </w:rPr>
              <w:t xml:space="preserve">CIRCUIT RACE APPENDIX</w:t>
            </w:r>
          </w:p>
          <w:p>
            <w:pPr>
              <w:spacing w:after="60"/>
            </w:pPr>
            <w:r>
              <w:rPr>
                <w:rFonts w:ascii="Arial" w:cs="Arial" w:eastAsia="Arial" w:hAnsi="Arial"/>
                <w:b/>
                <w:bCs/>
                <w:color w:val="FFFFFF"/>
                <w:sz w:val="20"/>
                <w:szCs w:val="20"/>
              </w:rPr>
              <w:t xml:space="preserve">3rd CATEGORY – TOURING CARS</w:t>
            </w:r>
          </w:p>
          <w:p>
            <w:pPr>
              <w:spacing w:after="240"/>
            </w:pPr>
            <w:r>
              <w:rPr>
                <w:rFonts w:ascii="Arial" w:cs="Arial" w:eastAsia="Arial" w:hAnsi="Arial"/>
                <w:b/>
                <w:bCs/>
                <w:color w:val="FFFFFF"/>
                <w:sz w:val="20"/>
                <w:szCs w:val="20"/>
              </w:rPr>
              <w:t xml:space="preserve">GROUP 3X – SUPERMINI CHALLENGE – TECHNICAL REGULATIONS</w:t>
            </w:r>
          </w:p>
          <w:p>
            <w:pPr>
              <w:spacing w:after="0"/>
            </w:pPr>
            <w:r>
              <w:rPr>
                <w:rFonts w:ascii="Arial" w:cs="Arial" w:eastAsia="Arial" w:hAnsi="Arial"/>
                <w:b/>
                <w:bCs/>
                <w:color w:val="FFFFFF"/>
                <w:sz w:val="26"/>
                <w:szCs w:val="26"/>
              </w:rPr>
              <w:t xml:space="preserve">D R A F T</w:t>
            </w:r>
          </w:p>
        </w:tc>
      </w:tr>
    </w:tbl>
    <w:p>
      <w:pPr>
        <w:spacing w:after="200"/>
      </w:pPr>
    </w:p>
    <w:p>
      <w:pPr>
        <w:spacing w:after="80"/>
        <w:ind w:left="620"/>
        <w:jc w:val="both"/>
      </w:pPr>
      <w:r>
        <w:rPr>
          <w:rFonts w:ascii="Arial" w:cs="Arial" w:eastAsia="Arial" w:hAnsi="Arial"/>
          <w:i/>
          <w:iCs/>
          <w:sz w:val="18"/>
          <w:szCs w:val="18"/>
        </w:rPr>
        <w:t xml:space="preserve">This edition replaces the 2026 appendix. SuperMini Challenge is a single specification. Group 3D Sport Sedan Automobiles based on a BMW Mini may be invited to race with the series under Article 20.</w:t>
      </w:r>
    </w:p>
    <w:p>
      <w:pPr>
        <w:spacing w:after="80"/>
        <w:ind w:left="620"/>
        <w:jc w:val="both"/>
      </w:pPr>
      <w:r>
        <w:rPr>
          <w:rFonts w:ascii="Arial" w:cs="Arial" w:eastAsia="Arial" w:hAnsi="Arial"/>
          <w:i/>
          <w:iCs/>
          <w:sz w:val="18"/>
          <w:szCs w:val="18"/>
        </w:rPr>
        <w:t xml:space="preserve">These regulations commence in full on the date in the Modified Articles table. Nothing in this edition requires a change to the cylinder block, crankshaft, conrods, pistons, flywheel or clutch. No cylinder head fitted to an Automobile before the Head Register closing date is made ineligible.</w:t>
      </w:r>
    </w:p>
    <w:p>
      <w:pPr>
        <w:spacing w:after="160"/>
      </w:pP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2400"/>
        <w:gridCol w:w="2400"/>
      </w:tblGrid>
      <w:tr>
        <w:trPr>
          <w:tblHeader/>
        </w:trPr>
        <w:tc>
          <w:tcPr>
            <w:tcW w:type="dxa" w:w="4600"/>
            <w:shd w:fill="F1F1F1" w:color="auto" w:val="clear"/>
            <w:tcMar>
              <w:top w:type="dxa" w:w="70"/>
              <w:left w:type="dxa" w:w="110"/>
              <w:bottom w:type="dxa" w:w="70"/>
              <w:right w:type="dxa" w:w="110"/>
            </w:tcMar>
          </w:tcPr>
          <w:p>
            <w:r>
              <w:rPr>
                <w:rFonts w:ascii="Arial" w:cs="Arial" w:eastAsia="Arial" w:hAnsi="Arial"/>
                <w:b/>
                <w:bCs/>
                <w:sz w:val="14"/>
                <w:szCs w:val="14"/>
              </w:rPr>
              <w:t xml:space="preserve">Modified Article</w:t>
            </w:r>
          </w:p>
        </w:tc>
        <w:tc>
          <w:tcPr>
            <w:tcW w:type="dxa" w:w="2400"/>
            <w:shd w:fill="F1F1F1" w:color="auto" w:val="clear"/>
            <w:tcMar>
              <w:top w:type="dxa" w:w="70"/>
              <w:left w:type="dxa" w:w="110"/>
              <w:bottom w:type="dxa" w:w="70"/>
              <w:right w:type="dxa" w:w="110"/>
            </w:tcMar>
          </w:tcPr>
          <w:p>
            <w:r>
              <w:rPr>
                <w:rFonts w:ascii="Arial" w:cs="Arial" w:eastAsia="Arial" w:hAnsi="Arial"/>
                <w:b/>
                <w:bCs/>
                <w:sz w:val="14"/>
                <w:szCs w:val="14"/>
              </w:rPr>
              <w:t xml:space="preserve">Date of Application</w:t>
            </w:r>
          </w:p>
        </w:tc>
        <w:tc>
          <w:tcPr>
            <w:tcW w:type="dxa" w:w="2400"/>
            <w:shd w:fill="F1F1F1" w:color="auto" w:val="clear"/>
            <w:tcMar>
              <w:top w:type="dxa" w:w="70"/>
              <w:left w:type="dxa" w:w="110"/>
              <w:bottom w:type="dxa" w:w="70"/>
              <w:right w:type="dxa" w:w="110"/>
            </w:tcMar>
          </w:tcPr>
          <w:p>
            <w:r>
              <w:rPr>
                <w:rFonts w:ascii="Arial" w:cs="Arial" w:eastAsia="Arial" w:hAnsi="Arial"/>
                <w:b/>
                <w:bCs/>
                <w:sz w:val="14"/>
                <w:szCs w:val="14"/>
              </w:rPr>
              <w:t xml:space="preserve">Date of Publication</w:t>
            </w:r>
          </w:p>
        </w:tc>
      </w:tr>
      <w:tr>
        <w:trPr>
          <w:tblHeader w:val="false"/>
        </w:trPr>
        <w:tc>
          <w:tcPr>
            <w:tcW w:type="dxa" w:w="4600"/>
            <w:tcMar>
              <w:top w:type="dxa" w:w="70"/>
              <w:left w:type="dxa" w:w="110"/>
              <w:bottom w:type="dxa" w:w="70"/>
              <w:right w:type="dxa" w:w="110"/>
            </w:tcMar>
          </w:tcPr>
          <w:p>
            <w:r>
              <w:rPr>
                <w:rFonts w:ascii="Arial" w:cs="Arial" w:eastAsia="Arial" w:hAnsi="Arial"/>
                <w:b w:val="false"/>
                <w:bCs w:val="false"/>
                <w:sz w:val="15"/>
                <w:szCs w:val="15"/>
              </w:rPr>
              <w:t xml:space="preserve">Art. 2, 3, 7.3, 7.5(e)–(g), 8, 11(g), 15.1, 18, 19, 20</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[commencement date]</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[publication date]</w:t>
            </w:r>
          </w:p>
        </w:tc>
      </w:tr>
      <w:tr>
        <w:trPr>
          <w:tblHeader w:val="false"/>
        </w:trPr>
        <w:tc>
          <w:tcPr>
            <w:tcW w:type="dxa" w:w="4600"/>
            <w:tcMar>
              <w:top w:type="dxa" w:w="70"/>
              <w:left w:type="dxa" w:w="110"/>
              <w:bottom w:type="dxa" w:w="70"/>
              <w:right w:type="dxa" w:w="110"/>
            </w:tcMar>
          </w:tcPr>
          <w:p>
            <w:r>
              <w:rPr>
                <w:rFonts w:ascii="Arial" w:cs="Arial" w:eastAsia="Arial" w:hAnsi="Arial"/>
                <w:b w:val="false"/>
                <w:bCs w:val="false"/>
                <w:sz w:val="15"/>
                <w:szCs w:val="15"/>
              </w:rPr>
              <w:t xml:space="preserve">Art. 14(a) – control damper</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01/01/2028</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[publication date]</w:t>
            </w:r>
          </w:p>
        </w:tc>
      </w:tr>
      <w:tr>
        <w:trPr>
          <w:tblHeader w:val="false"/>
        </w:trPr>
        <w:tc>
          <w:tcPr>
            <w:tcW w:type="dxa" w:w="4600"/>
            <w:tcMar>
              <w:top w:type="dxa" w:w="70"/>
              <w:left w:type="dxa" w:w="110"/>
              <w:bottom w:type="dxa" w:w="70"/>
              <w:right w:type="dxa" w:w="110"/>
            </w:tcMar>
          </w:tcPr>
          <w:p>
            <w:r>
              <w:rPr>
                <w:rFonts w:ascii="Arial" w:cs="Arial" w:eastAsia="Arial" w:hAnsi="Arial"/>
                <w:b w:val="false"/>
                <w:bCs w:val="false"/>
                <w:sz w:val="15"/>
                <w:szCs w:val="15"/>
              </w:rPr>
              <w:t xml:space="preserve">Art. 14(d), (e), (j), (k) – setup limits</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[commencement date]</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[publication date]</w:t>
            </w:r>
          </w:p>
        </w:tc>
      </w:tr>
      <w:tr>
        <w:trPr>
          <w:tblHeader w:val="false"/>
        </w:trPr>
        <w:tc>
          <w:tcPr>
            <w:tcW w:type="dxa" w:w="4600"/>
            <w:tcMar>
              <w:top w:type="dxa" w:w="70"/>
              <w:left w:type="dxa" w:w="110"/>
              <w:bottom w:type="dxa" w:w="70"/>
              <w:right w:type="dxa" w:w="110"/>
            </w:tcMar>
          </w:tcPr>
          <w:p>
            <w:r>
              <w:rPr>
                <w:rFonts w:ascii="Arial" w:cs="Arial" w:eastAsia="Arial" w:hAnsi="Arial"/>
                <w:b w:val="false"/>
                <w:bCs w:val="false"/>
                <w:sz w:val="15"/>
                <w:szCs w:val="15"/>
              </w:rPr>
              <w:t xml:space="preserve">Appendix 1, 3, 5, 9, 11</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[commencement date]</w:t>
            </w:r>
          </w:p>
        </w:tc>
        <w:tc>
          <w:tcPr>
            <w:tcW w:type="dxa" w:w="2400"/>
            <w:tcMar>
              <w:top w:type="dxa" w:w="70"/>
              <w:left w:type="dxa" w:w="110"/>
              <w:bottom w:type="dxa" w:w="70"/>
              <w:right w:type="dxa" w:w="110"/>
            </w:tcMar>
          </w:tcPr>
          <w:p>
            <w:r>
              <w:rPr>
                <w:rFonts w:ascii="Arial" w:cs="Arial" w:eastAsia="Arial" w:hAnsi="Arial"/>
                <w:b w:val="false"/>
                <w:bCs w:val="false"/>
                <w:sz w:val="15"/>
                <w:szCs w:val="15"/>
              </w:rPr>
              <w:t xml:space="preserve">[publication date]</w:t>
            </w:r>
          </w:p>
        </w:tc>
      </w:tr>
    </w:tbl>
    <w:p>
      <w:pPr>
        <w:spacing w:after="120"/>
      </w:pPr>
    </w:p>
    <w:p>
      <w:pPr>
        <w:spacing w:after="80"/>
        <w:ind w:left="620"/>
        <w:jc w:val="both"/>
      </w:pPr>
      <w:r>
        <w:rPr>
          <w:rFonts w:ascii="Arial" w:cs="Arial" w:eastAsia="Arial" w:hAnsi="Arial"/>
          <w:i/>
          <w:iCs/>
          <w:sz w:val="18"/>
          <w:szCs w:val="18"/>
        </w:rPr>
        <w:t xml:space="preserve">A capitalised and italicised word in this document is defined in the FIA International Sporting Code or the National Competition Rules, including their Appendices. Any HEADING is for reference only and has no regulatory effect.</w:t>
      </w:r>
    </w:p>
    <w:p>
      <w:pPr>
        <w:spacing w:after="80"/>
        <w:ind w:left="620"/>
        <w:jc w:val="both"/>
      </w:pPr>
      <w:r>
        <w:rPr>
          <w:rFonts w:ascii="Arial" w:cs="Arial" w:eastAsia="Arial" w:hAnsi="Arial"/>
          <w:b/>
          <w:bCs/>
          <w:sz w:val="18"/>
          <w:szCs w:val="18"/>
        </w:rPr>
        <w:t xml:space="preserve">Recognised Association: SuperMini Challenge Inc — www.supermini.au</w:t>
      </w:r>
    </w:p>
    <w:p>
      <w:pPr>
        <w:spacing w:after="80"/>
        <w:ind w:left="620"/>
        <w:jc w:val="both"/>
      </w:pPr>
      <w:r>
        <w:rPr>
          <w:rFonts w:ascii="Arial" w:cs="Arial" w:eastAsia="Arial" w:hAnsi="Arial"/>
          <w:sz w:val="18"/>
          <w:szCs w:val="18"/>
        </w:rPr>
        <w:t xml:space="preserve">For technical information and control component supply, email: admin@supermini.au</w:t>
      </w:r>
    </w:p>
    <w:p>
      <w:pPr>
        <w:sectPr>
          <w:footerReference w:type="default" r:id="rId7"/>
          <w:pgSz w:w="11906" w:h="16838" w:orient="portrait"/>
          <w:pgMar w:top="0" w:right="907" w:bottom="907" w:left="1020" w:header="708" w:footer="708" w:gutter="0"/>
          <w:pgNumType/>
          <w:docGrid w:linePitch="360"/>
        </w:sectPr>
      </w:pPr>
    </w:p>
    <w:p>
      <w:pPr>
        <w:keepNext/>
        <w:tabs>
          <w:tab w:val="left" w:pos="720"/>
        </w:tabs>
        <w:spacing w:after="140" w:before="320"/>
      </w:pPr>
      <w:r>
        <w:rPr>
          <w:rFonts w:ascii="Arial" w:cs="Arial" w:eastAsia="Arial" w:hAnsi="Arial"/>
          <w:b/>
          <w:bCs/>
          <w:color w:val="FF4D00"/>
          <w:sz w:val="21"/>
          <w:szCs w:val="21"/>
        </w:rPr>
        <w:t xml:space="preserve">1.</w:t>
      </w:r>
      <w:r>
        <w:rPr>
          <w:rFonts w:ascii="Arial" w:cs="Arial" w:eastAsia="Arial" w:hAnsi="Arial"/>
          <w:b/>
          <w:bCs/>
          <w:color w:val="FF4D00"/>
          <w:sz w:val="21"/>
          <w:szCs w:val="21"/>
        </w:rPr>
        <w:t xml:space="preserve">	PREAMBLE</w:t>
      </w:r>
    </w:p>
    <w:p>
      <w:pPr>
        <w:spacing w:after="80"/>
        <w:ind w:left="620"/>
        <w:jc w:val="both"/>
      </w:pPr>
      <w:r>
        <w:rPr>
          <w:rFonts w:ascii="Arial" w:cs="Arial" w:eastAsia="Arial" w:hAnsi="Arial"/>
          <w:sz w:val="18"/>
          <w:szCs w:val="18"/>
        </w:rPr>
        <w:t xml:space="preserve">These regulations apply to each SuperMini Challenge Automobile when entered in a SuperMini Challenge competition.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Unless authorised by these regulations, each Automobile must remain unmodified and identical to the standard production model as supplied by the manufacturer.</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Any modification not permitted by these regulations is forbidden. A worn or damaged component must be replaced only by a standard production component compliant with these regulations.</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Carbon fibre, carbon/Kevlar composite, ceramic material and titanium alloy are not permitted unless fitted as standard by the manufacturer or expressly permitted. Replacement racing seats are excluded from this regulation.</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Each reference to a Schedule means a Schedule of the Technical Appendix in the Motorsport Australia Manual. Each Automobile must comply with each relevant Schedule.</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Unless specified otherwise, engine machining, finishing and weighing tolerances are per the Motorsport Australia Manual, Technical Appendix – Definitions Technical.</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These regulations should be read with the 3X SuperMini Challenge Technical Guide, which lists control items, part numbers and suppliers.</w:t>
      </w:r>
    </w:p>
    <w:p>
      <w:pPr>
        <w:keepNext/>
        <w:tabs>
          <w:tab w:val="left" w:pos="1400"/>
        </w:tabs>
        <w:spacing w:after="100" w:before="200"/>
        <w:ind w:left="340"/>
      </w:pPr>
      <w:r>
        <w:rPr>
          <w:rFonts w:ascii="Arial" w:cs="Arial" w:eastAsia="Arial" w:hAnsi="Arial"/>
          <w:b/>
          <w:bCs/>
          <w:sz w:val="19"/>
          <w:szCs w:val="19"/>
        </w:rPr>
        <w:t xml:space="preserve">DEFINITIONS</w:t>
      </w:r>
    </w:p>
    <w:p>
      <w:pPr>
        <w:spacing w:after="70"/>
        <w:ind w:left="1240" w:hanging="620"/>
        <w:jc w:val="both"/>
      </w:pPr>
      <w:r>
        <w:rPr>
          <w:rFonts w:ascii="Arial" w:cs="Arial" w:eastAsia="Arial" w:hAnsi="Arial"/>
          <w:b/>
          <w:bCs/>
          <w:sz w:val="18"/>
          <w:szCs w:val="18"/>
        </w:rPr>
        <w:t xml:space="preserve">Engine bay  </w:t>
      </w:r>
      <w:r>
        <w:rPr>
          <w:rFonts w:ascii="Arial" w:cs="Arial" w:eastAsia="Arial" w:hAnsi="Arial"/>
          <w:sz w:val="18"/>
          <w:szCs w:val="18"/>
        </w:rPr>
        <w:t xml:space="preserve">The area in front of the firewall, behind the radiator support panel, above the bottom of the radiator support panel, below the closed bonnet and between the inner guards.</w:t>
      </w:r>
    </w:p>
    <w:p>
      <w:pPr>
        <w:spacing w:after="70"/>
        <w:ind w:left="1240" w:hanging="620"/>
        <w:jc w:val="both"/>
      </w:pPr>
      <w:r>
        <w:rPr>
          <w:rFonts w:ascii="Arial" w:cs="Arial" w:eastAsia="Arial" w:hAnsi="Arial"/>
          <w:b/>
          <w:bCs/>
          <w:sz w:val="18"/>
          <w:szCs w:val="18"/>
        </w:rPr>
        <w:t xml:space="preserve">Commercially available product  </w:t>
      </w:r>
      <w:r>
        <w:rPr>
          <w:rFonts w:ascii="Arial" w:cs="Arial" w:eastAsia="Arial" w:hAnsi="Arial"/>
          <w:sz w:val="18"/>
          <w:szCs w:val="18"/>
        </w:rPr>
        <w:t xml:space="preserve">A product produced in commercial quantities, sold new to be owned outright, stocked by an Australian supplier and available at the same commercial price to any person in Australia for a minimum of one year.</w:t>
      </w:r>
    </w:p>
    <w:p>
      <w:pPr>
        <w:spacing w:after="70"/>
        <w:ind w:left="1240" w:hanging="620"/>
        <w:jc w:val="both"/>
      </w:pPr>
      <w:r>
        <w:rPr>
          <w:rFonts w:ascii="Arial" w:cs="Arial" w:eastAsia="Arial" w:hAnsi="Arial"/>
          <w:b/>
          <w:bCs/>
          <w:sz w:val="18"/>
          <w:szCs w:val="18"/>
        </w:rPr>
        <w:t xml:space="preserve">Commercial price  </w:t>
      </w:r>
      <w:r>
        <w:rPr>
          <w:rFonts w:ascii="Arial" w:cs="Arial" w:eastAsia="Arial" w:hAnsi="Arial"/>
          <w:sz w:val="18"/>
          <w:szCs w:val="18"/>
        </w:rPr>
        <w:t xml:space="preserve">The total new price in Australian dollars including all taxes, charges, options, hardware and software required or available for the product.</w:t>
      </w:r>
    </w:p>
    <w:p>
      <w:pPr>
        <w:spacing w:after="70"/>
        <w:ind w:left="1240" w:hanging="620"/>
        <w:jc w:val="both"/>
      </w:pPr>
      <w:r>
        <w:rPr>
          <w:rFonts w:ascii="Arial" w:cs="Arial" w:eastAsia="Arial" w:hAnsi="Arial"/>
          <w:b/>
          <w:bCs/>
          <w:sz w:val="18"/>
          <w:szCs w:val="18"/>
        </w:rPr>
        <w:t xml:space="preserve">Control item  </w:t>
      </w:r>
      <w:r>
        <w:rPr>
          <w:rFonts w:ascii="Arial" w:cs="Arial" w:eastAsia="Arial" w:hAnsi="Arial"/>
          <w:sz w:val="18"/>
          <w:szCs w:val="18"/>
        </w:rPr>
        <w:t xml:space="preserve">A component, calibration or consumable nominated in Appendix 3. Only the nominated item may be used, in the condition supplied. No modification or substitution is permitted.</w:t>
      </w:r>
    </w:p>
    <w:p>
      <w:pPr>
        <w:spacing w:after="70"/>
        <w:ind w:left="1240" w:hanging="620"/>
        <w:jc w:val="both"/>
      </w:pPr>
      <w:r>
        <w:rPr>
          <w:rFonts w:ascii="Arial" w:cs="Arial" w:eastAsia="Arial" w:hAnsi="Arial"/>
          <w:b/>
          <w:bCs/>
          <w:sz w:val="18"/>
          <w:szCs w:val="18"/>
        </w:rPr>
        <w:t xml:space="preserve">Free  </w:t>
      </w:r>
      <w:r>
        <w:rPr>
          <w:rFonts w:ascii="Arial" w:cs="Arial" w:eastAsia="Arial" w:hAnsi="Arial"/>
          <w:sz w:val="18"/>
          <w:szCs w:val="18"/>
        </w:rPr>
        <w:t xml:space="preserve">The original part and its function may be removed or replaced with a new part, provided the new part has no additional function relative to the original.</w:t>
      </w:r>
    </w:p>
    <w:p>
      <w:pPr>
        <w:spacing w:after="70"/>
        <w:ind w:left="1240" w:hanging="620"/>
        <w:jc w:val="both"/>
      </w:pPr>
      <w:r>
        <w:rPr>
          <w:rFonts w:ascii="Arial" w:cs="Arial" w:eastAsia="Arial" w:hAnsi="Arial"/>
          <w:b/>
          <w:bCs/>
          <w:sz w:val="18"/>
          <w:szCs w:val="18"/>
        </w:rPr>
        <w:t xml:space="preserve">AGM battery  </w:t>
      </w:r>
      <w:r>
        <w:rPr>
          <w:rFonts w:ascii="Arial" w:cs="Arial" w:eastAsia="Arial" w:hAnsi="Arial"/>
          <w:sz w:val="18"/>
          <w:szCs w:val="18"/>
        </w:rPr>
        <w:t xml:space="preserve">A sealed lead acid battery of absorbed glass mat construction.</w:t>
      </w:r>
    </w:p>
    <w:p>
      <w:pPr>
        <w:spacing w:after="70"/>
        <w:ind w:left="1240" w:hanging="620"/>
        <w:jc w:val="both"/>
      </w:pPr>
      <w:r>
        <w:rPr>
          <w:rFonts w:ascii="Arial" w:cs="Arial" w:eastAsia="Arial" w:hAnsi="Arial"/>
          <w:b/>
          <w:bCs/>
          <w:sz w:val="18"/>
          <w:szCs w:val="18"/>
        </w:rPr>
        <w:t xml:space="preserve">GEL battery  </w:t>
      </w:r>
      <w:r>
        <w:rPr>
          <w:rFonts w:ascii="Arial" w:cs="Arial" w:eastAsia="Arial" w:hAnsi="Arial"/>
          <w:sz w:val="18"/>
          <w:szCs w:val="18"/>
        </w:rPr>
        <w:t xml:space="preserve">A sealed lead acid battery with suspended electrolyte and a silica additive.</w:t>
      </w:r>
    </w:p>
    <w:p>
      <w:pPr>
        <w:keepNext/>
        <w:tabs>
          <w:tab w:val="left" w:pos="720"/>
        </w:tabs>
        <w:spacing w:after="140" w:before="320"/>
      </w:pPr>
      <w:r>
        <w:rPr>
          <w:rFonts w:ascii="Arial" w:cs="Arial" w:eastAsia="Arial" w:hAnsi="Arial"/>
          <w:b/>
          <w:bCs/>
          <w:color w:val="FF4D00"/>
          <w:sz w:val="21"/>
          <w:szCs w:val="21"/>
        </w:rPr>
        <w:t xml:space="preserve">2.</w:t>
      </w:r>
      <w:r>
        <w:rPr>
          <w:rFonts w:ascii="Arial" w:cs="Arial" w:eastAsia="Arial" w:hAnsi="Arial"/>
          <w:b/>
          <w:bCs/>
          <w:color w:val="FF4D00"/>
          <w:sz w:val="21"/>
          <w:szCs w:val="21"/>
        </w:rPr>
        <w:t xml:space="preserve">	ELIGIBLE AUTOMOBILES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SuperMini Challenge Automobile is a BMW Mini R50 or R53, Cooper or Cooper S, produced 2001 to 2006, complying with these regulations.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No other Automobile is eligible.</w:t>
      </w:r>
    </w:p>
    <w:p>
      <w:pPr>
        <w:keepNext/>
        <w:tabs>
          <w:tab w:val="left" w:pos="720"/>
        </w:tabs>
        <w:spacing w:after="140" w:before="320"/>
      </w:pPr>
      <w:r>
        <w:rPr>
          <w:rFonts w:ascii="Arial" w:cs="Arial" w:eastAsia="Arial" w:hAnsi="Arial"/>
          <w:b/>
          <w:bCs/>
          <w:color w:val="FF4D00"/>
          <w:sz w:val="21"/>
          <w:szCs w:val="21"/>
        </w:rPr>
        <w:t xml:space="preserve">3.</w:t>
      </w:r>
      <w:r>
        <w:rPr>
          <w:rFonts w:ascii="Arial" w:cs="Arial" w:eastAsia="Arial" w:hAnsi="Arial"/>
          <w:b/>
          <w:bCs/>
          <w:color w:val="FF4D00"/>
          <w:sz w:val="21"/>
          <w:szCs w:val="21"/>
        </w:rPr>
        <w:t xml:space="preserve">	ELIGIBILITY AND INSPECTION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scrutineer or the SuperMini Challenge Eligibility Officer may at any time during an Event check the eligibility of an Automobile or Competitor; require an Automobile to be dismantled by the Competitor; require parts or samples to be supplied; require a control item to be replaced with one supplied by the Eligibility Officer; or require an Automobile or component to be delivered to a specified location for testing within a specified time after the Event.</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Inspection is a standing right. No protest or reason is required.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Competitor must demonstrate compliance and must be able to identify the make, model and specification of every regulated component.</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Inspection tiers, penalties and protests are in Article 19.</w:t>
      </w:r>
    </w:p>
    <w:p>
      <w:pPr>
        <w:keepNext/>
        <w:tabs>
          <w:tab w:val="left" w:pos="720"/>
        </w:tabs>
        <w:spacing w:after="140" w:before="320"/>
      </w:pPr>
      <w:r>
        <w:rPr>
          <w:rFonts w:ascii="Arial" w:cs="Arial" w:eastAsia="Arial" w:hAnsi="Arial"/>
          <w:b/>
          <w:bCs/>
          <w:color w:val="FF4D00"/>
          <w:sz w:val="21"/>
          <w:szCs w:val="21"/>
        </w:rPr>
        <w:t xml:space="preserve">4.</w:t>
      </w:r>
      <w:r>
        <w:rPr>
          <w:rFonts w:ascii="Arial" w:cs="Arial" w:eastAsia="Arial" w:hAnsi="Arial"/>
          <w:b/>
          <w:bCs/>
          <w:color w:val="FF4D00"/>
          <w:sz w:val="21"/>
          <w:szCs w:val="21"/>
        </w:rPr>
        <w:t xml:space="preserve">	IN CAR VIDEO</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Each Automobile must carry at least one operating forward-facing video camera recording to SD or micro SD, showing the view forward of the Automobile and the driver’s steering inputs, mounted as close to horizontal as possible.</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mount must generally comply with the Motorsport Australia camera technical document. Suction mounts are not permitted.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On request of the DSO or the management committee, the entrant must provide the video immediately after a race. Failure to do so may be penalised, including rear of grid for the following race.</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A Competitor who does not provide video as required waives all rights to protest against another Competitor and is assumed to be in error.</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SMC retains copyright in all images and video submitted for investigation. Written permission of the SMC committee is required before publication.</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By competing, Competitors grant SMC the irrevocable right to use their name, image, audio and video in any medium for SMC purposes, waive any interest in the copyright, and release SMC from any claim arising from publication.</w:t>
      </w:r>
    </w:p>
    <w:p>
      <w:pPr>
        <w:keepNext/>
        <w:tabs>
          <w:tab w:val="left" w:pos="720"/>
        </w:tabs>
        <w:spacing w:after="140" w:before="320"/>
      </w:pPr>
      <w:r>
        <w:rPr>
          <w:rFonts w:ascii="Arial" w:cs="Arial" w:eastAsia="Arial" w:hAnsi="Arial"/>
          <w:b/>
          <w:bCs/>
          <w:color w:val="FF4D00"/>
          <w:sz w:val="21"/>
          <w:szCs w:val="21"/>
        </w:rPr>
        <w:t xml:space="preserve">5.</w:t>
      </w:r>
      <w:r>
        <w:rPr>
          <w:rFonts w:ascii="Arial" w:cs="Arial" w:eastAsia="Arial" w:hAnsi="Arial"/>
          <w:b/>
          <w:bCs/>
          <w:color w:val="FF4D00"/>
          <w:sz w:val="21"/>
          <w:szCs w:val="21"/>
        </w:rPr>
        <w:t xml:space="preserve">	LIVERY</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SuperMini Challenge windscreen banner and current season sponsor decals are compulsory on every Automobile and may not be replaced.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Additional sponsor decal positions are advised by the committee at the start of each season.</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One windscreen banner is supplied to each member per season. Replacements may incur a cost. SMC door numbers may be purchased.</w:t>
      </w:r>
    </w:p>
    <w:p>
      <w:pPr>
        <w:keepNext/>
        <w:tabs>
          <w:tab w:val="left" w:pos="720"/>
        </w:tabs>
        <w:spacing w:after="140" w:before="320"/>
      </w:pPr>
      <w:r>
        <w:rPr>
          <w:rFonts w:ascii="Arial" w:cs="Arial" w:eastAsia="Arial" w:hAnsi="Arial"/>
          <w:b/>
          <w:bCs/>
          <w:color w:val="FF4D00"/>
          <w:sz w:val="21"/>
          <w:szCs w:val="21"/>
        </w:rPr>
        <w:t xml:space="preserve">6.</w:t>
      </w:r>
      <w:r>
        <w:rPr>
          <w:rFonts w:ascii="Arial" w:cs="Arial" w:eastAsia="Arial" w:hAnsi="Arial"/>
          <w:b/>
          <w:bCs/>
          <w:color w:val="FF4D00"/>
          <w:sz w:val="21"/>
          <w:szCs w:val="21"/>
        </w:rPr>
        <w:t xml:space="preserve">	COMPONENTS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Any component of any Australian specification Mini Cooper or Mini Cooper S may be used unless otherwise specified.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Where replacement of a component is permitted, the replacement is free unless restricted by these regulations or unless it is a control item.</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Fasteners, coolant thermostat, indicator and headlight assemblies, belts, gaskets other than the cylinder head gasket, seals, flexible hoses, coolant pipes, mechanical cables, bearings, clamps, spark plugs and leads, filters, batteries and battery cables, globes and LEDs, fuses, relays and windscreen glass are free, provided no modification is made to fit them and the new part has no additional function.</w:t>
      </w:r>
    </w:p>
    <w:p>
      <w:pPr>
        <w:keepNext/>
        <w:tabs>
          <w:tab w:val="left" w:pos="720"/>
        </w:tabs>
        <w:spacing w:after="140" w:before="320"/>
      </w:pPr>
      <w:r>
        <w:rPr>
          <w:rFonts w:ascii="Arial" w:cs="Arial" w:eastAsia="Arial" w:hAnsi="Arial"/>
          <w:b/>
          <w:bCs/>
          <w:color w:val="FF4D00"/>
          <w:sz w:val="21"/>
          <w:szCs w:val="21"/>
        </w:rPr>
        <w:t xml:space="preserve">7.</w:t>
      </w:r>
      <w:r>
        <w:rPr>
          <w:rFonts w:ascii="Arial" w:cs="Arial" w:eastAsia="Arial" w:hAnsi="Arial"/>
          <w:b/>
          <w:bCs/>
          <w:color w:val="FF4D00"/>
          <w:sz w:val="21"/>
          <w:szCs w:val="21"/>
        </w:rPr>
        <w:t xml:space="preserve">	ENGINE</w:t>
      </w:r>
    </w:p>
    <w:p>
      <w:pPr>
        <w:keepNext/>
        <w:tabs>
          <w:tab w:val="left" w:pos="1400"/>
        </w:tabs>
        <w:spacing w:after="100" w:before="200"/>
        <w:ind w:left="340"/>
      </w:pPr>
      <w:r>
        <w:rPr>
          <w:rFonts w:ascii="Arial" w:cs="Arial" w:eastAsia="Arial" w:hAnsi="Arial"/>
          <w:b/>
          <w:bCs/>
          <w:sz w:val="19"/>
          <w:szCs w:val="19"/>
        </w:rPr>
        <w:t xml:space="preserve">7.1</w:t>
      </w:r>
      <w:r>
        <w:rPr>
          <w:rFonts w:ascii="Arial" w:cs="Arial" w:eastAsia="Arial" w:hAnsi="Arial"/>
          <w:b/>
          <w:bCs/>
          <w:sz w:val="19"/>
          <w:szCs w:val="19"/>
        </w:rPr>
        <w:t xml:space="preserve">	GENERAL</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engine must be the W10B16 or W11B16 as fitted to R50 or R53 Minis delivered in Australia 2001 to 2006.</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All engine components must be original BMW Mini components, a commercially available product, or the control item, unless otherwise specified.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Permitted reconditioning: cylinder boring and honing; decking and facing; line boring and honing; conrod resizing; thread repair; replacement of welsh and gallery plugs; cleaning that does not remove original material; crankshaft journal grinding and linishing. Bead blasting and angle machining are not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Engine mounts must remain standard in number, location and orientation. Engine mounting bushes are free.</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Air conditioning and heating systems may be removed.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A crankcase catch can discharging to atmosphere per Schedule B is permitted. Hoses maximum 13 mm inside diameter, connected only to the original breather connections. PCV valve internals may be removed.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An aftermarket harmonic balancer may be fitted. Any overdrive at the balancer counts toward the 17% total in 7.5(e).</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The diverter valve is free.</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Serpentine belt and tensioner are free provided the system is 6PK and commercially available in Australia.</w:t>
      </w:r>
    </w:p>
    <w:p>
      <w:pPr>
        <w:tabs>
          <w:tab w:val="left" w:pos="1240"/>
        </w:tabs>
        <w:spacing w:after="70"/>
        <w:ind w:left="1240" w:hanging="620"/>
        <w:jc w:val="both"/>
      </w:pPr>
      <w:r>
        <w:rPr>
          <w:rFonts w:ascii="Arial" w:cs="Arial" w:eastAsia="Arial" w:hAnsi="Arial"/>
          <w:sz w:val="18"/>
          <w:szCs w:val="18"/>
        </w:rPr>
        <w:t xml:space="preserve">(j)</w:t>
      </w:r>
      <w:r>
        <w:rPr>
          <w:rFonts w:ascii="Arial" w:cs="Arial" w:eastAsia="Arial" w:hAnsi="Arial"/>
          <w:sz w:val="18"/>
          <w:szCs w:val="18"/>
        </w:rPr>
        <w:t xml:space="preserve">	A centre main bearing cap strengthening plate per Appendix 7 may be fitted.</w:t>
      </w:r>
    </w:p>
    <w:p>
      <w:pPr>
        <w:keepNext/>
        <w:tabs>
          <w:tab w:val="left" w:pos="1400"/>
        </w:tabs>
        <w:spacing w:after="100" w:before="200"/>
        <w:ind w:left="340"/>
      </w:pPr>
      <w:r>
        <w:rPr>
          <w:rFonts w:ascii="Arial" w:cs="Arial" w:eastAsia="Arial" w:hAnsi="Arial"/>
          <w:b/>
          <w:bCs/>
          <w:sz w:val="19"/>
          <w:szCs w:val="19"/>
        </w:rPr>
        <w:t xml:space="preserve">7.2</w:t>
      </w:r>
      <w:r>
        <w:rPr>
          <w:rFonts w:ascii="Arial" w:cs="Arial" w:eastAsia="Arial" w:hAnsi="Arial"/>
          <w:b/>
          <w:bCs/>
          <w:sz w:val="19"/>
          <w:szCs w:val="19"/>
        </w:rPr>
        <w:t xml:space="preserve">	CYLINDER BLOCK, CRANKSHAFT, RODS, PISTONS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factory block must be used. Bore may be increased by a maximum of 1.0 mm.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Pistons are free, forged permitted. Compression ratio 8.5:1 maximum.</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Conrods are free at standard length.</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crankshaft must remain standard. Localised spot machining of the counterweights and big end faces for balance only. A maximum of 0.5 mm may be removed from any bearing journal. No other machining, lightening or polishing. Stroke standard.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Piston rings may be replaced: one compression ring per groove (two) and one three-piece oil ring. Ring contact area not less than standard. Gas-ported rings or pistons are not permitted.</w:t>
      </w:r>
    </w:p>
    <w:p>
      <w:pPr>
        <w:keepNext/>
        <w:tabs>
          <w:tab w:val="left" w:pos="1400"/>
        </w:tabs>
        <w:spacing w:after="100" w:before="200"/>
        <w:ind w:left="340"/>
      </w:pPr>
      <w:r>
        <w:rPr>
          <w:rFonts w:ascii="Arial" w:cs="Arial" w:eastAsia="Arial" w:hAnsi="Arial"/>
          <w:b/>
          <w:bCs/>
          <w:sz w:val="19"/>
          <w:szCs w:val="19"/>
        </w:rPr>
        <w:t xml:space="preserve">7.3</w:t>
      </w:r>
      <w:r>
        <w:rPr>
          <w:rFonts w:ascii="Arial" w:cs="Arial" w:eastAsia="Arial" w:hAnsi="Arial"/>
          <w:b/>
          <w:bCs/>
          <w:sz w:val="19"/>
          <w:szCs w:val="19"/>
        </w:rPr>
        <w:t xml:space="preserve">	CYLINDER HEAD, CAMSHAFT, VALVES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camshafts must be the control camshaft, unmodified, fitted with the standard camshaft wheels in the standard position. Adjustable, vernier and offset wheels, keys and dowels are not permitted.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cylinder head must be an unmodified standard casting or a head entered in the Head Register, Appendix 11.</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cylinder head gasket must be the control gasket.</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Head and block gasket faces may be machined parallel only. Minimum cylinder head height per Appendix 1.</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Valve springs are free.</w:t>
      </w:r>
    </w:p>
    <w:p>
      <w:pPr>
        <w:keepNext/>
        <w:tabs>
          <w:tab w:val="left" w:pos="1400"/>
        </w:tabs>
        <w:spacing w:after="100" w:before="200"/>
        <w:ind w:left="340"/>
      </w:pPr>
      <w:r>
        <w:rPr>
          <w:rFonts w:ascii="Arial" w:cs="Arial" w:eastAsia="Arial" w:hAnsi="Arial"/>
          <w:b/>
          <w:bCs/>
          <w:sz w:val="19"/>
          <w:szCs w:val="19"/>
        </w:rPr>
        <w:t xml:space="preserve">7.4</w:t>
      </w:r>
      <w:r>
        <w:rPr>
          <w:rFonts w:ascii="Arial" w:cs="Arial" w:eastAsia="Arial" w:hAnsi="Arial"/>
          <w:b/>
          <w:bCs/>
          <w:sz w:val="19"/>
          <w:szCs w:val="19"/>
        </w:rPr>
        <w:t xml:space="preserve">	LUBRICATION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An oil cooler is permitted. An aftermarket oil cooling system may replace the factory system.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Sump baffling is permitted within the removable sump. The oil pickup may be modified.</w:t>
      </w:r>
    </w:p>
    <w:p>
      <w:pPr>
        <w:keepNext/>
        <w:tabs>
          <w:tab w:val="left" w:pos="1400"/>
        </w:tabs>
        <w:spacing w:after="100" w:before="200"/>
        <w:ind w:left="340"/>
      </w:pPr>
      <w:r>
        <w:rPr>
          <w:rFonts w:ascii="Arial" w:cs="Arial" w:eastAsia="Arial" w:hAnsi="Arial"/>
          <w:b/>
          <w:bCs/>
          <w:sz w:val="19"/>
          <w:szCs w:val="19"/>
        </w:rPr>
        <w:t xml:space="preserve">7.5</w:t>
      </w:r>
      <w:r>
        <w:rPr>
          <w:rFonts w:ascii="Arial" w:cs="Arial" w:eastAsia="Arial" w:hAnsi="Arial"/>
          <w:b/>
          <w:bCs/>
          <w:sz w:val="19"/>
          <w:szCs w:val="19"/>
        </w:rPr>
        <w:t xml:space="preserve">	INDUCTION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air filter system is free upstream of the throttle body. Only ambient air may be supplied. The induction system must be fully contained within the engine bay.</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No liquid or gas may be injected into the intake or sprayed on the intercooler.</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throttle body must be the factory item or Bosch 0 280 750 151, with an adaptor plate of maximum 10 mm. The intake system from throttle body to cylinder head face must be unmodified.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supercharger must remain unmodified. No internal change or flow work.</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Total overdrive, supercharger pulley plus crank pulley, is 17% maximum.</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Manifold pressure must not exceed the Appendix 1 maximum at any engine speed, as logged by the control ECU.</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All air entering the engine must pass through the control restrictor, fitted between the throttle body and the supercharger inlet. Diameter per Appendix 1, cylindrical for a minimum length of 3 mm, not exceeded at any point or temperature. No air may enter downstream of the restrictor other than bypass valve recirculation.</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An aftermarket pattern intercooler in the factory location is permitted.</w:t>
      </w:r>
    </w:p>
    <w:p>
      <w:pPr>
        <w:keepNext/>
        <w:tabs>
          <w:tab w:val="left" w:pos="1400"/>
        </w:tabs>
        <w:spacing w:after="100" w:before="200"/>
        <w:ind w:left="340"/>
      </w:pPr>
      <w:r>
        <w:rPr>
          <w:rFonts w:ascii="Arial" w:cs="Arial" w:eastAsia="Arial" w:hAnsi="Arial"/>
          <w:b/>
          <w:bCs/>
          <w:sz w:val="19"/>
          <w:szCs w:val="19"/>
        </w:rPr>
        <w:t xml:space="preserve">7.6</w:t>
      </w:r>
      <w:r>
        <w:rPr>
          <w:rFonts w:ascii="Arial" w:cs="Arial" w:eastAsia="Arial" w:hAnsi="Arial"/>
          <w:b/>
          <w:bCs/>
          <w:sz w:val="19"/>
          <w:szCs w:val="19"/>
        </w:rPr>
        <w:t xml:space="preserve">	COOLING</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An aftermarket radiator in the factory location is permitted. The plastic radiator support may be replaced with metal on the original mounting points.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electric fan must be the factory item. Fan control is free. Coolant hoses, expansion tank and a radiator screen are free.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An electric water pump may replace the mechanical pump.</w:t>
      </w:r>
    </w:p>
    <w:p>
      <w:pPr>
        <w:keepNext/>
        <w:tabs>
          <w:tab w:val="left" w:pos="1400"/>
        </w:tabs>
        <w:spacing w:after="100" w:before="200"/>
        <w:ind w:left="340"/>
      </w:pPr>
      <w:r>
        <w:rPr>
          <w:rFonts w:ascii="Arial" w:cs="Arial" w:eastAsia="Arial" w:hAnsi="Arial"/>
          <w:b/>
          <w:bCs/>
          <w:sz w:val="19"/>
          <w:szCs w:val="19"/>
        </w:rPr>
        <w:t xml:space="preserve">7.7</w:t>
      </w:r>
      <w:r>
        <w:rPr>
          <w:rFonts w:ascii="Arial" w:cs="Arial" w:eastAsia="Arial" w:hAnsi="Arial"/>
          <w:b/>
          <w:bCs/>
          <w:sz w:val="19"/>
          <w:szCs w:val="19"/>
        </w:rPr>
        <w:t xml:space="preserve">	FLYWHEEL AND CLUTCH</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Free.</w:t>
      </w:r>
    </w:p>
    <w:p>
      <w:pPr>
        <w:keepNext/>
        <w:tabs>
          <w:tab w:val="left" w:pos="1400"/>
        </w:tabs>
        <w:spacing w:after="100" w:before="200"/>
        <w:ind w:left="340"/>
      </w:pPr>
      <w:r>
        <w:rPr>
          <w:rFonts w:ascii="Arial" w:cs="Arial" w:eastAsia="Arial" w:hAnsi="Arial"/>
          <w:b/>
          <w:bCs/>
          <w:sz w:val="19"/>
          <w:szCs w:val="19"/>
        </w:rPr>
        <w:t xml:space="preserve">7.8</w:t>
      </w:r>
      <w:r>
        <w:rPr>
          <w:rFonts w:ascii="Arial" w:cs="Arial" w:eastAsia="Arial" w:hAnsi="Arial"/>
          <w:b/>
          <w:bCs/>
          <w:sz w:val="19"/>
          <w:szCs w:val="19"/>
        </w:rPr>
        <w:t xml:space="preserve">	EXHAUST</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Free, provided the exhaust exits from the rear of the Automobile and the factory fuel tank heat shield is retained.</w:t>
      </w:r>
    </w:p>
    <w:p>
      <w:pPr>
        <w:keepNext/>
        <w:tabs>
          <w:tab w:val="left" w:pos="720"/>
        </w:tabs>
        <w:spacing w:after="140" w:before="320"/>
      </w:pPr>
      <w:r>
        <w:rPr>
          <w:rFonts w:ascii="Arial" w:cs="Arial" w:eastAsia="Arial" w:hAnsi="Arial"/>
          <w:b/>
          <w:bCs/>
          <w:color w:val="FF4D00"/>
          <w:sz w:val="21"/>
          <w:szCs w:val="21"/>
        </w:rPr>
        <w:t xml:space="preserve">8.</w:t>
      </w:r>
      <w:r>
        <w:rPr>
          <w:rFonts w:ascii="Arial" w:cs="Arial" w:eastAsia="Arial" w:hAnsi="Arial"/>
          <w:b/>
          <w:bCs/>
          <w:color w:val="FF4D00"/>
          <w:sz w:val="21"/>
          <w:szCs w:val="21"/>
        </w:rPr>
        <w:t xml:space="preserve">	FUEL SYSTEM AND FUEL</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Fuel must be 98 RON pump fuel per Schedule G. No additives.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 quick-break fuel sampling fitting per Appendix 3 must be fitted. Fuel may be sampled and tested at any time.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original fuel tank must be retained in the original location. Safety foam may be fitted. Tank protection may be added in the area of the tank only.</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fuel pump must be a pump nominated in Appendix 3, fitted to the standard hanger.</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Fuel injectors must be the control injector. The injector harness may be repinned to suit.</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The fuel system is otherwise standard.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The carbon canister may be removed. If removed, the tank must vent externally to the cockpit through a gravity roll-over valve.</w:t>
      </w:r>
    </w:p>
    <w:p>
      <w:pPr>
        <w:keepNext/>
        <w:tabs>
          <w:tab w:val="left" w:pos="720"/>
        </w:tabs>
        <w:spacing w:after="140" w:before="320"/>
      </w:pPr>
      <w:r>
        <w:rPr>
          <w:rFonts w:ascii="Arial" w:cs="Arial" w:eastAsia="Arial" w:hAnsi="Arial"/>
          <w:b/>
          <w:bCs/>
          <w:color w:val="FF4D00"/>
          <w:sz w:val="21"/>
          <w:szCs w:val="21"/>
        </w:rPr>
        <w:t xml:space="preserve">9.</w:t>
      </w:r>
      <w:r>
        <w:rPr>
          <w:rFonts w:ascii="Arial" w:cs="Arial" w:eastAsia="Arial" w:hAnsi="Arial"/>
          <w:b/>
          <w:bCs/>
          <w:color w:val="FF4D00"/>
          <w:sz w:val="21"/>
          <w:szCs w:val="21"/>
        </w:rPr>
        <w:t xml:space="preserve">	TRANSMISSION</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gearbox must be the factory R53 Cooper S item. Ratios standard.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gear selector mechanism may be modified to reduce free travel. An aftermarket shifter may be fitted. Factory shift cables must be retained. The shift pattern must not change.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Limited slip and locked differentials are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Pattern aftermarket driveshafts are permitted.</w:t>
      </w:r>
    </w:p>
    <w:p>
      <w:pPr>
        <w:keepNext/>
        <w:tabs>
          <w:tab w:val="left" w:pos="720"/>
        </w:tabs>
        <w:spacing w:after="140" w:before="320"/>
      </w:pPr>
      <w:r>
        <w:rPr>
          <w:rFonts w:ascii="Arial" w:cs="Arial" w:eastAsia="Arial" w:hAnsi="Arial"/>
          <w:b/>
          <w:bCs/>
          <w:color w:val="FF4D00"/>
          <w:sz w:val="21"/>
          <w:szCs w:val="21"/>
        </w:rPr>
        <w:t xml:space="preserve">10.</w:t>
      </w:r>
      <w:r>
        <w:rPr>
          <w:rFonts w:ascii="Arial" w:cs="Arial" w:eastAsia="Arial" w:hAnsi="Arial"/>
          <w:b/>
          <w:bCs/>
          <w:color w:val="FF4D00"/>
          <w:sz w:val="21"/>
          <w:szCs w:val="21"/>
        </w:rPr>
        <w:t xml:space="preserve">	CHASSIS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safety cage per Schedule J must be fitted.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Chassis strengthening is permitted only at the locations in Appendix 6.</w:t>
      </w:r>
    </w:p>
    <w:p>
      <w:pPr>
        <w:keepNext/>
        <w:tabs>
          <w:tab w:val="left" w:pos="720"/>
        </w:tabs>
        <w:spacing w:after="140" w:before="320"/>
      </w:pPr>
      <w:r>
        <w:rPr>
          <w:rFonts w:ascii="Arial" w:cs="Arial" w:eastAsia="Arial" w:hAnsi="Arial"/>
          <w:b/>
          <w:bCs/>
          <w:color w:val="FF4D00"/>
          <w:sz w:val="21"/>
          <w:szCs w:val="21"/>
        </w:rPr>
        <w:t xml:space="preserve">11.</w:t>
      </w:r>
      <w:r>
        <w:rPr>
          <w:rFonts w:ascii="Arial" w:cs="Arial" w:eastAsia="Arial" w:hAnsi="Arial"/>
          <w:b/>
          <w:bCs/>
          <w:color w:val="FF4D00"/>
          <w:sz w:val="21"/>
          <w:szCs w:val="21"/>
        </w:rPr>
        <w:t xml:space="preserve">	WHEELS AND TYRES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Wheels are free: one-piece, 17 x 7.5 maximum, all four the same width, diameter and offset.</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control tyre is the RubberCraft SP-01R 225/45R17.</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Tyre buffing, regrooving and chemical treatment are not permitted.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Tread depth must exceed 1.5 mm before practice or racing, excluding the shoulder (40 mm from the outer sidewall) and one localised flat spot.</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Wheel spacers per Schedule E, 15.0 mm maximum. Extended studs 90 mm maximum; stud and nut must not protrude past the rim face. Wheel nuts ferrous, open ended.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The tyre and wheel must be within the perimeter of the Automobile when viewed from above.</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Four new control tyres per round. Eight at a Competitor’s first round of a season. Tyres are registered at scrutineering.</w:t>
      </w:r>
    </w:p>
    <w:p>
      <w:pPr>
        <w:keepNext/>
        <w:tabs>
          <w:tab w:val="left" w:pos="720"/>
        </w:tabs>
        <w:spacing w:after="140" w:before="320"/>
      </w:pPr>
      <w:r>
        <w:rPr>
          <w:rFonts w:ascii="Arial" w:cs="Arial" w:eastAsia="Arial" w:hAnsi="Arial"/>
          <w:b/>
          <w:bCs/>
          <w:color w:val="FF4D00"/>
          <w:sz w:val="21"/>
          <w:szCs w:val="21"/>
        </w:rPr>
        <w:t xml:space="preserve">12.</w:t>
      </w:r>
      <w:r>
        <w:rPr>
          <w:rFonts w:ascii="Arial" w:cs="Arial" w:eastAsia="Arial" w:hAnsi="Arial"/>
          <w:b/>
          <w:bCs/>
          <w:color w:val="FF4D00"/>
          <w:sz w:val="21"/>
          <w:szCs w:val="21"/>
        </w:rPr>
        <w:t xml:space="preserve">	STEERING</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steering rack, power steering pump and accessories must be standard BMW Mini.</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steering wheel must not contain wood. A quick-release boss is permitted.</w:t>
      </w:r>
    </w:p>
    <w:p>
      <w:pPr>
        <w:keepNext/>
        <w:tabs>
          <w:tab w:val="left" w:pos="720"/>
        </w:tabs>
        <w:spacing w:after="140" w:before="320"/>
      </w:pPr>
      <w:r>
        <w:rPr>
          <w:rFonts w:ascii="Arial" w:cs="Arial" w:eastAsia="Arial" w:hAnsi="Arial"/>
          <w:b/>
          <w:bCs/>
          <w:color w:val="FF4D00"/>
          <w:sz w:val="21"/>
          <w:szCs w:val="21"/>
        </w:rPr>
        <w:t xml:space="preserve">13.</w:t>
      </w:r>
      <w:r>
        <w:rPr>
          <w:rFonts w:ascii="Arial" w:cs="Arial" w:eastAsia="Arial" w:hAnsi="Arial"/>
          <w:b/>
          <w:bCs/>
          <w:color w:val="FF4D00"/>
          <w:sz w:val="21"/>
          <w:szCs w:val="21"/>
        </w:rPr>
        <w:t xml:space="preserve">	BRAKES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Front calipers and rotors are free, four-piston maximum. Friction material free. Hoses free.</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Rear calipers standard. Rear discs standard size. Rear pads free.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factory ABS must be disabled. The actuator may remain.</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The factory master cylinder and booster must be retained.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parking brake may be removed. Pad knock-off springs are permitted.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Brake proportioning valves and brake pressure sensors are not permitted.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Brake cooling: the fog light or blanking plate in the lower front bumper may be removed. One duct per front wheel, 80 mm maximum inside diameter except within 150 mm of the bumper and 80 mm of the rotor, wholly within the bodywork and not visible from the front. Backing plates may be modified or removed.</w:t>
      </w:r>
    </w:p>
    <w:p>
      <w:pPr>
        <w:keepNext/>
        <w:tabs>
          <w:tab w:val="left" w:pos="720"/>
        </w:tabs>
        <w:spacing w:after="140" w:before="320"/>
      </w:pPr>
      <w:r>
        <w:rPr>
          <w:rFonts w:ascii="Arial" w:cs="Arial" w:eastAsia="Arial" w:hAnsi="Arial"/>
          <w:b/>
          <w:bCs/>
          <w:color w:val="FF4D00"/>
          <w:sz w:val="21"/>
          <w:szCs w:val="21"/>
        </w:rPr>
        <w:t xml:space="preserve">14.</w:t>
      </w:r>
      <w:r>
        <w:rPr>
          <w:rFonts w:ascii="Arial" w:cs="Arial" w:eastAsia="Arial" w:hAnsi="Arial"/>
          <w:b/>
          <w:bCs/>
          <w:color w:val="FF4D00"/>
          <w:sz w:val="21"/>
          <w:szCs w:val="21"/>
        </w:rPr>
        <w:t xml:space="preserve">	SUSPENSION</w:t>
      </w:r>
    </w:p>
    <w:p>
      <w:pPr>
        <w:spacing w:after="80"/>
        <w:ind w:left="620"/>
        <w:jc w:val="both"/>
      </w:pPr>
      <w:r>
        <w:rPr>
          <w:rFonts w:ascii="Arial" w:cs="Arial" w:eastAsia="Arial" w:hAnsi="Arial"/>
          <w:sz w:val="18"/>
          <w:szCs w:val="18"/>
        </w:rPr>
        <w:t xml:space="preserve">Factory suspension components must be used except as follows.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Dampers are free until 31 December 2027. From 1 January 2028 dampers must be the control damper package, as supplied. No revalving, respringing or modification.</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Suspension bushes may be replaced only with elastomeric bushes. No metallic element other than the original crush tube may be contained within a bush. Solid, rose-jointed and spherical mounts are not permitted.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Front camber plates, fixed or adjustable, are permitted. Fixed metal on the strut tower may be removed to fit them.</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Maximum negative camber 4.0 degrees, front and rear, measured as presented.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Minimum ride height [ ] mm, excluding the exhaust, with the driver in the Automobile. Tyre pressure may be raised to 2.0 bar for measurement.</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Rear control arms may be replaced with the R56 aluminium item.</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Uprights, hubs, front control arms and rear arms other than toe arms must be OEM. Subframes in the factory location, unmodified except (h).</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Front subframe tapped holes for the rear castor bush mounts and front inner ball joint may be drilled to accept through bolts and nuts, grade 8.8 minimum.</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Maximum track 1750 mm.</w:t>
      </w:r>
    </w:p>
    <w:p>
      <w:pPr>
        <w:tabs>
          <w:tab w:val="left" w:pos="1240"/>
        </w:tabs>
        <w:spacing w:after="70"/>
        <w:ind w:left="1240" w:hanging="620"/>
        <w:jc w:val="both"/>
      </w:pPr>
      <w:r>
        <w:rPr>
          <w:rFonts w:ascii="Arial" w:cs="Arial" w:eastAsia="Arial" w:hAnsi="Arial"/>
          <w:sz w:val="18"/>
          <w:szCs w:val="18"/>
        </w:rPr>
        <w:t xml:space="preserve">(j)</w:t>
      </w:r>
      <w:r>
        <w:rPr>
          <w:rFonts w:ascii="Arial" w:cs="Arial" w:eastAsia="Arial" w:hAnsi="Arial"/>
          <w:sz w:val="18"/>
          <w:szCs w:val="18"/>
        </w:rPr>
        <w:t xml:space="preserve">	Anti-roll bars are free on the original mounting points, non-adjustable, one-piece, diameters per Appendix 1. Links are free but may not contain spherical bearings or spring elements. One front and one rear link may be disconnected.</w:t>
      </w:r>
    </w:p>
    <w:p>
      <w:pPr>
        <w:tabs>
          <w:tab w:val="left" w:pos="1240"/>
        </w:tabs>
        <w:spacing w:after="70"/>
        <w:ind w:left="1240" w:hanging="620"/>
        <w:jc w:val="both"/>
      </w:pPr>
      <w:r>
        <w:rPr>
          <w:rFonts w:ascii="Arial" w:cs="Arial" w:eastAsia="Arial" w:hAnsi="Arial"/>
          <w:sz w:val="18"/>
          <w:szCs w:val="18"/>
        </w:rPr>
        <w:t xml:space="preserve">(k)</w:t>
      </w:r>
      <w:r>
        <w:rPr>
          <w:rFonts w:ascii="Arial" w:cs="Arial" w:eastAsia="Arial" w:hAnsi="Arial"/>
          <w:sz w:val="18"/>
          <w:szCs w:val="18"/>
        </w:rPr>
        <w:t xml:space="preserve">	Bump stops are free.</w:t>
      </w:r>
    </w:p>
    <w:p>
      <w:pPr>
        <w:tabs>
          <w:tab w:val="left" w:pos="1240"/>
        </w:tabs>
        <w:spacing w:after="70"/>
        <w:ind w:left="1240" w:hanging="620"/>
        <w:jc w:val="both"/>
      </w:pPr>
      <w:r>
        <w:rPr>
          <w:rFonts w:ascii="Arial" w:cs="Arial" w:eastAsia="Arial" w:hAnsi="Arial"/>
          <w:sz w:val="18"/>
          <w:szCs w:val="18"/>
        </w:rPr>
        <w:t xml:space="preserve">(l)</w:t>
      </w:r>
      <w:r>
        <w:rPr>
          <w:rFonts w:ascii="Arial" w:cs="Arial" w:eastAsia="Arial" w:hAnsi="Arial"/>
          <w:sz w:val="18"/>
          <w:szCs w:val="18"/>
        </w:rPr>
        <w:t xml:space="preserve">	A front strut brace linking only the strut towers is permitted. Rear towers may be braced by the cage and/or a strut brace.</w:t>
      </w:r>
    </w:p>
    <w:p>
      <w:pPr>
        <w:keepNext/>
        <w:tabs>
          <w:tab w:val="left" w:pos="720"/>
        </w:tabs>
        <w:spacing w:after="140" w:before="320"/>
      </w:pPr>
      <w:r>
        <w:rPr>
          <w:rFonts w:ascii="Arial" w:cs="Arial" w:eastAsia="Arial" w:hAnsi="Arial"/>
          <w:b/>
          <w:bCs/>
          <w:color w:val="FF4D00"/>
          <w:sz w:val="21"/>
          <w:szCs w:val="21"/>
        </w:rPr>
        <w:t xml:space="preserve">15.</w:t>
      </w:r>
      <w:r>
        <w:rPr>
          <w:rFonts w:ascii="Arial" w:cs="Arial" w:eastAsia="Arial" w:hAnsi="Arial"/>
          <w:b/>
          <w:bCs/>
          <w:color w:val="FF4D00"/>
          <w:sz w:val="21"/>
          <w:szCs w:val="21"/>
        </w:rPr>
        <w:t xml:space="preserve">	ELECTRICAL</w:t>
      </w:r>
    </w:p>
    <w:p>
      <w:pPr>
        <w:keepNext/>
        <w:tabs>
          <w:tab w:val="left" w:pos="1400"/>
        </w:tabs>
        <w:spacing w:after="100" w:before="200"/>
        <w:ind w:left="340"/>
      </w:pPr>
      <w:r>
        <w:rPr>
          <w:rFonts w:ascii="Arial" w:cs="Arial" w:eastAsia="Arial" w:hAnsi="Arial"/>
          <w:b/>
          <w:bCs/>
          <w:sz w:val="19"/>
          <w:szCs w:val="19"/>
        </w:rPr>
        <w:t xml:space="preserve">15.1</w:t>
      </w:r>
      <w:r>
        <w:rPr>
          <w:rFonts w:ascii="Arial" w:cs="Arial" w:eastAsia="Arial" w:hAnsi="Arial"/>
          <w:b/>
          <w:bCs/>
          <w:sz w:val="19"/>
          <w:szCs w:val="19"/>
        </w:rPr>
        <w:t xml:space="preserve">	ENGINE MANAGEMENT</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Control ECU: Link G4X Plugin, SKU 209-4000, in the factory ECU location. CAN transmit only.</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control tune must be installed and unaltered. Competitor-adjustable parameters: idle speed, cold start, fan and pump control, gauge outputs. All other parameters are locked.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calibration may be read and compared to the reference file at any time.</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MAP, air temperature and lambda sensors per Appendix 3, in the standard location.</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Rev limit 7,000 rpm.</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Traction control and launch control are not permitted.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Ignition coils, igniters and triggers to OE specification. Spark plugs and leads free.</w:t>
      </w:r>
    </w:p>
    <w:p>
      <w:pPr>
        <w:keepNext/>
        <w:tabs>
          <w:tab w:val="left" w:pos="1400"/>
        </w:tabs>
        <w:spacing w:after="100" w:before="200"/>
        <w:ind w:left="340"/>
      </w:pPr>
      <w:r>
        <w:rPr>
          <w:rFonts w:ascii="Arial" w:cs="Arial" w:eastAsia="Arial" w:hAnsi="Arial"/>
          <w:b/>
          <w:bCs/>
          <w:sz w:val="19"/>
          <w:szCs w:val="19"/>
        </w:rPr>
        <w:t xml:space="preserve">15.2</w:t>
      </w:r>
      <w:r>
        <w:rPr>
          <w:rFonts w:ascii="Arial" w:cs="Arial" w:eastAsia="Arial" w:hAnsi="Arial"/>
          <w:b/>
          <w:bCs/>
          <w:sz w:val="19"/>
          <w:szCs w:val="19"/>
        </w:rPr>
        <w:t xml:space="preserve">	GENERAL</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 rain light must be fitted centrally on the rear hatch above the number plate recess.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The battery may remain in the factory location or be relocated to the cockpit floor. AGM or GEL only. Isolator required. Securely mounted, positive terminal insulated.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factory harness may be modified or replaced.</w:t>
      </w:r>
    </w:p>
    <w:p>
      <w:pPr>
        <w:keepNext/>
        <w:tabs>
          <w:tab w:val="left" w:pos="1400"/>
        </w:tabs>
        <w:spacing w:after="100" w:before="200"/>
        <w:ind w:left="340"/>
      </w:pPr>
      <w:r>
        <w:rPr>
          <w:rFonts w:ascii="Arial" w:cs="Arial" w:eastAsia="Arial" w:hAnsi="Arial"/>
          <w:b/>
          <w:bCs/>
          <w:sz w:val="19"/>
          <w:szCs w:val="19"/>
        </w:rPr>
        <w:t xml:space="preserve">15.3</w:t>
      </w:r>
      <w:r>
        <w:rPr>
          <w:rFonts w:ascii="Arial" w:cs="Arial" w:eastAsia="Arial" w:hAnsi="Arial"/>
          <w:b/>
          <w:bCs/>
          <w:sz w:val="19"/>
          <w:szCs w:val="19"/>
        </w:rPr>
        <w:t xml:space="preserve">	DATA AND CAMERAS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Data logging: standalone beacon lap timer, standalone GPS lap timer, or a solidly mounted phone lap timer only. No connection to the ECU, OBD port or vehicle wiring other than power, ground and RPM.</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One video system on a solid mount to the safety cage, commercially available.</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timing transponder must be mounted under the left front footwell.</w:t>
      </w:r>
    </w:p>
    <w:p>
      <w:pPr>
        <w:keepNext/>
        <w:tabs>
          <w:tab w:val="left" w:pos="720"/>
        </w:tabs>
        <w:spacing w:after="140" w:before="320"/>
      </w:pPr>
      <w:r>
        <w:rPr>
          <w:rFonts w:ascii="Arial" w:cs="Arial" w:eastAsia="Arial" w:hAnsi="Arial"/>
          <w:b/>
          <w:bCs/>
          <w:color w:val="FF4D00"/>
          <w:sz w:val="21"/>
          <w:szCs w:val="21"/>
        </w:rPr>
        <w:t xml:space="preserve">16.</w:t>
      </w:r>
      <w:r>
        <w:rPr>
          <w:rFonts w:ascii="Arial" w:cs="Arial" w:eastAsia="Arial" w:hAnsi="Arial"/>
          <w:b/>
          <w:bCs/>
          <w:color w:val="FF4D00"/>
          <w:sz w:val="21"/>
          <w:szCs w:val="21"/>
        </w:rPr>
        <w:t xml:space="preserve">	BODY, COACHWORK AND COCKPIT</w:t>
      </w:r>
    </w:p>
    <w:p>
      <w:pPr>
        <w:keepNext/>
        <w:tabs>
          <w:tab w:val="left" w:pos="1400"/>
        </w:tabs>
        <w:spacing w:after="100" w:before="200"/>
        <w:ind w:left="340"/>
      </w:pPr>
      <w:r>
        <w:rPr>
          <w:rFonts w:ascii="Arial" w:cs="Arial" w:eastAsia="Arial" w:hAnsi="Arial"/>
          <w:b/>
          <w:bCs/>
          <w:sz w:val="19"/>
          <w:szCs w:val="19"/>
        </w:rPr>
        <w:t xml:space="preserve">16.1</w:t>
      </w:r>
      <w:r>
        <w:rPr>
          <w:rFonts w:ascii="Arial" w:cs="Arial" w:eastAsia="Arial" w:hAnsi="Arial"/>
          <w:b/>
          <w:bCs/>
          <w:sz w:val="19"/>
          <w:szCs w:val="19"/>
        </w:rPr>
        <w:t xml:space="preserve">	EXTERIOR</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All coachwork standard. A rear wing may be fitted: standard R53, TDI01, RSIC6, or identical.</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Wheel arch lips may be folded or trimmed for tyre clearance. Panel shape, profile and width must remain. Plastic inner guard liners may be removed. Aftermarket wheel arches are permitted.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Plastic undertrays may be removed. No additional underbody panels.</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Front and rear bumpers unmodified except for tow points. Metal reinforcements retained. No elements added below or behind the covers. Lightweight stays for bumper corners and an indicator support are permitted.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rear wiper motor must be removed and the hole covered.</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Bonnet sound deadening, side mouldings, rear fog light and bonnet sealing rubber may be removed. Resulting holes must be covered.</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Original bonnet latches must be removed. Bonnet vents are permitted; ducting to intakes or intercooler is not. The factory scoop may be carbon fibre.</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Only the original rear tow point, with optional strap or shackle.</w:t>
      </w:r>
    </w:p>
    <w:p>
      <w:pPr>
        <w:tabs>
          <w:tab w:val="left" w:pos="1240"/>
        </w:tabs>
        <w:spacing w:after="70"/>
        <w:ind w:left="1240" w:hanging="620"/>
        <w:jc w:val="both"/>
      </w:pPr>
      <w:r>
        <w:rPr>
          <w:rFonts w:ascii="Arial" w:cs="Arial" w:eastAsia="Arial" w:hAnsi="Arial"/>
          <w:sz w:val="18"/>
          <w:szCs w:val="18"/>
        </w:rPr>
        <w:t xml:space="preserve">(i)</w:t>
      </w:r>
      <w:r>
        <w:rPr>
          <w:rFonts w:ascii="Arial" w:cs="Arial" w:eastAsia="Arial" w:hAnsi="Arial"/>
          <w:sz w:val="18"/>
          <w:szCs w:val="18"/>
        </w:rPr>
        <w:t xml:space="preserve">	Fastener holes of minimum size may be drilled. No additional ventilation holes to the front bar area.</w:t>
      </w:r>
    </w:p>
    <w:p>
      <w:pPr>
        <w:tabs>
          <w:tab w:val="left" w:pos="1240"/>
        </w:tabs>
        <w:spacing w:after="70"/>
        <w:ind w:left="1240" w:hanging="620"/>
        <w:jc w:val="both"/>
      </w:pPr>
      <w:r>
        <w:rPr>
          <w:rFonts w:ascii="Arial" w:cs="Arial" w:eastAsia="Arial" w:hAnsi="Arial"/>
          <w:sz w:val="18"/>
          <w:szCs w:val="18"/>
        </w:rPr>
        <w:t xml:space="preserve">(j)</w:t>
      </w:r>
      <w:r>
        <w:rPr>
          <w:rFonts w:ascii="Arial" w:cs="Arial" w:eastAsia="Arial" w:hAnsi="Arial"/>
          <w:sz w:val="18"/>
          <w:szCs w:val="18"/>
        </w:rPr>
        <w:t xml:space="preserve">	No fixed metal may be removed except for cage or suspension installation. Unused brackets may be removed.</w:t>
      </w:r>
    </w:p>
    <w:p>
      <w:pPr>
        <w:keepNext/>
        <w:tabs>
          <w:tab w:val="left" w:pos="1400"/>
        </w:tabs>
        <w:spacing w:after="100" w:before="200"/>
        <w:ind w:left="340"/>
      </w:pPr>
      <w:r>
        <w:rPr>
          <w:rFonts w:ascii="Arial" w:cs="Arial" w:eastAsia="Arial" w:hAnsi="Arial"/>
          <w:b/>
          <w:bCs/>
          <w:sz w:val="19"/>
          <w:szCs w:val="19"/>
        </w:rPr>
        <w:t xml:space="preserve">16.2</w:t>
      </w:r>
      <w:r>
        <w:rPr>
          <w:rFonts w:ascii="Arial" w:cs="Arial" w:eastAsia="Arial" w:hAnsi="Arial"/>
          <w:b/>
          <w:bCs/>
          <w:sz w:val="19"/>
          <w:szCs w:val="19"/>
        </w:rPr>
        <w:t xml:space="preserve">	WINDOWS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Original glazing retained. Sunroof may be removed and the hole covered with aluminium, steel or FRP per the Manual. Both wipers must operate.</w:t>
      </w:r>
    </w:p>
    <w:p>
      <w:pPr>
        <w:keepNext/>
        <w:tabs>
          <w:tab w:val="left" w:pos="1400"/>
        </w:tabs>
        <w:spacing w:after="100" w:before="200"/>
        <w:ind w:left="340"/>
      </w:pPr>
      <w:r>
        <w:rPr>
          <w:rFonts w:ascii="Arial" w:cs="Arial" w:eastAsia="Arial" w:hAnsi="Arial"/>
          <w:b/>
          <w:bCs/>
          <w:sz w:val="19"/>
          <w:szCs w:val="19"/>
        </w:rPr>
        <w:t xml:space="preserve">16.3</w:t>
      </w:r>
      <w:r>
        <w:rPr>
          <w:rFonts w:ascii="Arial" w:cs="Arial" w:eastAsia="Arial" w:hAnsi="Arial"/>
          <w:b/>
          <w:bCs/>
          <w:sz w:val="19"/>
          <w:szCs w:val="19"/>
        </w:rPr>
        <w:t xml:space="preserve">	INTERIOR</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May be removed: interior trim and glove box, roof lining, carpet and insulation, passenger and rear seats, radio and console, restraint and airbag systems, boot lining, parcel shelf, spare wheel and tools. Airbags must be removed.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Heating and air conditioning components may be removed or modified.</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The factory pedal assembly must remain. Pedal settings may be adjusted on the original mounts.</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Door and quarter trims may be replaced with solid material.</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The dashboard remains in the factory location, modified only for cage clearance.</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Permitted additions: safety equipment, switches and dials, driver cooling, drink system, ballast per Article 17, two-way radio (no car-to-car), electrical equipment per Article 15, a footwell floorplate, and a knee guard per Appendix 8.</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Nothing may hinder driver vision or extrication or affect the engine, steering, transmission, brakes or roadholding. All items must be secured.</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Each control retains its standard function. Seat tracks may be reinforced or removed to fit a racing seat.</w:t>
      </w:r>
    </w:p>
    <w:p>
      <w:pPr>
        <w:keepNext/>
        <w:tabs>
          <w:tab w:val="left" w:pos="720"/>
        </w:tabs>
        <w:spacing w:after="140" w:before="320"/>
      </w:pPr>
      <w:r>
        <w:rPr>
          <w:rFonts w:ascii="Arial" w:cs="Arial" w:eastAsia="Arial" w:hAnsi="Arial"/>
          <w:b/>
          <w:bCs/>
          <w:color w:val="FF4D00"/>
          <w:sz w:val="21"/>
          <w:szCs w:val="21"/>
        </w:rPr>
        <w:t xml:space="preserve">17.</w:t>
      </w:r>
      <w:r>
        <w:rPr>
          <w:rFonts w:ascii="Arial" w:cs="Arial" w:eastAsia="Arial" w:hAnsi="Arial"/>
          <w:b/>
          <w:bCs/>
          <w:color w:val="FF4D00"/>
          <w:sz w:val="21"/>
          <w:szCs w:val="21"/>
        </w:rPr>
        <w:t xml:space="preserve">	WEIGHT</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Minimum racing weight 1,225 kg with driver.</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Ballast must be in the cockpit, visible, accessible and mounted per the Manual requirements for ballast retention.</w:t>
      </w:r>
    </w:p>
    <w:p>
      <w:pPr>
        <w:keepNext/>
        <w:tabs>
          <w:tab w:val="left" w:pos="720"/>
        </w:tabs>
        <w:spacing w:after="140" w:before="320"/>
      </w:pPr>
      <w:r>
        <w:rPr>
          <w:rFonts w:ascii="Arial" w:cs="Arial" w:eastAsia="Arial" w:hAnsi="Arial"/>
          <w:b/>
          <w:bCs/>
          <w:color w:val="FF4D00"/>
          <w:sz w:val="21"/>
          <w:szCs w:val="21"/>
        </w:rPr>
        <w:t xml:space="preserve">18.</w:t>
      </w:r>
      <w:r>
        <w:rPr>
          <w:rFonts w:ascii="Arial" w:cs="Arial" w:eastAsia="Arial" w:hAnsi="Arial"/>
          <w:b/>
          <w:bCs/>
          <w:color w:val="FF4D00"/>
          <w:sz w:val="21"/>
          <w:szCs w:val="21"/>
        </w:rPr>
        <w:t xml:space="preserve">	MISCELLANEOUS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Competition numbers are issued by the SMC registrar.</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Each Automobile must be entered in the Head Register, Appendix 11, before it competes.</w:t>
      </w:r>
    </w:p>
    <w:p>
      <w:pPr>
        <w:keepNext/>
        <w:tabs>
          <w:tab w:val="left" w:pos="720"/>
        </w:tabs>
        <w:spacing w:after="140" w:before="320"/>
      </w:pPr>
      <w:r>
        <w:rPr>
          <w:rFonts w:ascii="Arial" w:cs="Arial" w:eastAsia="Arial" w:hAnsi="Arial"/>
          <w:b/>
          <w:bCs/>
          <w:color w:val="FF4D00"/>
          <w:sz w:val="21"/>
          <w:szCs w:val="21"/>
        </w:rPr>
        <w:t xml:space="preserve">19.</w:t>
      </w:r>
      <w:r>
        <w:rPr>
          <w:rFonts w:ascii="Arial" w:cs="Arial" w:eastAsia="Arial" w:hAnsi="Arial"/>
          <w:b/>
          <w:bCs/>
          <w:color w:val="FF4D00"/>
          <w:sz w:val="21"/>
          <w:szCs w:val="21"/>
        </w:rPr>
        <w:t xml:space="preserve">	INSPECTION, PROTEST AND PENALTIES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Tier 1 – pit lane. Weight, camber, ride height, track, tyres, restrictor, pulleys, calibration file, sensors, fuel sample, camera. Random draw and round winner at each round.</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Tier 2 – cam cover off. Camshaft, timing, cranking compression, ports by borescope against the Head Register, restrictor, calibration. Any top-five championship Automobile, after the last race of a meeting, at the Eligibility Officer’s discretion. Cam cover gasket supplied by SMC.</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Tier 3 – head off. Compression ratio, gasket, valves, seats, bore. The championship winner’s Automobile, within 14 days of the final round, at a nominated workshop, funded by SMC. The championship is not declared until cleared.</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ECU logs may be collected from any Automobile and compared across the field.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Non-compliance forfeits all points from the meeting, or from the season if found at the season inspection. Refusal of inspection is non-compliance. A false statement to an Eligibility Officer or scrutineer is a conduct matter.</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Protests per the NCR. Fees per Appendix 1. On an upheld protest the fee is returned and the protested Competitor bears the inspection cost. On a dismissed protest the fee passes to the protested Competitor and the protester bears the inspection cost. Club inspection is free to a compliant Competitor.</w:t>
      </w:r>
    </w:p>
    <w:p>
      <w:pPr>
        <w:tabs>
          <w:tab w:val="left" w:pos="1240"/>
        </w:tabs>
        <w:spacing w:after="70"/>
        <w:ind w:left="1240" w:hanging="620"/>
        <w:jc w:val="both"/>
      </w:pPr>
      <w:r>
        <w:rPr>
          <w:rFonts w:ascii="Arial" w:cs="Arial" w:eastAsia="Arial" w:hAnsi="Arial"/>
          <w:sz w:val="18"/>
          <w:szCs w:val="18"/>
        </w:rPr>
        <w:t xml:space="preserve">(g)</w:t>
      </w:r>
      <w:r>
        <w:rPr>
          <w:rFonts w:ascii="Arial" w:cs="Arial" w:eastAsia="Arial" w:hAnsi="Arial"/>
          <w:sz w:val="18"/>
          <w:szCs w:val="18"/>
        </w:rPr>
        <w:t xml:space="preserve">	Non-compliance is determined by the Stewards on the Eligibility Officer’s recommendation. The Motorsport Australia appeal path applies.</w:t>
      </w:r>
    </w:p>
    <w:p>
      <w:pPr>
        <w:tabs>
          <w:tab w:val="left" w:pos="1240"/>
        </w:tabs>
        <w:spacing w:after="70"/>
        <w:ind w:left="1240" w:hanging="620"/>
        <w:jc w:val="both"/>
      </w:pPr>
      <w:r>
        <w:rPr>
          <w:rFonts w:ascii="Arial" w:cs="Arial" w:eastAsia="Arial" w:hAnsi="Arial"/>
          <w:sz w:val="18"/>
          <w:szCs w:val="18"/>
        </w:rPr>
        <w:t xml:space="preserve">(h)</w:t>
      </w:r>
      <w:r>
        <w:rPr>
          <w:rFonts w:ascii="Arial" w:cs="Arial" w:eastAsia="Arial" w:hAnsi="Arial"/>
          <w:sz w:val="18"/>
          <w:szCs w:val="18"/>
        </w:rPr>
        <w:t xml:space="preserve">	No parity, handicap, success ballast or performance adjustment applies.</w:t>
      </w:r>
    </w:p>
    <w:p>
      <w:pPr>
        <w:keepNext/>
        <w:tabs>
          <w:tab w:val="left" w:pos="720"/>
        </w:tabs>
        <w:spacing w:after="140" w:before="320"/>
      </w:pPr>
      <w:r>
        <w:rPr>
          <w:rFonts w:ascii="Arial" w:cs="Arial" w:eastAsia="Arial" w:hAnsi="Arial"/>
          <w:b/>
          <w:bCs/>
          <w:color w:val="FF4D00"/>
          <w:sz w:val="21"/>
          <w:szCs w:val="21"/>
        </w:rPr>
        <w:t xml:space="preserve">20.</w:t>
      </w:r>
      <w:r>
        <w:rPr>
          <w:rFonts w:ascii="Arial" w:cs="Arial" w:eastAsia="Arial" w:hAnsi="Arial"/>
          <w:b/>
          <w:bCs/>
          <w:color w:val="FF4D00"/>
          <w:sz w:val="21"/>
          <w:szCs w:val="21"/>
        </w:rPr>
        <w:t xml:space="preserve">	INVITED AUTOMOBILES</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Group 3D Sport Sedan Automobiles based on a BMW Mini may be invited to compete in SuperMini Challenge races as stated in the Supplementary Regulations for an Event. They comply with Group 3D regulations, are classified separately and do not score SuperMini Challenge points.</w:t>
      </w:r>
    </w:p>
    <w:p>
      <w:r>
        <w:br w:type="page"/>
      </w:r>
    </w:p>
    <w:p>
      <w:pPr>
        <w:keepNext/>
        <w:tabs>
          <w:tab w:val="left" w:pos="720"/>
        </w:tabs>
        <w:spacing w:after="140" w:before="320"/>
      </w:pPr>
      <w:r>
        <w:rPr>
          <w:rFonts w:ascii="Arial" w:cs="Arial" w:eastAsia="Arial" w:hAnsi="Arial"/>
          <w:b/>
          <w:bCs/>
          <w:color w:val="FF4D00"/>
          <w:sz w:val="21"/>
          <w:szCs w:val="21"/>
        </w:rPr>
        <w:t xml:space="preserve">APPENDIX 1 – DIMENSIONS, LIMITS AND FEES</w:t>
      </w:r>
    </w:p>
    <w:p>
      <w:pPr>
        <w:spacing w:after="80"/>
        <w:ind w:left="620"/>
        <w:jc w:val="both"/>
      </w:pPr>
      <w:r>
        <w:rPr>
          <w:rFonts w:ascii="Arial" w:cs="Arial" w:eastAsia="Arial" w:hAnsi="Arial"/>
          <w:i/>
          <w:iCs/>
          <w:sz w:val="18"/>
          <w:szCs w:val="18"/>
        </w:rPr>
        <w:t xml:space="preserve">Figures marked [ ] are to be set from measurement of a W11B16 engine and a dyno session before publication. Figures carried from the 2026 appendix that were derived from Group 3E have been removed.</w:t>
      </w: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4000"/>
        <w:gridCol w:w="3400"/>
        <w:gridCol w:w="2000"/>
      </w:tblGrid>
      <w:tr>
        <w:trPr>
          <w:tblHeader/>
        </w:trPr>
        <w:tc>
          <w:tcPr>
            <w:tcW w:type="dxa" w:w="4000"/>
            <w:shd w:fill="F1F1F1" w:color="auto" w:val="clear"/>
            <w:tcMar>
              <w:top w:type="dxa" w:w="70"/>
              <w:left w:type="dxa" w:w="110"/>
              <w:bottom w:type="dxa" w:w="70"/>
              <w:right w:type="dxa" w:w="110"/>
            </w:tcMar>
          </w:tcPr>
          <w:p>
            <w:r>
              <w:rPr>
                <w:rFonts w:ascii="Arial" w:cs="Arial" w:eastAsia="Arial" w:hAnsi="Arial"/>
                <w:b/>
                <w:bCs/>
                <w:sz w:val="14"/>
                <w:szCs w:val="14"/>
              </w:rPr>
              <w:t xml:space="preserve">Item</w:t>
            </w:r>
          </w:p>
        </w:tc>
        <w:tc>
          <w:tcPr>
            <w:tcW w:type="dxa" w:w="3400"/>
            <w:shd w:fill="F1F1F1" w:color="auto" w:val="clear"/>
            <w:tcMar>
              <w:top w:type="dxa" w:w="70"/>
              <w:left w:type="dxa" w:w="110"/>
              <w:bottom w:type="dxa" w:w="70"/>
              <w:right w:type="dxa" w:w="110"/>
            </w:tcMar>
          </w:tcPr>
          <w:p>
            <w:r>
              <w:rPr>
                <w:rFonts w:ascii="Arial" w:cs="Arial" w:eastAsia="Arial" w:hAnsi="Arial"/>
                <w:b/>
                <w:bCs/>
                <w:sz w:val="14"/>
                <w:szCs w:val="14"/>
              </w:rPr>
              <w:t xml:space="preserve">Figure</w:t>
            </w:r>
          </w:p>
        </w:tc>
        <w:tc>
          <w:tcPr>
            <w:tcW w:type="dxa" w:w="2000"/>
            <w:shd w:fill="F1F1F1" w:color="auto" w:val="clear"/>
            <w:tcMar>
              <w:top w:type="dxa" w:w="70"/>
              <w:left w:type="dxa" w:w="110"/>
              <w:bottom w:type="dxa" w:w="70"/>
              <w:right w:type="dxa" w:w="110"/>
            </w:tcMar>
          </w:tcPr>
          <w:p>
            <w:r>
              <w:rPr>
                <w:rFonts w:ascii="Arial" w:cs="Arial" w:eastAsia="Arial" w:hAnsi="Arial"/>
                <w:b/>
                <w:bCs/>
                <w:sz w:val="14"/>
                <w:szCs w:val="14"/>
              </w:rPr>
              <w:t xml:space="preserve">Checked at</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Cylinder bore, standard</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77.0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Reference</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Cylinder bore,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78.0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Stroke</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85.8 mm, standard</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Compression ratio,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8.5:1</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Cylinder head gasket, compressed thickness</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 control item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Cylinder head height, minimum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3</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Total supercharger overdrive,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17%</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Manifold pressure, maximum above ambient</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kPa</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ECU log</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Control restrictor, internal diameter</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 minimum length 3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pin gauge</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Rev limit</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7,000 rpm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 calibration</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Wheels,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17 x 7.5</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Track,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1750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Camber, maximum negative</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4.0 degrees</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Ride height, minimum with driver</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 ]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Anti-roll bar diameter, front,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22.0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Anti-roll bar diameter, rear, maximum</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18.0 mm</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Minimum racing weight with driver</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1,225 kg</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Tyre allocation per round</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4 new (8 at first round of season)</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Tier 1</w:t>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Protest fee, Tier 1</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$[300]</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Protest fee, Tier 2</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$[750]</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
            </w:r>
          </w:p>
        </w:tc>
      </w:tr>
      <w:tr>
        <w:trPr>
          <w:tblHeader w:val="false"/>
        </w:trPr>
        <w:tc>
          <w:tcPr>
            <w:tcW w:type="dxa" w:w="4000"/>
            <w:tcMar>
              <w:top w:type="dxa" w:w="70"/>
              <w:left w:type="dxa" w:w="110"/>
              <w:bottom w:type="dxa" w:w="70"/>
              <w:right w:type="dxa" w:w="110"/>
            </w:tcMar>
          </w:tcPr>
          <w:p>
            <w:r>
              <w:rPr>
                <w:rFonts w:ascii="Arial" w:cs="Arial" w:eastAsia="Arial" w:hAnsi="Arial"/>
                <w:b w:val="false"/>
                <w:bCs w:val="false"/>
                <w:sz w:val="15"/>
                <w:szCs w:val="15"/>
              </w:rPr>
              <w:t xml:space="preserve">Protest fee, Tier 3</w:t>
            </w:r>
          </w:p>
        </w:tc>
        <w:tc>
          <w:tcPr>
            <w:tcW w:type="dxa" w:w="3400"/>
            <w:tcMar>
              <w:top w:type="dxa" w:w="70"/>
              <w:left w:type="dxa" w:w="110"/>
              <w:bottom w:type="dxa" w:w="70"/>
              <w:right w:type="dxa" w:w="110"/>
            </w:tcMar>
          </w:tcPr>
          <w:p>
            <w:r>
              <w:rPr>
                <w:rFonts w:ascii="Arial" w:cs="Arial" w:eastAsia="Arial" w:hAnsi="Arial"/>
                <w:b w:val="false"/>
                <w:bCs w:val="false"/>
                <w:sz w:val="15"/>
                <w:szCs w:val="15"/>
              </w:rPr>
              <w:t xml:space="preserve">$[2,500]</w:t>
            </w:r>
          </w:p>
        </w:tc>
        <w:tc>
          <w:tcPr>
            <w:tcW w:type="dxa" w:w="2000"/>
            <w:tcMar>
              <w:top w:type="dxa" w:w="70"/>
              <w:left w:type="dxa" w:w="110"/>
              <w:bottom w:type="dxa" w:w="70"/>
              <w:right w:type="dxa" w:w="110"/>
            </w:tcMar>
          </w:tcPr>
          <w:p>
            <w:r>
              <w:rPr>
                <w:rFonts w:ascii="Arial" w:cs="Arial" w:eastAsia="Arial" w:hAnsi="Arial"/>
                <w:b w:val="false"/>
                <w:bCs w:val="false"/>
                <w:sz w:val="15"/>
                <w:szCs w:val="15"/>
              </w:rPr>
              <w:t xml:space="preserve"/>
            </w:r>
          </w:p>
        </w:tc>
      </w:tr>
    </w:tbl>
    <w:p>
      <w:pPr>
        <w:spacing w:after="120"/>
      </w:pPr>
    </w:p>
    <w:p>
      <w:pPr>
        <w:keepNext/>
        <w:tabs>
          <w:tab w:val="left" w:pos="720"/>
        </w:tabs>
        <w:spacing w:after="140" w:before="320"/>
      </w:pPr>
      <w:r>
        <w:rPr>
          <w:rFonts w:ascii="Arial" w:cs="Arial" w:eastAsia="Arial" w:hAnsi="Arial"/>
          <w:b/>
          <w:bCs/>
          <w:color w:val="FF4D00"/>
          <w:sz w:val="21"/>
          <w:szCs w:val="21"/>
        </w:rPr>
        <w:t xml:space="preserve">APPENDIX 2 – RESERVED</w:t>
      </w:r>
    </w:p>
    <w:p>
      <w:pPr>
        <w:spacing w:after="80"/>
        <w:ind w:left="620"/>
        <w:jc w:val="both"/>
      </w:pPr>
      <w:r>
        <w:rPr>
          <w:rFonts w:ascii="Arial" w:cs="Arial" w:eastAsia="Arial" w:hAnsi="Arial"/>
          <w:sz w:val="18"/>
          <w:szCs w:val="18"/>
        </w:rPr>
        <w:t xml:space="preserve">Not used.</w:t>
      </w:r>
    </w:p>
    <w:p>
      <w:pPr>
        <w:keepNext/>
        <w:tabs>
          <w:tab w:val="left" w:pos="720"/>
        </w:tabs>
        <w:spacing w:after="140" w:before="320"/>
      </w:pPr>
      <w:r>
        <w:rPr>
          <w:rFonts w:ascii="Arial" w:cs="Arial" w:eastAsia="Arial" w:hAnsi="Arial"/>
          <w:b/>
          <w:bCs/>
          <w:color w:val="FF4D00"/>
          <w:sz w:val="21"/>
          <w:szCs w:val="21"/>
        </w:rPr>
        <w:t xml:space="preserve">APPENDIX 3 – CONTROL ITEMS</w:t>
      </w:r>
    </w:p>
    <w:p>
      <w:pPr>
        <w:spacing w:after="80"/>
        <w:ind w:left="620"/>
        <w:jc w:val="both"/>
      </w:pPr>
      <w:r>
        <w:rPr>
          <w:rFonts w:ascii="Arial" w:cs="Arial" w:eastAsia="Arial" w:hAnsi="Arial"/>
          <w:sz w:val="18"/>
          <w:szCs w:val="18"/>
        </w:rPr>
        <w:t xml:space="preserve">Part numbers, suppliers and current prices are published in the 3X SuperMini Challenge Technical Guide.</w:t>
      </w:r>
    </w:p>
    <w:tbl>
      <w:tblPr>
        <w:tblW w:type="dxa" w:w="9400"/>
        <w:tblInd w:type="dxa" w:w="62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200"/>
        <w:gridCol w:w="3900"/>
        <w:gridCol w:w="1700"/>
      </w:tblGrid>
      <w:tr>
        <w:trPr>
          <w:tblHeader/>
        </w:trPr>
        <w:tc>
          <w:tcPr>
            <w:tcW w:type="dxa" w:w="2600"/>
            <w:shd w:fill="F1F1F1" w:color="auto" w:val="clear"/>
            <w:tcMar>
              <w:top w:type="dxa" w:w="70"/>
              <w:left w:type="dxa" w:w="110"/>
              <w:bottom w:type="dxa" w:w="70"/>
              <w:right w:type="dxa" w:w="110"/>
            </w:tcMar>
          </w:tcPr>
          <w:p>
            <w:r>
              <w:rPr>
                <w:rFonts w:ascii="Arial" w:cs="Arial" w:eastAsia="Arial" w:hAnsi="Arial"/>
                <w:b/>
                <w:bCs/>
                <w:sz w:val="14"/>
                <w:szCs w:val="14"/>
              </w:rPr>
              <w:t xml:space="preserve">Control item</w:t>
            </w:r>
          </w:p>
        </w:tc>
        <w:tc>
          <w:tcPr>
            <w:tcW w:type="dxa" w:w="1200"/>
            <w:shd w:fill="F1F1F1" w:color="auto" w:val="clear"/>
            <w:tcMar>
              <w:top w:type="dxa" w:w="70"/>
              <w:left w:type="dxa" w:w="110"/>
              <w:bottom w:type="dxa" w:w="70"/>
              <w:right w:type="dxa" w:w="110"/>
            </w:tcMar>
          </w:tcPr>
          <w:p>
            <w:r>
              <w:rPr>
                <w:rFonts w:ascii="Arial" w:cs="Arial" w:eastAsia="Arial" w:hAnsi="Arial"/>
                <w:b/>
                <w:bCs/>
                <w:sz w:val="14"/>
                <w:szCs w:val="14"/>
              </w:rPr>
              <w:t xml:space="preserve">Article</w:t>
            </w:r>
          </w:p>
        </w:tc>
        <w:tc>
          <w:tcPr>
            <w:tcW w:type="dxa" w:w="3900"/>
            <w:shd w:fill="F1F1F1" w:color="auto" w:val="clear"/>
            <w:tcMar>
              <w:top w:type="dxa" w:w="70"/>
              <w:left w:type="dxa" w:w="110"/>
              <w:bottom w:type="dxa" w:w="70"/>
              <w:right w:type="dxa" w:w="110"/>
            </w:tcMar>
          </w:tcPr>
          <w:p>
            <w:r>
              <w:rPr>
                <w:rFonts w:ascii="Arial" w:cs="Arial" w:eastAsia="Arial" w:hAnsi="Arial"/>
                <w:b/>
                <w:bCs/>
                <w:sz w:val="14"/>
                <w:szCs w:val="14"/>
              </w:rPr>
              <w:t xml:space="preserve">Nominated item</w:t>
            </w:r>
          </w:p>
        </w:tc>
        <w:tc>
          <w:tcPr>
            <w:tcW w:type="dxa" w:w="1700"/>
            <w:shd w:fill="F1F1F1" w:color="auto" w:val="clear"/>
            <w:tcMar>
              <w:top w:type="dxa" w:w="70"/>
              <w:left w:type="dxa" w:w="110"/>
              <w:bottom w:type="dxa" w:w="70"/>
              <w:right w:type="dxa" w:w="110"/>
            </w:tcMar>
          </w:tcPr>
          <w:p>
            <w:r>
              <w:rPr>
                <w:rFonts w:ascii="Arial" w:cs="Arial" w:eastAsia="Arial" w:hAnsi="Arial"/>
                <w:b/>
                <w:bCs/>
                <w:sz w:val="14"/>
                <w:szCs w:val="14"/>
              </w:rPr>
              <w:t xml:space="preserve">Effective</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Camshaft</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7.3(a)</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Cylinder head gasket</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7.3(c)</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Inlet restrictor plate</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7.5(g)</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Fuel sampling fitting</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8(b)</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[type and coupling]</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Fuel pump</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8(d)</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[to be nominated, list]</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Fuel injector</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8(e)</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[to be nominated]</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Tyre</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11(b)</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RubberCraft SP-01R 225/45R17</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Current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Damper package</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14(a)</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[to be nominated in the 2027 edition]</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01/01/2028</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ECU</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15.1(a)</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Link G4X Plugin 209-4000</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Current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Control tune</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15.1(b)</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[SMC calibration, one file per nominated injector]</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r>
        <w:trPr>
          <w:tblHeader w:val="false"/>
        </w:trPr>
        <w:tc>
          <w:tcPr>
            <w:tcW w:type="dxa" w:w="2600"/>
            <w:tcMar>
              <w:top w:type="dxa" w:w="70"/>
              <w:left w:type="dxa" w:w="110"/>
              <w:bottom w:type="dxa" w:w="70"/>
              <w:right w:type="dxa" w:w="110"/>
            </w:tcMar>
          </w:tcPr>
          <w:p>
            <w:r>
              <w:rPr>
                <w:rFonts w:ascii="Arial" w:cs="Arial" w:eastAsia="Arial" w:hAnsi="Arial"/>
                <w:b w:val="false"/>
                <w:bCs w:val="false"/>
                <w:sz w:val="15"/>
                <w:szCs w:val="15"/>
              </w:rPr>
              <w:t xml:space="preserve">MAP, air temperature and lambda sensors</w:t>
            </w:r>
          </w:p>
        </w:tc>
        <w:tc>
          <w:tcPr>
            <w:tcW w:type="dxa" w:w="1200"/>
            <w:tcMar>
              <w:top w:type="dxa" w:w="70"/>
              <w:left w:type="dxa" w:w="110"/>
              <w:bottom w:type="dxa" w:w="70"/>
              <w:right w:type="dxa" w:w="110"/>
            </w:tcMar>
          </w:tcPr>
          <w:p>
            <w:r>
              <w:rPr>
                <w:rFonts w:ascii="Arial" w:cs="Arial" w:eastAsia="Arial" w:hAnsi="Arial"/>
                <w:b w:val="false"/>
                <w:bCs w:val="false"/>
                <w:sz w:val="15"/>
                <w:szCs w:val="15"/>
              </w:rPr>
              <w:t xml:space="preserve">15.1(d)</w:t>
            </w:r>
          </w:p>
        </w:tc>
        <w:tc>
          <w:tcPr>
            <w:tcW w:type="dxa" w:w="3900"/>
            <w:tcMar>
              <w:top w:type="dxa" w:w="70"/>
              <w:left w:type="dxa" w:w="110"/>
              <w:bottom w:type="dxa" w:w="70"/>
              <w:right w:type="dxa" w:w="110"/>
            </w:tcMar>
          </w:tcPr>
          <w:p>
            <w:r>
              <w:rPr>
                <w:rFonts w:ascii="Arial" w:cs="Arial" w:eastAsia="Arial" w:hAnsi="Arial"/>
                <w:b w:val="false"/>
                <w:bCs w:val="false"/>
                <w:sz w:val="15"/>
                <w:szCs w:val="15"/>
              </w:rPr>
              <w:t xml:space="preserve">[specification]</w:t>
            </w:r>
          </w:p>
        </w:tc>
        <w:tc>
          <w:tcPr>
            <w:tcW w:type="dxa" w:w="1700"/>
            <w:tcMar>
              <w:top w:type="dxa" w:w="70"/>
              <w:left w:type="dxa" w:w="110"/>
              <w:bottom w:type="dxa" w:w="70"/>
              <w:right w:type="dxa" w:w="110"/>
            </w:tcMar>
          </w:tcPr>
          <w:p>
            <w:r>
              <w:rPr>
                <w:rFonts w:ascii="Arial" w:cs="Arial" w:eastAsia="Arial" w:hAnsi="Arial"/>
                <w:b w:val="false"/>
                <w:bCs w:val="false"/>
                <w:sz w:val="15"/>
                <w:szCs w:val="15"/>
              </w:rPr>
              <w:t xml:space="preserve">[commencement]</w:t>
            </w:r>
          </w:p>
        </w:tc>
      </w:tr>
    </w:tbl>
    <w:p>
      <w:pPr>
        <w:spacing w:after="120"/>
      </w:pPr>
    </w:p>
    <w:p>
      <w:pPr>
        <w:keepNext/>
        <w:tabs>
          <w:tab w:val="left" w:pos="720"/>
        </w:tabs>
        <w:spacing w:after="140" w:before="320"/>
      </w:pPr>
      <w:r>
        <w:rPr>
          <w:rFonts w:ascii="Arial" w:cs="Arial" w:eastAsia="Arial" w:hAnsi="Arial"/>
          <w:b/>
          <w:bCs/>
          <w:color w:val="FF4D00"/>
          <w:sz w:val="21"/>
          <w:szCs w:val="21"/>
        </w:rPr>
        <w:t xml:space="preserve">APPENDIX 4 – BRAKE CIRCUIT</w:t>
      </w:r>
    </w:p>
    <w:p>
      <w:pPr>
        <w:spacing w:after="80"/>
        <w:ind w:left="620"/>
        <w:jc w:val="both"/>
      </w:pPr>
      <w:r>
        <w:rPr>
          <w:rFonts w:ascii="Arial" w:cs="Arial" w:eastAsia="Arial" w:hAnsi="Arial"/>
          <w:sz w:val="18"/>
          <w:szCs w:val="18"/>
        </w:rPr>
        <w:t xml:space="preserve">Photographs as per the 2026 appendix.</w:t>
      </w:r>
    </w:p>
    <w:p>
      <w:pPr>
        <w:keepNext/>
        <w:tabs>
          <w:tab w:val="left" w:pos="720"/>
        </w:tabs>
        <w:spacing w:after="140" w:before="320"/>
      </w:pPr>
      <w:r>
        <w:rPr>
          <w:rFonts w:ascii="Arial" w:cs="Arial" w:eastAsia="Arial" w:hAnsi="Arial"/>
          <w:b/>
          <w:bCs/>
          <w:color w:val="FF4D00"/>
          <w:sz w:val="21"/>
          <w:szCs w:val="21"/>
        </w:rPr>
        <w:t xml:space="preserve">APPENDIX 5 – DELETED</w:t>
      </w:r>
    </w:p>
    <w:p>
      <w:pPr>
        <w:spacing w:after="80"/>
        <w:ind w:left="620"/>
        <w:jc w:val="both"/>
      </w:pPr>
      <w:r>
        <w:rPr>
          <w:rFonts w:ascii="Arial" w:cs="Arial" w:eastAsia="Arial" w:hAnsi="Arial"/>
          <w:sz w:val="18"/>
          <w:szCs w:val="18"/>
        </w:rPr>
        <w:t xml:space="preserve">Component sealing is not used. The approved sealers list is withdrawn.</w:t>
      </w:r>
    </w:p>
    <w:p>
      <w:pPr>
        <w:keepNext/>
        <w:tabs>
          <w:tab w:val="left" w:pos="720"/>
        </w:tabs>
        <w:spacing w:after="140" w:before="320"/>
      </w:pPr>
      <w:r>
        <w:rPr>
          <w:rFonts w:ascii="Arial" w:cs="Arial" w:eastAsia="Arial" w:hAnsi="Arial"/>
          <w:b/>
          <w:bCs/>
          <w:color w:val="FF4D00"/>
          <w:sz w:val="21"/>
          <w:szCs w:val="21"/>
        </w:rPr>
        <w:t xml:space="preserve">APPENDIX 6 – CHASSIS STRENGTHENING</w:t>
      </w:r>
    </w:p>
    <w:p>
      <w:pPr>
        <w:spacing w:after="80"/>
        <w:ind w:left="620"/>
        <w:jc w:val="both"/>
      </w:pPr>
      <w:r>
        <w:rPr>
          <w:rFonts w:ascii="Arial" w:cs="Arial" w:eastAsia="Arial" w:hAnsi="Arial"/>
          <w:sz w:val="18"/>
          <w:szCs w:val="18"/>
        </w:rPr>
        <w:t xml:space="preserve">Diagram as per the 2026 appendix.</w:t>
      </w:r>
    </w:p>
    <w:p>
      <w:pPr>
        <w:keepNext/>
        <w:tabs>
          <w:tab w:val="left" w:pos="720"/>
        </w:tabs>
        <w:spacing w:after="140" w:before="320"/>
      </w:pPr>
      <w:r>
        <w:rPr>
          <w:rFonts w:ascii="Arial" w:cs="Arial" w:eastAsia="Arial" w:hAnsi="Arial"/>
          <w:b/>
          <w:bCs/>
          <w:color w:val="FF4D00"/>
          <w:sz w:val="21"/>
          <w:szCs w:val="21"/>
        </w:rPr>
        <w:t xml:space="preserve">APPENDIX 7 – ENGINE BEARING CAP</w:t>
      </w:r>
    </w:p>
    <w:p>
      <w:pPr>
        <w:spacing w:after="80"/>
        <w:ind w:left="620"/>
        <w:jc w:val="both"/>
      </w:pPr>
      <w:r>
        <w:rPr>
          <w:rFonts w:ascii="Arial" w:cs="Arial" w:eastAsia="Arial" w:hAnsi="Arial"/>
          <w:sz w:val="18"/>
          <w:szCs w:val="18"/>
        </w:rPr>
        <w:t xml:space="preserve">Centre main bearing cap strengthening plate. Diagram as per the 2026 appendix.</w:t>
      </w:r>
    </w:p>
    <w:p>
      <w:pPr>
        <w:keepNext/>
        <w:tabs>
          <w:tab w:val="left" w:pos="720"/>
        </w:tabs>
        <w:spacing w:after="140" w:before="320"/>
      </w:pPr>
      <w:r>
        <w:rPr>
          <w:rFonts w:ascii="Arial" w:cs="Arial" w:eastAsia="Arial" w:hAnsi="Arial"/>
          <w:b/>
          <w:bCs/>
          <w:color w:val="FF4D00"/>
          <w:sz w:val="21"/>
          <w:szCs w:val="21"/>
        </w:rPr>
        <w:t xml:space="preserve">APPENDIX 8 – KNEE GUARD</w:t>
      </w:r>
    </w:p>
    <w:p>
      <w:pPr>
        <w:spacing w:after="80"/>
        <w:ind w:left="620"/>
        <w:jc w:val="both"/>
      </w:pPr>
      <w:r>
        <w:rPr>
          <w:rFonts w:ascii="Arial" w:cs="Arial" w:eastAsia="Arial" w:hAnsi="Arial"/>
          <w:sz w:val="18"/>
          <w:szCs w:val="18"/>
        </w:rPr>
        <w:t xml:space="preserve">Maximum 220 mm high and 600 mm long. Diagram as per the 2026 appendix.</w:t>
      </w:r>
    </w:p>
    <w:p>
      <w:pPr>
        <w:keepNext/>
        <w:tabs>
          <w:tab w:val="left" w:pos="720"/>
        </w:tabs>
        <w:spacing w:after="140" w:before="320"/>
      </w:pPr>
      <w:r>
        <w:rPr>
          <w:rFonts w:ascii="Arial" w:cs="Arial" w:eastAsia="Arial" w:hAnsi="Arial"/>
          <w:b/>
          <w:bCs/>
          <w:color w:val="FF4D00"/>
          <w:sz w:val="21"/>
          <w:szCs w:val="21"/>
        </w:rPr>
        <w:t xml:space="preserve">APPENDIX 9 – DELETED</w:t>
      </w:r>
    </w:p>
    <w:p>
      <w:pPr>
        <w:spacing w:after="80"/>
        <w:ind w:left="620"/>
        <w:jc w:val="both"/>
      </w:pPr>
      <w:r>
        <w:rPr>
          <w:rFonts w:ascii="Arial" w:cs="Arial" w:eastAsia="Arial" w:hAnsi="Arial"/>
          <w:sz w:val="18"/>
          <w:szCs w:val="18"/>
        </w:rPr>
        <w:t xml:space="preserve">Valve throat machining limits no longer apply. See Article 7.3 and Appendix 11.</w:t>
      </w:r>
    </w:p>
    <w:p>
      <w:pPr>
        <w:keepNext/>
        <w:tabs>
          <w:tab w:val="left" w:pos="720"/>
        </w:tabs>
        <w:spacing w:after="140" w:before="320"/>
      </w:pPr>
      <w:r>
        <w:rPr>
          <w:rFonts w:ascii="Arial" w:cs="Arial" w:eastAsia="Arial" w:hAnsi="Arial"/>
          <w:b/>
          <w:bCs/>
          <w:color w:val="FF4D00"/>
          <w:sz w:val="21"/>
          <w:szCs w:val="21"/>
        </w:rPr>
        <w:t xml:space="preserve">APPENDIX 10 – REAR BUMPER LOWER MOUNTING POINT</w:t>
      </w:r>
    </w:p>
    <w:p>
      <w:pPr>
        <w:spacing w:after="80"/>
        <w:ind w:left="620"/>
        <w:jc w:val="both"/>
      </w:pPr>
      <w:r>
        <w:rPr>
          <w:rFonts w:ascii="Arial" w:cs="Arial" w:eastAsia="Arial" w:hAnsi="Arial"/>
          <w:sz w:val="18"/>
          <w:szCs w:val="18"/>
        </w:rPr>
        <w:t xml:space="preserve">Diagram as per the 2026 appendix.</w:t>
      </w:r>
    </w:p>
    <w:p>
      <w:pPr>
        <w:keepNext/>
        <w:tabs>
          <w:tab w:val="left" w:pos="720"/>
        </w:tabs>
        <w:spacing w:after="140" w:before="320"/>
      </w:pPr>
      <w:r>
        <w:rPr>
          <w:rFonts w:ascii="Arial" w:cs="Arial" w:eastAsia="Arial" w:hAnsi="Arial"/>
          <w:b/>
          <w:bCs/>
          <w:color w:val="FF4D00"/>
          <w:sz w:val="21"/>
          <w:szCs w:val="21"/>
        </w:rPr>
        <w:t xml:space="preserve">APPENDIX 11 – HEAD REGISTER</w:t>
      </w:r>
    </w:p>
    <w:p>
      <w:pPr>
        <w:tabs>
          <w:tab w:val="left" w:pos="1240"/>
        </w:tabs>
        <w:spacing w:after="70"/>
        <w:ind w:left="1240" w:hanging="620"/>
        <w:jc w:val="both"/>
      </w:pPr>
      <w:r>
        <w:rPr>
          <w:rFonts w:ascii="Arial" w:cs="Arial" w:eastAsia="Arial" w:hAnsi="Arial"/>
          <w:sz w:val="18"/>
          <w:szCs w:val="18"/>
        </w:rPr>
        <w:t xml:space="preserve">(a)</w:t>
      </w:r>
      <w:r>
        <w:rPr>
          <w:rFonts w:ascii="Arial" w:cs="Arial" w:eastAsia="Arial" w:hAnsi="Arial"/>
          <w:sz w:val="18"/>
          <w:szCs w:val="18"/>
        </w:rPr>
        <w:t xml:space="preserve">	The Head Register is maintained by the SMC registrar and published to all members.</w:t>
      </w:r>
    </w:p>
    <w:p>
      <w:pPr>
        <w:tabs>
          <w:tab w:val="left" w:pos="1240"/>
        </w:tabs>
        <w:spacing w:after="70"/>
        <w:ind w:left="1240" w:hanging="620"/>
        <w:jc w:val="both"/>
      </w:pPr>
      <w:r>
        <w:rPr>
          <w:rFonts w:ascii="Arial" w:cs="Arial" w:eastAsia="Arial" w:hAnsi="Arial"/>
          <w:sz w:val="18"/>
          <w:szCs w:val="18"/>
        </w:rPr>
        <w:t xml:space="preserve">(b)</w:t>
      </w:r>
      <w:r>
        <w:rPr>
          <w:rFonts w:ascii="Arial" w:cs="Arial" w:eastAsia="Arial" w:hAnsi="Arial"/>
          <w:sz w:val="18"/>
          <w:szCs w:val="18"/>
        </w:rPr>
        <w:t xml:space="preserve">	A cylinder head may be entered in the Register if it is:</w:t>
      </w:r>
    </w:p>
    <w:p>
      <w:pPr>
        <w:tabs>
          <w:tab w:val="left" w:pos="1860"/>
        </w:tabs>
        <w:spacing w:after="70"/>
        <w:ind w:left="1860" w:hanging="620"/>
        <w:jc w:val="both"/>
      </w:pPr>
      <w:r>
        <w:rPr>
          <w:rFonts w:ascii="Arial" w:cs="Arial" w:eastAsia="Arial" w:hAnsi="Arial"/>
          <w:sz w:val="18"/>
          <w:szCs w:val="18"/>
        </w:rPr>
        <w:t xml:space="preserve">(i)</w:t>
      </w:r>
      <w:r>
        <w:rPr>
          <w:rFonts w:ascii="Arial" w:cs="Arial" w:eastAsia="Arial" w:hAnsi="Arial"/>
          <w:sz w:val="18"/>
          <w:szCs w:val="18"/>
        </w:rPr>
        <w:t xml:space="preserve">	an unmodified standard casting;</w:t>
      </w:r>
    </w:p>
    <w:p>
      <w:pPr>
        <w:tabs>
          <w:tab w:val="left" w:pos="1860"/>
        </w:tabs>
        <w:spacing w:after="70"/>
        <w:ind w:left="1860" w:hanging="620"/>
        <w:jc w:val="both"/>
      </w:pPr>
      <w:r>
        <w:rPr>
          <w:rFonts w:ascii="Arial" w:cs="Arial" w:eastAsia="Arial" w:hAnsi="Arial"/>
          <w:sz w:val="18"/>
          <w:szCs w:val="18"/>
        </w:rPr>
        <w:t xml:space="preserve">(ii)</w:t>
      </w:r>
      <w:r>
        <w:rPr>
          <w:rFonts w:ascii="Arial" w:cs="Arial" w:eastAsia="Arial" w:hAnsi="Arial"/>
          <w:sz w:val="18"/>
          <w:szCs w:val="18"/>
        </w:rPr>
        <w:t xml:space="preserve">	a commercially available cylinder head with a published price; or</w:t>
      </w:r>
    </w:p>
    <w:p>
      <w:pPr>
        <w:tabs>
          <w:tab w:val="left" w:pos="1860"/>
        </w:tabs>
        <w:spacing w:after="70"/>
        <w:ind w:left="1860" w:hanging="620"/>
        <w:jc w:val="both"/>
      </w:pPr>
      <w:r>
        <w:rPr>
          <w:rFonts w:ascii="Arial" w:cs="Arial" w:eastAsia="Arial" w:hAnsi="Arial"/>
          <w:sz w:val="18"/>
          <w:szCs w:val="18"/>
        </w:rPr>
        <w:t xml:space="preserve">(iii)</w:t>
      </w:r>
      <w:r>
        <w:rPr>
          <w:rFonts w:ascii="Arial" w:cs="Arial" w:eastAsia="Arial" w:hAnsi="Arial"/>
          <w:sz w:val="18"/>
          <w:szCs w:val="18"/>
        </w:rPr>
        <w:t xml:space="preserve">	a specification of work on a standard casting, stating the work carried out, the valve, seat and guide specification, the supplier, and the price at which the supplier undertakes to supply the same head to any SMC member.</w:t>
      </w:r>
    </w:p>
    <w:p>
      <w:pPr>
        <w:tabs>
          <w:tab w:val="left" w:pos="1240"/>
        </w:tabs>
        <w:spacing w:after="70"/>
        <w:ind w:left="1240" w:hanging="620"/>
        <w:jc w:val="both"/>
      </w:pPr>
      <w:r>
        <w:rPr>
          <w:rFonts w:ascii="Arial" w:cs="Arial" w:eastAsia="Arial" w:hAnsi="Arial"/>
          <w:sz w:val="18"/>
          <w:szCs w:val="18"/>
        </w:rPr>
        <w:t xml:space="preserve">(c)</w:t>
      </w:r>
      <w:r>
        <w:rPr>
          <w:rFonts w:ascii="Arial" w:cs="Arial" w:eastAsia="Arial" w:hAnsi="Arial"/>
          <w:sz w:val="18"/>
          <w:szCs w:val="18"/>
        </w:rPr>
        <w:t xml:space="preserve">	An entry under (b)(iii) is published 28 days before the head first competes.</w:t>
      </w:r>
    </w:p>
    <w:p>
      <w:pPr>
        <w:tabs>
          <w:tab w:val="left" w:pos="1240"/>
        </w:tabs>
        <w:spacing w:after="70"/>
        <w:ind w:left="1240" w:hanging="620"/>
        <w:jc w:val="both"/>
      </w:pPr>
      <w:r>
        <w:rPr>
          <w:rFonts w:ascii="Arial" w:cs="Arial" w:eastAsia="Arial" w:hAnsi="Arial"/>
          <w:sz w:val="18"/>
          <w:szCs w:val="18"/>
        </w:rPr>
        <w:t xml:space="preserve">(d)</w:t>
      </w:r>
      <w:r>
        <w:rPr>
          <w:rFonts w:ascii="Arial" w:cs="Arial" w:eastAsia="Arial" w:hAnsi="Arial"/>
          <w:sz w:val="18"/>
          <w:szCs w:val="18"/>
        </w:rPr>
        <w:t xml:space="preserve">	A head fitted to an Automobile before [register closing date] may be entered under (b)(iii) without the supply undertaking, provided the entry is lodged by that date. The entry attaches to the head.</w:t>
      </w:r>
    </w:p>
    <w:p>
      <w:pPr>
        <w:tabs>
          <w:tab w:val="left" w:pos="1240"/>
        </w:tabs>
        <w:spacing w:after="70"/>
        <w:ind w:left="1240" w:hanging="620"/>
        <w:jc w:val="both"/>
      </w:pPr>
      <w:r>
        <w:rPr>
          <w:rFonts w:ascii="Arial" w:cs="Arial" w:eastAsia="Arial" w:hAnsi="Arial"/>
          <w:sz w:val="18"/>
          <w:szCs w:val="18"/>
        </w:rPr>
        <w:t xml:space="preserve">(e)</w:t>
      </w:r>
      <w:r>
        <w:rPr>
          <w:rFonts w:ascii="Arial" w:cs="Arial" w:eastAsia="Arial" w:hAnsi="Arial"/>
          <w:sz w:val="18"/>
          <w:szCs w:val="18"/>
        </w:rPr>
        <w:t xml:space="preserve">	A head must match its Register entry. An unregistered or non-matching head is non-compliance under Article 19.</w:t>
      </w:r>
    </w:p>
    <w:p>
      <w:pPr>
        <w:tabs>
          <w:tab w:val="left" w:pos="1240"/>
        </w:tabs>
        <w:spacing w:after="70"/>
        <w:ind w:left="1240" w:hanging="620"/>
        <w:jc w:val="both"/>
      </w:pPr>
      <w:r>
        <w:rPr>
          <w:rFonts w:ascii="Arial" w:cs="Arial" w:eastAsia="Arial" w:hAnsi="Arial"/>
          <w:sz w:val="18"/>
          <w:szCs w:val="18"/>
        </w:rPr>
        <w:t xml:space="preserve">(f)</w:t>
      </w:r>
      <w:r>
        <w:rPr>
          <w:rFonts w:ascii="Arial" w:cs="Arial" w:eastAsia="Arial" w:hAnsi="Arial"/>
          <w:sz w:val="18"/>
          <w:szCs w:val="18"/>
        </w:rPr>
        <w:t xml:space="preserve">	An entry may be struck from the Register where the supplier no longer supplies the head at the stated price.</w:t>
      </w:r>
    </w:p>
    <w:sectPr>
      <w:headerReference w:type="default" r:id="rId8"/>
      <w:footerReference w:type="default" r:id="rId9"/>
      <w:pgSz w:w="11906" w:h="16838" w:orient="portrait"/>
      <w:pgMar w:top="1000" w:right="907" w:bottom="90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5"/>
      </w:pBdr>
      <w:tabs>
        <w:tab w:val="right" w:pos="9700"/>
      </w:tabs>
      <w:spacing w:before="40"/>
    </w:pPr>
    <w:r>
      <w:rPr>
        <w:rFonts w:ascii="Arial" w:cs="Arial" w:eastAsia="Arial" w:hAnsi="Arial"/>
        <w:color w:val="FF4D00"/>
        <w:sz w:val="13"/>
        <w:szCs w:val="13"/>
      </w:rPr>
      <w:t xml:space="preserve">SuperMini Challenge Racing Appendix – 3rd Category – Group 3X – SuperMini Challenge</w:t>
    </w:r>
    <w:r>
      <w:rPr>
        <w:rFonts w:ascii="Arial" w:cs="Arial" w:eastAsia="Arial" w:hAnsi="Arial"/>
        <w:color w:val="FF4D00"/>
        <w:sz w:val="13"/>
        <w:szCs w:val="13"/>
      </w:rPr>
      <w:t xml:space="preserve">	2027 draft edition</w:t>
    </w:r>
  </w:p>
  <w:p>
    <w:pPr>
      <w:tabs>
        <w:tab w:val="right" w:pos="9700"/>
      </w:tabs>
    </w:pPr>
    <w:r>
      <w:rPr>
        <w:rFonts w:ascii="Arial" w:cs="Arial" w:eastAsia="Arial" w:hAnsi="Arial"/>
        <w:sz w:val="12"/>
        <w:szCs w:val="12"/>
      </w:rPr>
      <w:t xml:space="preserve">©Confederation of Australian Motor Sport Ltd trading as Motorsport Australia. All use subject to Conditions of Use at motorsport.org.au</w:t>
    </w:r>
    <w:r>
      <w:rPr>
        <w:rFonts w:ascii="Arial" w:cs="Arial" w:eastAsia="Arial" w:hAnsi="Arial"/>
        <w:sz w:val="12"/>
        <w:szCs w:val="12"/>
      </w:rPr>
      <w:t xml:space="preserve">	Page </w:t>
    </w:r>
    <w:r>
      <w:rPr>
        <w:rFonts w:ascii="Arial" w:cs="Arial" w:eastAsia="Arial" w:hAnsi="Arial"/>
        <w:sz w:val="12"/>
        <w:szCs w:val="12"/>
      </w:rPr>
      <w:fldChar w:fldCharType="begin"/>
      <w:instrText xml:space="preserve">PAGE</w:instrText>
      <w:fldChar w:fldCharType="separate"/>
      <w:fldChar w:fldCharType="end"/>
    </w:r>
    <w:r>
      <w:rPr>
        <w:rFonts w:ascii="Arial" w:cs="Arial" w:eastAsia="Arial" w:hAnsi="Arial"/>
        <w:sz w:val="12"/>
        <w:szCs w:val="12"/>
      </w:rPr>
      <w:t xml:space="preserve"> of </w:t>
    </w:r>
    <w:r>
      <w:rPr>
        <w:rFonts w:ascii="Arial" w:cs="Arial" w:eastAsia="Arial" w:hAnsi="Arial"/>
        <w:sz w:val="12"/>
        <w:szCs w:val="1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5"/>
      </w:pBdr>
      <w:tabs>
        <w:tab w:val="right" w:pos="9700"/>
      </w:tabs>
      <w:spacing w:before="40"/>
    </w:pPr>
    <w:r>
      <w:rPr>
        <w:rFonts w:ascii="Arial" w:cs="Arial" w:eastAsia="Arial" w:hAnsi="Arial"/>
        <w:color w:val="FF4D00"/>
        <w:sz w:val="13"/>
        <w:szCs w:val="13"/>
      </w:rPr>
      <w:t xml:space="preserve">SuperMini Challenge Racing Appendix – 3rd Category – Group 3X – SuperMini Challenge</w:t>
    </w:r>
    <w:r>
      <w:rPr>
        <w:rFonts w:ascii="Arial" w:cs="Arial" w:eastAsia="Arial" w:hAnsi="Arial"/>
        <w:color w:val="FF4D00"/>
        <w:sz w:val="13"/>
        <w:szCs w:val="13"/>
      </w:rPr>
      <w:t xml:space="preserve">	2027 draft edition</w:t>
    </w:r>
  </w:p>
  <w:p>
    <w:pPr>
      <w:tabs>
        <w:tab w:val="right" w:pos="9700"/>
      </w:tabs>
    </w:pPr>
    <w:r>
      <w:rPr>
        <w:rFonts w:ascii="Arial" w:cs="Arial" w:eastAsia="Arial" w:hAnsi="Arial"/>
        <w:sz w:val="12"/>
        <w:szCs w:val="12"/>
      </w:rPr>
      <w:t xml:space="preserve">©Confederation of Australian Motor Sport Ltd trading as Motorsport Australia. All use subject to Conditions of Use at motorsport.org.au</w:t>
    </w:r>
    <w:r>
      <w:rPr>
        <w:rFonts w:ascii="Arial" w:cs="Arial" w:eastAsia="Arial" w:hAnsi="Arial"/>
        <w:sz w:val="12"/>
        <w:szCs w:val="12"/>
      </w:rPr>
      <w:t xml:space="preserve">	Page </w:t>
    </w:r>
    <w:r>
      <w:rPr>
        <w:rFonts w:ascii="Arial" w:cs="Arial" w:eastAsia="Arial" w:hAnsi="Arial"/>
        <w:sz w:val="12"/>
        <w:szCs w:val="12"/>
      </w:rPr>
      <w:fldChar w:fldCharType="begin"/>
      <w:instrText xml:space="preserve">PAGE</w:instrText>
      <w:fldChar w:fldCharType="separate"/>
      <w:fldChar w:fldCharType="end"/>
    </w:r>
    <w:r>
      <w:rPr>
        <w:rFonts w:ascii="Arial" w:cs="Arial" w:eastAsia="Arial" w:hAnsi="Arial"/>
        <w:sz w:val="12"/>
        <w:szCs w:val="12"/>
      </w:rPr>
      <w:t xml:space="preserve"> of </w:t>
    </w:r>
    <w:r>
      <w:rPr>
        <w:rFonts w:ascii="Arial" w:cs="Arial" w:eastAsia="Arial" w:hAnsi="Arial"/>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D0D0D0"/>
        <w:sz w:val="40"/>
        <w:szCs w:val="40"/>
      </w:rPr>
      <w:t xml:space="preserve">D R A F 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pPr>
        <w:spacing w:line="25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2026-09-21T03:37:03.263Z</dcterms:created>
  <dcterms:modified xsi:type="dcterms:W3CDTF">2026-09-21T03:37:03.263Z</dcterms:modified>
</cp:coreProperties>
</file>

<file path=docProps/custom.xml><?xml version="1.0" encoding="utf-8"?>
<Properties xmlns="http://schemas.openxmlformats.org/officeDocument/2006/custom-properties" xmlns:vt="http://schemas.openxmlformats.org/officeDocument/2006/docPropsVTypes"/>
</file>