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52"/>
          <w:szCs w:val="52"/>
        </w:rPr>
        <w:t xml:space="preserve">AUDIT UX — BUILDRS.FR</w:t>
      </w:r>
    </w:p>
    <w:p>
      <w:pPr>
        <w:spacing w:after="80" w:before="0"/>
        <w:jc w:val="center"/>
      </w:pPr>
      <w:r>
        <w:rPr>
          <w:rFonts w:ascii="Arial" w:cs="Arial" w:eastAsia="Arial" w:hAnsi="Arial"/>
          <w:color w:val="6C757D"/>
          <w:sz w:val="28"/>
          <w:szCs w:val="28"/>
        </w:rPr>
        <w:t xml:space="preserve">Rapport de critique design &amp; usabilité</w:t>
      </w:r>
    </w:p>
    <w:p>
      <w:pPr>
        <w:spacing w:after="600" w:before="0"/>
        <w:jc w:val="center"/>
      </w:pPr>
      <w:r>
        <w:rPr>
          <w:rFonts w:ascii="Arial" w:cs="Arial" w:eastAsia="Arial" w:hAnsi="Arial"/>
          <w:i/>
          <w:iCs/>
          <w:color w:val="6C757D"/>
          <w:sz w:val="22"/>
          <w:szCs w:val="22"/>
        </w:rPr>
        <w:t xml:space="preserve">Buildrs Blueprint — Lance ton SaaS IA en 6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Arial" w:cs="Arial" w:eastAsia="Arial" w:hAnsi="Arial"/>
                <w:b/>
                <w:bCs/>
                <w:color w:val="6C757D"/>
                <w:sz w:val="18"/>
                <w:szCs w:val="18"/>
              </w:rPr>
              <w:t xml:space="preserve">Date</w:t>
            </w:r>
          </w:p>
          <w:p>
            <w:r>
              <w:rPr>
                <w:rFonts w:ascii="Arial" w:cs="Arial" w:eastAsia="Arial" w:hAnsi="Arial"/>
                <w:color w:val="212529"/>
                <w:sz w:val="20"/>
                <w:szCs w:val="20"/>
              </w:rPr>
              <w:t xml:space="preserve">5 avril 2026</w:t>
            </w:r>
          </w:p>
        </w:tc>
        <w:tc>
          <w:tcPr>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Arial" w:cs="Arial" w:eastAsia="Arial" w:hAnsi="Arial"/>
                <w:b/>
                <w:bCs/>
                <w:color w:val="6C757D"/>
                <w:sz w:val="18"/>
                <w:szCs w:val="18"/>
              </w:rPr>
              <w:t xml:space="preserve">URL</w:t>
            </w:r>
          </w:p>
          <w:p>
            <w:r>
              <w:rPr>
                <w:rFonts w:ascii="Arial" w:cs="Arial" w:eastAsia="Arial" w:hAnsi="Arial"/>
                <w:color w:val="212529"/>
                <w:sz w:val="20"/>
                <w:szCs w:val="20"/>
              </w:rPr>
              <w:t xml:space="preserve">buildrs.fr</w:t>
            </w:r>
          </w:p>
        </w:tc>
        <w:tc>
          <w:tcPr>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Arial" w:cs="Arial" w:eastAsia="Arial" w:hAnsi="Arial"/>
                <w:b/>
                <w:bCs/>
                <w:color w:val="6C757D"/>
                <w:sz w:val="18"/>
                <w:szCs w:val="18"/>
              </w:rPr>
              <w:t xml:space="preserve">Scope</w:t>
            </w:r>
          </w:p>
          <w:p>
            <w:r>
              <w:rPr>
                <w:rFonts w:ascii="Arial" w:cs="Arial" w:eastAsia="Arial" w:hAnsi="Arial"/>
                <w:color w:val="212529"/>
                <w:sz w:val="20"/>
                <w:szCs w:val="20"/>
              </w:rPr>
              <w:t xml:space="preserve">Audit complet</w:t>
            </w:r>
          </w:p>
        </w:tc>
        <w:tc>
          <w:tcPr>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Arial" w:cs="Arial" w:eastAsia="Arial" w:hAnsi="Arial"/>
                <w:b/>
                <w:bCs/>
                <w:color w:val="6C757D"/>
                <w:sz w:val="18"/>
                <w:szCs w:val="18"/>
              </w:rPr>
              <w:t xml:space="preserve">Statut</w:t>
            </w:r>
          </w:p>
          <w:p>
            <w:r>
              <w:rPr>
                <w:rFonts w:ascii="Arial" w:cs="Arial" w:eastAsia="Arial" w:hAnsi="Arial"/>
                <w:color w:val="212529"/>
                <w:sz w:val="20"/>
                <w:szCs w:val="20"/>
              </w:rPr>
              <w:t xml:space="preserve">Polish final</w:t>
            </w:r>
          </w:p>
        </w:tc>
      </w:tr>
    </w:tbl>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1. Résumé exécutif</w:t>
      </w:r>
    </w:p>
    <w:p>
      <w:pPr>
        <w:spacing w:after="60" w:before="60"/>
      </w:pPr>
      <w:r>
        <w:rPr>
          <w:rFonts w:ascii="Arial" w:cs="Arial" w:eastAsia="Arial" w:hAnsi="Arial"/>
          <w:color w:val="212529"/>
          <w:sz w:val="22"/>
          <w:szCs w:val="22"/>
        </w:rPr>
        <w:t xml:space="preserve">Buildrs.fr est une landing page de vente directe pour un programme digital (27€) guidant les non-développeurs à lancer un micro-SaaS IA en 6 jours. La page est visuellement soignée, avec une copie percutante et un positionnement clair.</w:t>
      </w:r>
    </w:p>
    <w:p>
      <w:pPr>
        <w:spacing w:after="80" w:before="80"/>
      </w:pPr>
      <w:r>
        <w:t xml:space="preserve"/>
      </w:r>
    </w:p>
    <w:p>
      <w:pPr>
        <w:spacing w:after="60" w:before="60"/>
      </w:pPr>
      <w:r>
        <w:rPr>
          <w:rFonts w:ascii="Arial" w:cs="Arial" w:eastAsia="Arial" w:hAnsi="Arial"/>
          <w:color w:val="212529"/>
          <w:sz w:val="22"/>
          <w:szCs w:val="22"/>
        </w:rPr>
        <w:t xml:space="preserve">Le message central est fort et immédiatement compréhensible. La structure narrative (problème → transformation → programme → preuve → prix → FAQ) suit une logique de conversion solide. Cependant, plusieurs points de friction et incohérences techniques réduisent le potentiel de conversion et créent de la confusion pour certains profils d'utilisateurs.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BF5FB" w:val="clear"/>
            <w:tcMar>
              <w:top w:type="dxa" w:w="120"/>
              <w:left w:type="dxa" w:w="140"/>
              <w:bottom w:type="dxa" w:w="120"/>
              <w:right w:type="dxa" w:w="140"/>
            </w:tcMar>
          </w:tcPr>
          <w:p>
            <w:pPr>
              <w:jc w:val="center"/>
            </w:pPr>
            <w:r>
              <w:rPr>
                <w:rFonts w:ascii="Arial" w:cs="Arial" w:eastAsia="Arial" w:hAnsi="Arial"/>
                <w:b/>
                <w:bCs/>
                <w:color w:val="6C757D"/>
                <w:sz w:val="18"/>
                <w:szCs w:val="18"/>
              </w:rPr>
              <w:t xml:space="preserve">Score global</w:t>
            </w:r>
          </w:p>
          <w:p>
            <w:pPr>
              <w:jc w:val="center"/>
            </w:pPr>
            <w:r>
              <w:rPr>
                <w:rFonts w:ascii="Arial" w:cs="Arial" w:eastAsia="Arial" w:hAnsi="Arial"/>
                <w:b/>
                <w:bCs/>
                <w:color w:val="2980B9"/>
                <w:sz w:val="28"/>
                <w:szCs w:val="28"/>
              </w:rPr>
              <w:t xml:space="preserve">7.2 / 10</w:t>
            </w:r>
          </w:p>
        </w:tc>
        <w:tc>
          <w:tcPr>
            <w:tcBorders>
              <w:top w:val="single" w:color="DDDDDD" w:sz="1"/>
              <w:left w:val="single" w:color="DDDDDD" w:sz="1"/>
              <w:bottom w:val="single" w:color="DDDDDD" w:sz="1"/>
              <w:right w:val="single" w:color="DDDDDD" w:sz="1"/>
            </w:tcBorders>
            <w:shd w:fill="EBF5FB" w:val="clear"/>
            <w:tcMar>
              <w:top w:type="dxa" w:w="120"/>
              <w:left w:type="dxa" w:w="140"/>
              <w:bottom w:type="dxa" w:w="120"/>
              <w:right w:type="dxa" w:w="140"/>
            </w:tcMar>
          </w:tcPr>
          <w:p>
            <w:pPr>
              <w:jc w:val="center"/>
            </w:pPr>
            <w:r>
              <w:rPr>
                <w:rFonts w:ascii="Arial" w:cs="Arial" w:eastAsia="Arial" w:hAnsi="Arial"/>
                <w:b/>
                <w:bCs/>
                <w:color w:val="6C757D"/>
                <w:sz w:val="18"/>
                <w:szCs w:val="18"/>
              </w:rPr>
              <w:t xml:space="preserve">Usabilité</w:t>
            </w:r>
          </w:p>
          <w:p>
            <w:pPr>
              <w:jc w:val="center"/>
            </w:pPr>
            <w:r>
              <w:rPr>
                <w:rFonts w:ascii="Arial" w:cs="Arial" w:eastAsia="Arial" w:hAnsi="Arial"/>
                <w:b/>
                <w:bCs/>
                <w:color w:val="2980B9"/>
                <w:sz w:val="28"/>
                <w:szCs w:val="28"/>
              </w:rPr>
              <w:t xml:space="preserve">7.5 / 10</w:t>
            </w:r>
          </w:p>
        </w:tc>
        <w:tc>
          <w:tcPr>
            <w:tcBorders>
              <w:top w:val="single" w:color="DDDDDD" w:sz="1"/>
              <w:left w:val="single" w:color="DDDDDD" w:sz="1"/>
              <w:bottom w:val="single" w:color="DDDDDD" w:sz="1"/>
              <w:right w:val="single" w:color="DDDDDD" w:sz="1"/>
            </w:tcBorders>
            <w:shd w:fill="FDECEA" w:val="clear"/>
            <w:tcMar>
              <w:top w:type="dxa" w:w="120"/>
              <w:left w:type="dxa" w:w="140"/>
              <w:bottom w:type="dxa" w:w="120"/>
              <w:right w:type="dxa" w:w="140"/>
            </w:tcMar>
          </w:tcPr>
          <w:p>
            <w:pPr>
              <w:jc w:val="center"/>
            </w:pPr>
            <w:r>
              <w:rPr>
                <w:rFonts w:ascii="Arial" w:cs="Arial" w:eastAsia="Arial" w:hAnsi="Arial"/>
                <w:b/>
                <w:bCs/>
                <w:color w:val="6C757D"/>
                <w:sz w:val="18"/>
                <w:szCs w:val="18"/>
              </w:rPr>
              <w:t xml:space="preserve">Accessibilité</w:t>
            </w:r>
          </w:p>
          <w:p>
            <w:pPr>
              <w:jc w:val="center"/>
            </w:pPr>
            <w:r>
              <w:rPr>
                <w:rFonts w:ascii="Arial" w:cs="Arial" w:eastAsia="Arial" w:hAnsi="Arial"/>
                <w:b/>
                <w:bCs/>
                <w:color w:val="C0392B"/>
                <w:sz w:val="28"/>
                <w:szCs w:val="28"/>
              </w:rPr>
              <w:t xml:space="preserve">5.5 / 10</w:t>
            </w:r>
          </w:p>
        </w:tc>
        <w:tc>
          <w:tcPr>
            <w:tcBorders>
              <w:top w:val="single" w:color="DDDDDD" w:sz="1"/>
              <w:left w:val="single" w:color="DDDDDD" w:sz="1"/>
              <w:bottom w:val="single" w:color="DDDDDD" w:sz="1"/>
              <w:right w:val="single" w:color="DDDDDD" w:sz="1"/>
            </w:tcBorders>
            <w:shd w:fill="EBF5FB" w:val="clear"/>
            <w:tcMar>
              <w:top w:type="dxa" w:w="120"/>
              <w:left w:type="dxa" w:w="140"/>
              <w:bottom w:type="dxa" w:w="120"/>
              <w:right w:type="dxa" w:w="140"/>
            </w:tcMar>
          </w:tcPr>
          <w:p>
            <w:pPr>
              <w:jc w:val="center"/>
            </w:pPr>
            <w:r>
              <w:rPr>
                <w:rFonts w:ascii="Arial" w:cs="Arial" w:eastAsia="Arial" w:hAnsi="Arial"/>
                <w:b/>
                <w:bCs/>
                <w:color w:val="6C757D"/>
                <w:sz w:val="18"/>
                <w:szCs w:val="18"/>
              </w:rPr>
              <w:t xml:space="preserve">Cohérence</w:t>
            </w:r>
          </w:p>
          <w:p>
            <w:pPr>
              <w:jc w:val="center"/>
            </w:pPr>
            <w:r>
              <w:rPr>
                <w:rFonts w:ascii="Arial" w:cs="Arial" w:eastAsia="Arial" w:hAnsi="Arial"/>
                <w:b/>
                <w:bCs/>
                <w:color w:val="2980B9"/>
                <w:sz w:val="28"/>
                <w:szCs w:val="28"/>
              </w:rPr>
              <w:t xml:space="preserve">6.8 / 10</w:t>
            </w:r>
          </w:p>
        </w:tc>
      </w:tr>
    </w:tbl>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2. Première impression (2 secondes)</w:t>
      </w:r>
    </w:p>
    <w:p>
      <w:pPr>
        <w:spacing w:after="80" w:before="200"/>
      </w:pPr>
      <w:r>
        <w:rPr>
          <w:rFonts w:ascii="Arial" w:cs="Arial" w:eastAsia="Arial" w:hAnsi="Arial"/>
          <w:b/>
          <w:bCs/>
          <w:color w:val="27AE60"/>
          <w:sz w:val="24"/>
          <w:szCs w:val="24"/>
        </w:rPr>
        <w:t xml:space="preserve">Ce qui attire l'oeil en premier</w:t>
      </w:r>
    </w:p>
    <w:p>
      <w:pPr>
        <w:pStyle w:val="ListParagraph"/>
        <w:numPr>
          <w:ilvl w:val="0"/>
          <w:numId w:val="2"/>
        </w:numPr>
        <w:spacing w:after="40" w:before="40"/>
      </w:pPr>
      <w:r>
        <w:rPr>
          <w:rFonts w:ascii="Arial" w:cs="Arial" w:eastAsia="Arial" w:hAnsi="Arial"/>
          <w:color w:val="212529"/>
          <w:sz w:val="22"/>
          <w:szCs w:val="22"/>
        </w:rPr>
        <w:t xml:space="preserve">Le H1 : "Ton premier SaaS IA rentable. En 6 jours." — immédiatement lisible, promesse claire</w:t>
      </w:r>
    </w:p>
    <w:p>
      <w:pPr>
        <w:pStyle w:val="ListParagraph"/>
        <w:numPr>
          <w:ilvl w:val="0"/>
          <w:numId w:val="2"/>
        </w:numPr>
        <w:spacing w:after="40" w:before="40"/>
      </w:pPr>
      <w:r>
        <w:rPr>
          <w:rFonts w:ascii="Arial" w:cs="Arial" w:eastAsia="Arial" w:hAnsi="Arial"/>
          <w:color w:val="212529"/>
          <w:sz w:val="22"/>
          <w:szCs w:val="22"/>
        </w:rPr>
        <w:t xml:space="preserve">Le CTA blanc avec effet glow sur fond noir — fort contraste visuel, attire naturellement le regard</w:t>
      </w:r>
    </w:p>
    <w:p>
      <w:pPr>
        <w:pStyle w:val="ListParagraph"/>
        <w:numPr>
          <w:ilvl w:val="0"/>
          <w:numId w:val="2"/>
        </w:numPr>
        <w:spacing w:after="40" w:before="40"/>
      </w:pPr>
      <w:r>
        <w:rPr>
          <w:rFonts w:ascii="Arial" w:cs="Arial" w:eastAsia="Arial" w:hAnsi="Arial"/>
          <w:color w:val="212529"/>
          <w:sz w:val="22"/>
          <w:szCs w:val="22"/>
        </w:rPr>
        <w:t xml:space="preserve">Le badge social proof "Rejoins les 80+ builders" positionné avant le titre — crédibilise dès l'entrée</w:t>
      </w:r>
    </w:p>
    <w:p>
      <w:pPr>
        <w:spacing w:after="80" w:before="80"/>
      </w:pPr>
      <w:r>
        <w:t xml:space="preserve"/>
      </w:r>
    </w:p>
    <w:p>
      <w:pPr>
        <w:spacing w:after="80" w:before="200"/>
      </w:pPr>
      <w:r>
        <w:rPr>
          <w:rFonts w:ascii="Arial" w:cs="Arial" w:eastAsia="Arial" w:hAnsi="Arial"/>
          <w:b/>
          <w:bCs/>
          <w:color w:val="2980B9"/>
          <w:sz w:val="24"/>
          <w:szCs w:val="24"/>
        </w:rPr>
        <w:t xml:space="preserve">Réaction émotionnelle</w:t>
      </w:r>
    </w:p>
    <w:p>
      <w:pPr>
        <w:spacing w:after="60" w:before="60"/>
      </w:pPr>
      <w:r>
        <w:rPr>
          <w:rFonts w:ascii="Arial" w:cs="Arial" w:eastAsia="Arial" w:hAnsi="Arial"/>
          <w:color w:val="212529"/>
          <w:sz w:val="22"/>
          <w:szCs w:val="22"/>
        </w:rPr>
        <w:t xml:space="preserve">La page dégage une énergie "hacker / builder" assumée. Le fond noir, la typo extra-bold, le ton tutoiement direct : c'est cohérent avec la cible (indépendants, side-builders, early-adopters IA). L'intention de paraître premium et sérieux sans être corporate est bien exécutée.</w:t>
      </w:r>
    </w:p>
    <w:p>
      <w:pPr>
        <w:spacing w:after="80" w:before="80"/>
      </w:pPr>
      <w:r>
        <w:t xml:space="preserve"/>
      </w:r>
    </w:p>
    <w:p>
      <w:pPr>
        <w:spacing w:after="80" w:before="200"/>
      </w:pPr>
      <w:r>
        <w:rPr>
          <w:rFonts w:ascii="Arial" w:cs="Arial" w:eastAsia="Arial" w:hAnsi="Arial"/>
          <w:b/>
          <w:bCs/>
          <w:color w:val="212529"/>
          <w:sz w:val="24"/>
          <w:szCs w:val="24"/>
        </w:rPr>
        <w:t xml:space="preserve">Clarté de la proposition de valeur</w:t>
      </w:r>
    </w:p>
    <w:p>
      <w:pPr>
        <w:spacing w:after="60" w:before="60"/>
      </w:pPr>
      <w:r>
        <w:rPr>
          <w:rFonts w:ascii="Arial" w:cs="Arial" w:eastAsia="Arial" w:hAnsi="Arial"/>
          <w:color w:val="212529"/>
          <w:sz w:val="22"/>
          <w:szCs w:val="22"/>
        </w:rPr>
        <w:t xml:space="preserve">En 2 secondes : "Je peux lancer un SaaS IA en 6 jours pour 27€, même sans coder." C'est un excellent score de clarté. La cible et le bénéfice sont explicites. La promesse est audacieuse mais rendue crédible par la preuve sociale et le prix d'entrée bas.</w:t>
      </w:r>
    </w:p>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3. Audit Usabilité &amp; Conversion</w:t>
      </w:r>
    </w:p>
    <w:p>
      <w:pPr>
        <w:pStyle w:val="Heading2"/>
        <w:spacing w:after="100" w:before="280"/>
      </w:pPr>
      <w:r>
        <w:rPr>
          <w:rFonts w:ascii="Arial" w:cs="Arial" w:eastAsia="Arial" w:hAnsi="Arial"/>
          <w:b/>
          <w:bCs/>
          <w:color w:val="212529"/>
          <w:sz w:val="28"/>
          <w:szCs w:val="28"/>
        </w:rPr>
        <w:t xml:space="preserve">3.1 Navigation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nav link "Résultats" pointe vers les témoignages mais la section précédente présente des exemples de produits (PriceFlow, Brew App, StayTrack). L'ancre ne correspond pas à l'attente créée.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Renommer "Résultats" en "Exemples" ou "Preuves" pour correspondre au contenu cible.</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Absence de lien "Accueil" ou de retour au hero dans le footer — le logo en footer ne semble pas être un lien cliquable.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Rendre le logo footer cliquable (lien vers #hero) — convention UX universelle.</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3.2 Hero &amp; CTA principal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C0392B"/>
                <w:sz w:val="20"/>
                <w:szCs w:val="20"/>
              </w:rPr>
              <w:t xml:space="preserve">🔴 Critique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champ "Ton idée :" dans le hero simule une frappe automatique ("Un coach nutrit...") mais il n'est pas clair si l'utilisateur peut y taper et si ça déclenche quelque chose. Comportement ambigu entre élément décoratif et input fonctionnel.</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Soit rendre le champ réellement fonctionnel (l'idée soumise pré-remplit le checkout), soit le styliser clairement comme décoratif (curseur non-pointer, opacité réduite, pas de focus). En l'état il génère de la friction.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Deux CTAs différents visibles simultanément : "Accéder au Blueprint →" dans la nav ET "Accéder au Blueprint — 27€" dans le hero. La nav-CTA sans prix crée une ambiguïté sur ce qui est gratuit vs payant.</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Unifier : inclure le prix dans le CTA nav aussi : "Accéder — 27€ →" ou cacher le CTA nav sur le viewport hero (il n'est visible que déjà).</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La barre de progression affiche à la fois "92/200 places réclamées" et "54% restant". Double information redondante crée une surcharge cognitive inutile.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Conserver un seul format. Préférence : "92/200 places réclamées" avec la barre visuelle — plus concret et plus impactant que le pourcentage.</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3.3 Cohérence des CTAs sur toute la page</w:t>
      </w:r>
    </w:p>
    <w:p>
      <w:pPr>
        <w:spacing w:after="60" w:before="60"/>
      </w:pPr>
      <w:r>
        <w:rPr>
          <w:rFonts w:ascii="Arial" w:cs="Arial" w:eastAsia="Arial" w:hAnsi="Arial"/>
          <w:color w:val="212529"/>
          <w:sz w:val="22"/>
          <w:szCs w:val="22"/>
        </w:rPr>
        <w:t xml:space="preserve">Quatre libellés différents de CTA relevés sur la page :</w:t>
      </w:r>
    </w:p>
    <w:p>
      <w:pPr>
        <w:pStyle w:val="ListParagraph"/>
        <w:numPr>
          <w:ilvl w:val="0"/>
          <w:numId w:val="2"/>
        </w:numPr>
        <w:spacing w:after="40" w:before="40"/>
      </w:pPr>
      <w:r>
        <w:rPr>
          <w:rFonts w:ascii="Arial" w:cs="Arial" w:eastAsia="Arial" w:hAnsi="Arial"/>
          <w:color w:val="212529"/>
          <w:sz w:val="22"/>
          <w:szCs w:val="22"/>
        </w:rPr>
        <w:t xml:space="preserve">Nav : "Accéder au Blueprint →"</w:t>
      </w:r>
    </w:p>
    <w:p>
      <w:pPr>
        <w:pStyle w:val="ListParagraph"/>
        <w:numPr>
          <w:ilvl w:val="0"/>
          <w:numId w:val="2"/>
        </w:numPr>
        <w:spacing w:after="40" w:before="40"/>
      </w:pPr>
      <w:r>
        <w:rPr>
          <w:rFonts w:ascii="Arial" w:cs="Arial" w:eastAsia="Arial" w:hAnsi="Arial"/>
          <w:color w:val="212529"/>
          <w:sz w:val="22"/>
          <w:szCs w:val="22"/>
        </w:rPr>
        <w:t xml:space="preserve">Hero : "Accéder au Blueprint — 27€"</w:t>
      </w:r>
    </w:p>
    <w:p>
      <w:pPr>
        <w:pStyle w:val="ListParagraph"/>
        <w:numPr>
          <w:ilvl w:val="0"/>
          <w:numId w:val="2"/>
        </w:numPr>
        <w:spacing w:after="40" w:before="40"/>
      </w:pPr>
      <w:r>
        <w:rPr>
          <w:rFonts w:ascii="Arial" w:cs="Arial" w:eastAsia="Arial" w:hAnsi="Arial"/>
          <w:color w:val="212529"/>
          <w:sz w:val="22"/>
          <w:szCs w:val="22"/>
        </w:rPr>
        <w:t xml:space="preserve">Pricing card : "Accéder au Blueprint — 27€ →"</w:t>
      </w:r>
    </w:p>
    <w:p>
      <w:pPr>
        <w:pStyle w:val="ListParagraph"/>
        <w:numPr>
          <w:ilvl w:val="0"/>
          <w:numId w:val="2"/>
        </w:numPr>
        <w:spacing w:after="40" w:before="40"/>
      </w:pPr>
      <w:r>
        <w:rPr>
          <w:rFonts w:ascii="Arial" w:cs="Arial" w:eastAsia="Arial" w:hAnsi="Arial"/>
          <w:color w:val="212529"/>
          <w:sz w:val="22"/>
          <w:szCs w:val="22"/>
        </w:rPr>
        <w:t xml:space="preserve">CTA bas de page : "Commencer maintenant — 27€ (au lieu de 297€) →"</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Libellés de CTA incohérents tout au long du parcours. Le dernier "Commencer maintenant — 27€ (au lieu de 297€) →" est particulièrement verbeux et diverge des autres.</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Standardiser sur un format unique. Recommandé : "Accéder au Blueprint — 27€ →". Le prix dans le CTA est une bonne pratique (transparence), le garder partout. Réserver un CTA différent pour le checkout uniquement.</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3.4 Section Modules (programme)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Chaque module utilise un layout 50/50 avec d'un côté le contenu, de l'autre un grand numéro flou. Ce choix multiplie la hauteur de scrolling sans apporter d'information. Sur 7 modules, le scroll est très long.</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Regrouper les modules en grille 2-3 colonnes ou en timeline compacte. Conserver un module "focus" expanded avec détail pour le premier. Réduire de 60-70% la hauteur de cette section.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Chaque module a une couleur d'accent différente (vert, orange, rouge, rose...). L'intention de différenciation visuelle finit par créer du bruit au lieu de guider.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Utiliser une seule couleur d'accent par famille (ex : vert pour les outputs positifs, blanc pour les neutres). Ou un dégradé progressif du module 01 au 07.</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3.5 Valeur réelle — incohérence de chiffres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"Valeur réelle : 1 235€" affiché dans le hero, mais "Valeur totale : 1 236€" dans la pricing card. Écart d'1€ entre deux mentions de la même promesse.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Aligner les deux montants. Ce type d'incohérence, même minime, peut éroder la confiance chez des acheteurs attentifs.</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3.6 Footer &amp; sous-marques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footer liste "Buildrs Blueprint · Buildrs Lab · Buildrs Club · Buildrs Pro" sans liens ni contexte. Ces sous-marques sont incompréhensibles pour un visiteur découvrant le site.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Soit supprimer la mention (ces produits ne sont pas encore le sujet), soit ajouter des liens et une ligne de description. Ne pas créer de questions sans réponse à la fin d'une page de vente.</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C0392B"/>
                <w:sz w:val="20"/>
                <w:szCs w:val="20"/>
              </w:rPr>
              <w:t xml:space="preserve">🔴 Critique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formulaire d'inscription newsletter ("Reçois les prochaines idées de SaaS rentables") ne mentionne aucune politique de confidentialité ni conformité RGPD.</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Pour un site français, ajouter une case à cocher ou un lien vers la politique de confidentialité sous le formulaire. Obligation légale RGPD pour la collecte d'emails.</w:t>
            </w:r>
          </w:p>
        </w:tc>
      </w:tr>
    </w:tbl>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4. Accessibilité (WCAG 2.1 AA)</w:t>
      </w:r>
    </w:p>
    <w:p>
      <w:pPr>
        <w:spacing w:after="60" w:before="60"/>
      </w:pPr>
      <w:r>
        <w:rPr>
          <w:rFonts w:ascii="Arial" w:cs="Arial" w:eastAsia="Arial" w:hAnsi="Arial"/>
          <w:color w:val="212529"/>
          <w:sz w:val="22"/>
          <w:szCs w:val="22"/>
        </w:rPr>
        <w:t xml:space="preserve">Avertissement : cet audit est effectué par inspection visuelle et analyse comportementale. Un audit complet nécessiterait des tests avec un lecteur d'écran (NVDA/VoiceOver) et des outils comme axe ou Lighthouse.</w:t>
      </w:r>
    </w:p>
    <w:p>
      <w:pPr>
        <w:spacing w:after="80" w:before="80"/>
      </w:pPr>
      <w:r>
        <w:t xml:space="preserve"/>
      </w:r>
    </w:p>
    <w:p>
      <w:pPr>
        <w:pStyle w:val="Heading2"/>
        <w:spacing w:after="100" w:before="280"/>
      </w:pPr>
      <w:r>
        <w:rPr>
          <w:rFonts w:ascii="Arial" w:cs="Arial" w:eastAsia="Arial" w:hAnsi="Arial"/>
          <w:b/>
          <w:bCs/>
          <w:color w:val="212529"/>
          <w:sz w:val="28"/>
          <w:szCs w:val="28"/>
        </w:rPr>
        <w:t xml:space="preserve">4.1 Contraste des couleurs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C0392B"/>
                <w:sz w:val="20"/>
                <w:szCs w:val="20"/>
              </w:rPr>
              <w:t xml:space="preserve">🔴 Critique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Texte secondaire gris clair ("Valeur réelle : 1 235€ · Paiement unique · Accès à vie") sur fond noir. Ratio estimé &lt; 4.5:1 — échec WCAG AA pour le texte normal.</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Eclaircir le gris de ce texte secondaire pour atteindre au minimum #AAAAAA sur fond #111111 (ratio ~4.6:1). Tester avec WebAIM Contrast Checker.</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Les logos d'outils dans la bande défilante (marquee) sont des icônes sombres/grises sur fond quasi-noir. Contraste insuffisant pour identifier les marques.</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Passer les logos en version blanche ou claire, ou utiliser un fond légèrement plus clair (ex: #1E1E1E → logos à 50% opacité blanche). Alternative : ajouter les noms des outils en texte sous les logos.</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Les étiquettes de module colorées ("Un environnement complet, configuré, prêt à builder") utilisent des couleurs vives sur fond de carte sombre. Certaines combinaisons peuvent échouer le ratio 4.5:1.</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Vérifier chaque combinaison couleur/fond. Pour les fonds colorés, s'assurer que le texte est blanc pur (#FFFFFF) et que la couleur de fond est suffisamment sombre.</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4.2 Éléments interactifs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bouton "mode sombre" (icône lune) n'a pas de libellé textuel visible. Si c'est un toggle dark/light mode, l'état actuel (dark) n'est pas indiqué, et l'icône seule ne suffit pas pour les lecteurs d'écran.</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Ajouter aria-label="Basculer en mode clair" et aria-pressed="true" (si dark). Un tooltip au hover est aussi recommandé.</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Les icônes "+" des accordéons FAQ n'ont pas de texte alternatif accessible visible. Le bouton d'expansion doit communiquer son état (ouvert/fermé) aux technologies d'assistance.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Ajouter aria-expanded="false/true" sur chaque bouton d'accordéon et un aria-label décrivant la question (ex: "Afficher la réponse : Est-ce que j'ai besoin de savoir coder ?").</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Les étoiles de notation dans les témoignages sont probablement des emojis ou caractères Unicode sans alternative textuelle. Les lecteurs d'écran liraient "étoile étoile étoile étoile" sans contexte.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Wrapper les étoiles dans un &lt;span aria-label="4 étoiles sur 5"&gt; et ajouter aria-hidden sur les icônes individuelles.</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4.3 Navigation au clavier &amp; focus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Absence d'un lien "Aller au contenu principal" (skip navigation) en début de page. Obligatoire pour les utilisateurs naviguant au clavier.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Ajouter &lt;a href="#main" class="skip-link"&gt;Aller au contenu&lt;/a&gt; en premier élément du body, visible au focus clavier.</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L'animation de frappe dans le champ "Ton idée" peut poser des problèmes pour les utilisateurs avec des troubles cognitifs ou des préférences de mouvement réduit.</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Respecter la media query @media (prefers-reduced-motion) pour désactiver les animations de frappe si l'utilisateur l'a demandé dans ses préférences système.</w:t>
            </w:r>
          </w:p>
        </w:tc>
      </w:tr>
    </w:tbl>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5. Cohérence visuelle</w:t>
      </w:r>
    </w:p>
    <w:p>
      <w:pPr>
        <w:pStyle w:val="Heading2"/>
        <w:spacing w:after="100" w:before="280"/>
      </w:pPr>
      <w:r>
        <w:rPr>
          <w:rFonts w:ascii="Arial" w:cs="Arial" w:eastAsia="Arial" w:hAnsi="Arial"/>
          <w:b/>
          <w:bCs/>
          <w:color w:val="212529"/>
          <w:sz w:val="28"/>
          <w:szCs w:val="28"/>
        </w:rPr>
        <w:t xml:space="preserve">5.1 Typographie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H1 hero ("Ton premier SaaS IA rentable. En 6 jours.") et le H2 bas de page ("est à 6 jours d'ici.") utilisent des tailles de police très proches, sans distinction de niveau hiérarchique clair.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Définir une échelle typographique stricte : H1 hero = taille max, H2 sections = 65-70% de H1, H3 sous-sections = 50%. Maintenir cette échelle partout.</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L'en-tête de section ("LA TRANSFORMATION", "LE PROGRAMME", "LE PRODUIT") utilise un style de label en majuscules espacées — bonne pratique. Mais le label "Exemples" (section produits) dévie légèrement du style avec une couleur de fond différente.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Uniformiser le style de tous les labels de section : même police, même taille, même couleur, même traitement (fond pill ou texte seul).</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5.2 Composants &amp; espacement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1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Sévérité</w:t>
            </w:r>
          </w:p>
        </w:tc>
        <w:tc>
          <w:tcPr>
            <w:tcW w:type="dxa" w:w="3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Problème identifié</w:t>
            </w:r>
          </w:p>
        </w:tc>
        <w:tc>
          <w:tcPr>
            <w:tcW w:type="dxa" w:w="416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Recommandation</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Les deux trust badges sous le CTA hero ("Sans expertise en IA" et "Débutant ou confirmé") utilisent un style de pill sombre différent du badge social proof en haut ("Rejoins les 80+ builders") qui a une bordure visible.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Choisir un style unique pour tous les "trust badges" de la page. L'espace de la page de vente ne bénéficie pas de la variété stylistique — la cohérence renforce la crédibilité.</w:t>
            </w:r>
          </w:p>
        </w:tc>
      </w:tr>
      <w:tr>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Le grand nombre en transparence (01, 02, 03...) dans les modules flotte librement sans alignement précis par rapport au contenu de la carte. Sur certains modules, le décalage crée une tension visuelle non-intentionnelle.</w:t>
            </w:r>
          </w:p>
        </w:tc>
        <w:tc>
          <w:tcPr>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12529"/>
                <w:sz w:val="20"/>
                <w:szCs w:val="20"/>
              </w:rPr>
              <w:t xml:space="preserve">Ancrer le numéro à un point fixe (ex: toujours centré verticalement dans sa moitié, ou toujours en haut). Alternativement, supprimer ces éléments décoratifs qui allongent la page sans valeur ajoutée.</w:t>
            </w:r>
          </w:p>
        </w:tc>
      </w:tr>
    </w:tbl>
    <w:p>
      <w:pPr>
        <w:spacing w:after="80" w:before="80"/>
      </w:pPr>
      <w:r>
        <w:t xml:space="preserve"/>
      </w:r>
    </w:p>
    <w:p>
      <w:pPr>
        <w:pStyle w:val="Heading2"/>
        <w:spacing w:after="100" w:before="280"/>
      </w:pPr>
      <w:r>
        <w:rPr>
          <w:rFonts w:ascii="Arial" w:cs="Arial" w:eastAsia="Arial" w:hAnsi="Arial"/>
          <w:b/>
          <w:bCs/>
          <w:color w:val="212529"/>
          <w:sz w:val="28"/>
          <w:szCs w:val="28"/>
        </w:rPr>
        <w:t xml:space="preserve">5.3 Ce qui fonctionne bien</w:t>
      </w:r>
    </w:p>
    <w:p>
      <w:pPr>
        <w:pStyle w:val="ListParagraph"/>
        <w:numPr>
          <w:ilvl w:val="0"/>
          <w:numId w:val="2"/>
        </w:numPr>
        <w:spacing w:after="40" w:before="40"/>
      </w:pPr>
      <w:r>
        <w:rPr>
          <w:rFonts w:ascii="Arial" w:cs="Arial" w:eastAsia="Arial" w:hAnsi="Arial"/>
          <w:color w:val="212529"/>
          <w:sz w:val="22"/>
          <w:szCs w:val="22"/>
        </w:rPr>
        <w:t xml:space="preserve">Effet glow sur le CTA principal — différenciateur visuel fort et bien exécuté</w:t>
      </w:r>
    </w:p>
    <w:p>
      <w:pPr>
        <w:pStyle w:val="ListParagraph"/>
        <w:numPr>
          <w:ilvl w:val="0"/>
          <w:numId w:val="2"/>
        </w:numPr>
        <w:spacing w:after="40" w:before="40"/>
      </w:pPr>
      <w:r>
        <w:rPr>
          <w:rFonts w:ascii="Arial" w:cs="Arial" w:eastAsia="Arial" w:hAnsi="Arial"/>
          <w:color w:val="212529"/>
          <w:sz w:val="22"/>
          <w:szCs w:val="22"/>
        </w:rPr>
        <w:t xml:space="preserve">Contraste H1 blanc sur fond noir — ratio excellent, immédiatement lisible</w:t>
      </w:r>
    </w:p>
    <w:p>
      <w:pPr>
        <w:pStyle w:val="ListParagraph"/>
        <w:numPr>
          <w:ilvl w:val="0"/>
          <w:numId w:val="2"/>
        </w:numPr>
        <w:spacing w:after="40" w:before="40"/>
      </w:pPr>
      <w:r>
        <w:rPr>
          <w:rFonts w:ascii="Arial" w:cs="Arial" w:eastAsia="Arial" w:hAnsi="Arial"/>
          <w:color w:val="212529"/>
          <w:sz w:val="22"/>
          <w:szCs w:val="22"/>
        </w:rPr>
        <w:t xml:space="preserve">Section Avant/Après — deux colonnes, style cohérent, storytelling efficace</w:t>
      </w:r>
    </w:p>
    <w:p>
      <w:pPr>
        <w:pStyle w:val="ListParagraph"/>
        <w:numPr>
          <w:ilvl w:val="0"/>
          <w:numId w:val="2"/>
        </w:numPr>
        <w:spacing w:after="40" w:before="40"/>
      </w:pPr>
      <w:r>
        <w:rPr>
          <w:rFonts w:ascii="Arial" w:cs="Arial" w:eastAsia="Arial" w:hAnsi="Arial"/>
          <w:color w:val="212529"/>
          <w:sz w:val="22"/>
          <w:szCs w:val="22"/>
        </w:rPr>
        <w:t xml:space="preserve">Screenshot de l'application — tangible et professionnel, prouve que le produit existe</w:t>
      </w:r>
    </w:p>
    <w:p>
      <w:pPr>
        <w:pStyle w:val="ListParagraph"/>
        <w:numPr>
          <w:ilvl w:val="0"/>
          <w:numId w:val="2"/>
        </w:numPr>
        <w:spacing w:after="40" w:before="40"/>
      </w:pPr>
      <w:r>
        <w:rPr>
          <w:rFonts w:ascii="Arial" w:cs="Arial" w:eastAsia="Arial" w:hAnsi="Arial"/>
          <w:color w:val="212529"/>
          <w:sz w:val="22"/>
          <w:szCs w:val="22"/>
        </w:rPr>
        <w:t xml:space="preserve">Barre de progression dans le hero — urgence bien rendue, alignement et proportions corrects</w:t>
      </w:r>
    </w:p>
    <w:p>
      <w:pPr>
        <w:pStyle w:val="ListParagraph"/>
        <w:numPr>
          <w:ilvl w:val="0"/>
          <w:numId w:val="2"/>
        </w:numPr>
        <w:spacing w:after="40" w:before="40"/>
      </w:pPr>
      <w:r>
        <w:rPr>
          <w:rFonts w:ascii="Arial" w:cs="Arial" w:eastAsia="Arial" w:hAnsi="Arial"/>
          <w:color w:val="212529"/>
          <w:sz w:val="22"/>
          <w:szCs w:val="22"/>
        </w:rPr>
        <w:t xml:space="preserve">FAQ accordéon — espacements homogènes, hiérarchie question/icône claire</w:t>
      </w:r>
    </w:p>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6. Recommandations prioritaires</w:t>
      </w:r>
    </w:p>
    <w:p>
      <w:pPr>
        <w:spacing w:after="60" w:before="60"/>
      </w:pPr>
      <w:r>
        <w:rPr>
          <w:rFonts w:ascii="Arial" w:cs="Arial" w:eastAsia="Arial" w:hAnsi="Arial"/>
          <w:color w:val="212529"/>
          <w:sz w:val="22"/>
          <w:szCs w:val="22"/>
        </w:rPr>
        <w:t xml:space="preserve">Classées par impact potentiel sur la conversion et la conformité.</w:t>
      </w:r>
    </w:p>
    <w:p>
      <w:pPr>
        <w:spacing w:after="80" w:before="80"/>
      </w:pPr>
      <w:r>
        <w:t xml:space="preserve"/>
      </w:r>
    </w:p>
    <w:p>
      <w:pPr>
        <w:pStyle w:val="Heading2"/>
        <w:spacing w:after="100" w:before="280"/>
      </w:pPr>
      <w:r>
        <w:rPr>
          <w:rFonts w:ascii="Arial" w:cs="Arial" w:eastAsia="Arial" w:hAnsi="Arial"/>
          <w:b/>
          <w:bCs/>
          <w:color w:val="212529"/>
          <w:sz w:val="28"/>
          <w:szCs w:val="28"/>
        </w:rPr>
        <w:t xml:space="preserve">🔴 Priorité 1 — Corrections critiques (faire avant lancement)</w:t>
      </w:r>
    </w:p>
    <w:p>
      <w:pPr>
        <w:spacing w:after="80" w:before="200"/>
      </w:pPr>
      <w:r>
        <w:rPr>
          <w:rFonts w:ascii="Arial" w:cs="Arial" w:eastAsia="Arial" w:hAnsi="Arial"/>
          <w:b/>
          <w:bCs/>
          <w:color w:val="212529"/>
          <w:sz w:val="24"/>
          <w:szCs w:val="24"/>
        </w:rPr>
        <w:t xml:space="preserve">1. Clarifier le comportement du champ "Ton idée"</w:t>
      </w:r>
    </w:p>
    <w:p>
      <w:pPr>
        <w:spacing w:after="60" w:before="60"/>
      </w:pPr>
      <w:r>
        <w:rPr>
          <w:rFonts w:ascii="Arial" w:cs="Arial" w:eastAsia="Arial" w:hAnsi="Arial"/>
          <w:b/>
          <w:bCs/>
          <w:color w:val="212529"/>
          <w:sz w:val="22"/>
          <w:szCs w:val="22"/>
        </w:rPr>
        <w:t xml:space="preserve">Problème : </w:t>
      </w:r>
      <w:r>
        <w:rPr>
          <w:rFonts w:ascii="Arial" w:cs="Arial" w:eastAsia="Arial" w:hAnsi="Arial"/>
          <w:color w:val="212529"/>
          <w:sz w:val="22"/>
          <w:szCs w:val="22"/>
        </w:rPr>
        <w:t xml:space="preserve">Ambiguïté entre élément décoratif et input fonctionnel. Les visiteurs vont tenter d'interagir et être frustrés.</w:t>
      </w:r>
    </w:p>
    <w:p>
      <w:pPr>
        <w:spacing w:after="60" w:before="60"/>
      </w:pPr>
      <w:r>
        <w:rPr>
          <w:rFonts w:ascii="Arial" w:cs="Arial" w:eastAsia="Arial" w:hAnsi="Arial"/>
          <w:b/>
          <w:bCs/>
          <w:color w:val="212529"/>
          <w:sz w:val="22"/>
          <w:szCs w:val="22"/>
        </w:rPr>
        <w:t xml:space="preserve">Solution : </w:t>
      </w:r>
      <w:r>
        <w:rPr>
          <w:rFonts w:ascii="Arial" w:cs="Arial" w:eastAsia="Arial" w:hAnsi="Arial"/>
          <w:color w:val="212529"/>
          <w:sz w:val="22"/>
          <w:szCs w:val="22"/>
        </w:rPr>
        <w:t xml:space="preserve">Rendre le champ fonctionnel (l'idée soumise influence le parcours ou pré-remplit le checkout) OU le rendre explicitement décoratif (retirer le cursor caret, désactiver le focus, ajouter une étiquette "Exemples de projets").</w:t>
      </w:r>
    </w:p>
    <w:p>
      <w:pPr>
        <w:spacing w:after="80" w:before="80"/>
      </w:pPr>
      <w:r>
        <w:t xml:space="preserve"/>
      </w:r>
    </w:p>
    <w:p>
      <w:pPr>
        <w:spacing w:after="80" w:before="200"/>
      </w:pPr>
      <w:r>
        <w:rPr>
          <w:rFonts w:ascii="Arial" w:cs="Arial" w:eastAsia="Arial" w:hAnsi="Arial"/>
          <w:b/>
          <w:bCs/>
          <w:color w:val="212529"/>
          <w:sz w:val="24"/>
          <w:szCs w:val="24"/>
        </w:rPr>
        <w:t xml:space="preserve">2. Conformité RGPD pour le formulaire newsletter</w:t>
      </w:r>
    </w:p>
    <w:p>
      <w:pPr>
        <w:spacing w:after="60" w:before="60"/>
      </w:pPr>
      <w:r>
        <w:rPr>
          <w:rFonts w:ascii="Arial" w:cs="Arial" w:eastAsia="Arial" w:hAnsi="Arial"/>
          <w:b/>
          <w:bCs/>
          <w:color w:val="212529"/>
          <w:sz w:val="22"/>
          <w:szCs w:val="22"/>
        </w:rPr>
        <w:t xml:space="preserve">Problème : </w:t>
      </w:r>
      <w:r>
        <w:rPr>
          <w:rFonts w:ascii="Arial" w:cs="Arial" w:eastAsia="Arial" w:hAnsi="Arial"/>
          <w:color w:val="212529"/>
          <w:sz w:val="22"/>
          <w:szCs w:val="22"/>
        </w:rPr>
        <w:t xml:space="preserve">Collecte d'email sans mention légale ni lien vers politique de confidentialité.</w:t>
      </w:r>
    </w:p>
    <w:p>
      <w:pPr>
        <w:spacing w:after="60" w:before="60"/>
      </w:pPr>
      <w:r>
        <w:rPr>
          <w:rFonts w:ascii="Arial" w:cs="Arial" w:eastAsia="Arial" w:hAnsi="Arial"/>
          <w:b/>
          <w:bCs/>
          <w:color w:val="212529"/>
          <w:sz w:val="22"/>
          <w:szCs w:val="22"/>
        </w:rPr>
        <w:t xml:space="preserve">Solution : </w:t>
      </w:r>
      <w:r>
        <w:rPr>
          <w:rFonts w:ascii="Arial" w:cs="Arial" w:eastAsia="Arial" w:hAnsi="Arial"/>
          <w:color w:val="212529"/>
          <w:sz w:val="22"/>
          <w:szCs w:val="22"/>
        </w:rPr>
        <w:t xml:space="preserve">Ajouter sous le formulaire : "En m'abonnant, j'accepte de recevoir des emails de Buildrs. Aucun spam. [Politique de confidentialité]" avec un lien vers la page légale.</w:t>
      </w:r>
    </w:p>
    <w:p>
      <w:pPr>
        <w:spacing w:after="80" w:before="80"/>
      </w:pPr>
      <w:r>
        <w:t xml:space="preserve"/>
      </w:r>
    </w:p>
    <w:p>
      <w:pPr>
        <w:spacing w:after="80" w:before="200"/>
      </w:pPr>
      <w:r>
        <w:rPr>
          <w:rFonts w:ascii="Arial" w:cs="Arial" w:eastAsia="Arial" w:hAnsi="Arial"/>
          <w:b/>
          <w:bCs/>
          <w:color w:val="212529"/>
          <w:sz w:val="24"/>
          <w:szCs w:val="24"/>
        </w:rPr>
        <w:t xml:space="preserve">3. Texte secondaire — contraste insuffisant</w:t>
      </w:r>
    </w:p>
    <w:p>
      <w:pPr>
        <w:spacing w:after="60" w:before="60"/>
      </w:pPr>
      <w:r>
        <w:rPr>
          <w:rFonts w:ascii="Arial" w:cs="Arial" w:eastAsia="Arial" w:hAnsi="Arial"/>
          <w:b/>
          <w:bCs/>
          <w:color w:val="212529"/>
          <w:sz w:val="22"/>
          <w:szCs w:val="22"/>
        </w:rPr>
        <w:t xml:space="preserve">Problème : </w:t>
      </w:r>
      <w:r>
        <w:rPr>
          <w:rFonts w:ascii="Arial" w:cs="Arial" w:eastAsia="Arial" w:hAnsi="Arial"/>
          <w:color w:val="212529"/>
          <w:sz w:val="22"/>
          <w:szCs w:val="22"/>
        </w:rPr>
        <w:t xml:space="preserve">Les sous-textes en gris clair sur fond noir ne passent pas le seuil WCAG AA (4.5:1).</w:t>
      </w:r>
    </w:p>
    <w:p>
      <w:pPr>
        <w:spacing w:after="60" w:before="60"/>
      </w:pPr>
      <w:r>
        <w:rPr>
          <w:rFonts w:ascii="Arial" w:cs="Arial" w:eastAsia="Arial" w:hAnsi="Arial"/>
          <w:b/>
          <w:bCs/>
          <w:color w:val="212529"/>
          <w:sz w:val="22"/>
          <w:szCs w:val="22"/>
        </w:rPr>
        <w:t xml:space="preserve">Solution : </w:t>
      </w:r>
      <w:r>
        <w:rPr>
          <w:rFonts w:ascii="Arial" w:cs="Arial" w:eastAsia="Arial" w:hAnsi="Arial"/>
          <w:color w:val="212529"/>
          <w:sz w:val="22"/>
          <w:szCs w:val="22"/>
        </w:rPr>
        <w:t xml:space="preserve">Passer tous les textes secondaires à #AAAAAA minimum. Tester avec https://webaim.org/resources/contrastchecker/</w:t>
      </w:r>
    </w:p>
    <w:p>
      <w:pPr>
        <w:spacing w:after="80" w:before="80"/>
      </w:pPr>
      <w:r>
        <w:t xml:space="preserve"/>
      </w:r>
    </w:p>
    <w:p>
      <w:pPr>
        <w:pStyle w:val="Heading2"/>
        <w:spacing w:after="100" w:before="280"/>
      </w:pPr>
      <w:r>
        <w:rPr>
          <w:rFonts w:ascii="Arial" w:cs="Arial" w:eastAsia="Arial" w:hAnsi="Arial"/>
          <w:b/>
          <w:bCs/>
          <w:color w:val="212529"/>
          <w:sz w:val="28"/>
          <w:szCs w:val="28"/>
        </w:rPr>
        <w:t xml:space="preserve">🟡 Priorité 2 — Améliorations modérées (impact conversion significatif)</w:t>
      </w:r>
    </w:p>
    <w:p>
      <w:pPr>
        <w:spacing w:after="80" w:before="200"/>
      </w:pPr>
      <w:r>
        <w:rPr>
          <w:rFonts w:ascii="Arial" w:cs="Arial" w:eastAsia="Arial" w:hAnsi="Arial"/>
          <w:b/>
          <w:bCs/>
          <w:color w:val="212529"/>
          <w:sz w:val="24"/>
          <w:szCs w:val="24"/>
        </w:rPr>
        <w:t xml:space="preserve">4. Unifier les libellés CTA</w:t>
      </w:r>
    </w:p>
    <w:p>
      <w:pPr>
        <w:spacing w:after="60" w:before="60"/>
      </w:pPr>
      <w:r>
        <w:rPr>
          <w:rFonts w:ascii="Arial" w:cs="Arial" w:eastAsia="Arial" w:hAnsi="Arial"/>
          <w:b w:val="false"/>
          <w:bCs w:val="false"/>
          <w:color w:val="212529"/>
          <w:sz w:val="22"/>
          <w:szCs w:val="22"/>
        </w:rPr>
        <w:t xml:space="preserve">Standardiser sur </w:t>
      </w:r>
      <w:r>
        <w:rPr>
          <w:rFonts w:ascii="Arial" w:cs="Arial" w:eastAsia="Arial" w:hAnsi="Arial"/>
          <w:b/>
          <w:bCs/>
          <w:color w:val="212529"/>
          <w:sz w:val="22"/>
          <w:szCs w:val="22"/>
        </w:rPr>
        <w:t xml:space="preserve">"Accéder au Blueprint — 27€ →"</w:t>
      </w:r>
      <w:r>
        <w:rPr>
          <w:rFonts w:ascii="Arial" w:cs="Arial" w:eastAsia="Arial" w:hAnsi="Arial"/>
          <w:color w:val="212529"/>
          <w:sz w:val="22"/>
          <w:szCs w:val="22"/>
        </w:rPr>
        <w:t xml:space="preserve"> partout. Supprimer les variantes. Le prix doit apparaître dans tous les CTAs pour réduire les surprises au moment du paiement.</w:t>
      </w:r>
    </w:p>
    <w:p>
      <w:pPr>
        <w:spacing w:after="80" w:before="80"/>
      </w:pPr>
      <w:r>
        <w:t xml:space="preserve"/>
      </w:r>
    </w:p>
    <w:p>
      <w:pPr>
        <w:spacing w:after="80" w:before="200"/>
      </w:pPr>
      <w:r>
        <w:rPr>
          <w:rFonts w:ascii="Arial" w:cs="Arial" w:eastAsia="Arial" w:hAnsi="Arial"/>
          <w:b/>
          <w:bCs/>
          <w:color w:val="212529"/>
          <w:sz w:val="24"/>
          <w:szCs w:val="24"/>
        </w:rPr>
        <w:t xml:space="preserve">5. Compresser la section Modules</w:t>
      </w:r>
    </w:p>
    <w:p>
      <w:pPr>
        <w:spacing w:after="60" w:before="60"/>
      </w:pPr>
      <w:r>
        <w:rPr>
          <w:rFonts w:ascii="Arial" w:cs="Arial" w:eastAsia="Arial" w:hAnsi="Arial"/>
          <w:color w:val="212529"/>
          <w:sz w:val="22"/>
          <w:szCs w:val="22"/>
        </w:rPr>
        <w:t xml:space="preserve">Remplacer le layout scroll-intensif (7 modules × hauteur plein écran) par une grille 3-4 modules/ligne. Proposer un module "développé" au survol ou au clic. Objectif : réduire le temps de scroll de ~60% sur cette section.</w:t>
      </w:r>
    </w:p>
    <w:p>
      <w:pPr>
        <w:spacing w:after="80" w:before="80"/>
      </w:pPr>
      <w:r>
        <w:t xml:space="preserve"/>
      </w:r>
    </w:p>
    <w:p>
      <w:pPr>
        <w:spacing w:after="80" w:before="200"/>
      </w:pPr>
      <w:r>
        <w:rPr>
          <w:rFonts w:ascii="Arial" w:cs="Arial" w:eastAsia="Arial" w:hAnsi="Arial"/>
          <w:b/>
          <w:bCs/>
          <w:color w:val="212529"/>
          <w:sz w:val="24"/>
          <w:szCs w:val="24"/>
        </w:rPr>
        <w:t xml:space="preserve">6. Aligner les mentions de valeur (1 235€ vs 1 236€)</w:t>
      </w:r>
    </w:p>
    <w:p>
      <w:pPr>
        <w:spacing w:after="60" w:before="60"/>
      </w:pPr>
      <w:r>
        <w:rPr>
          <w:rFonts w:ascii="Arial" w:cs="Arial" w:eastAsia="Arial" w:hAnsi="Arial"/>
          <w:color w:val="212529"/>
          <w:sz w:val="22"/>
          <w:szCs w:val="22"/>
        </w:rPr>
        <w:t xml:space="preserve">Corriger l'incohérence entre les deux mentions. Choisir 1 235€ ou 1 236€ et appliquer uniformément.</w:t>
      </w:r>
    </w:p>
    <w:p>
      <w:pPr>
        <w:spacing w:after="80" w:before="80"/>
      </w:pPr>
      <w:r>
        <w:t xml:space="preserve"/>
      </w:r>
    </w:p>
    <w:p>
      <w:pPr>
        <w:spacing w:after="80" w:before="200"/>
      </w:pPr>
      <w:r>
        <w:rPr>
          <w:rFonts w:ascii="Arial" w:cs="Arial" w:eastAsia="Arial" w:hAnsi="Arial"/>
          <w:b/>
          <w:bCs/>
          <w:color w:val="212529"/>
          <w:sz w:val="24"/>
          <w:szCs w:val="24"/>
        </w:rPr>
        <w:t xml:space="preserve">7. Clarifier les sous-marques en footer</w:t>
      </w:r>
    </w:p>
    <w:p>
      <w:pPr>
        <w:spacing w:after="60" w:before="60"/>
      </w:pPr>
      <w:r>
        <w:rPr>
          <w:rFonts w:ascii="Arial" w:cs="Arial" w:eastAsia="Arial" w:hAnsi="Arial"/>
          <w:color w:val="212529"/>
          <w:sz w:val="22"/>
          <w:szCs w:val="22"/>
        </w:rPr>
        <w:t xml:space="preserve">Supprimer "Buildrs Lab · Buildrs Club · Buildrs Pro" du footer si ces produits ne sont pas accessibles, ou les lier à leurs pages respectives avec une courte description.</w:t>
      </w:r>
    </w:p>
    <w:p>
      <w:pPr>
        <w:spacing w:after="80" w:before="80"/>
      </w:pPr>
      <w:r>
        <w:t xml:space="preserve"/>
      </w:r>
    </w:p>
    <w:p>
      <w:pPr>
        <w:spacing w:after="80" w:before="200"/>
      </w:pPr>
      <w:r>
        <w:rPr>
          <w:rFonts w:ascii="Arial" w:cs="Arial" w:eastAsia="Arial" w:hAnsi="Arial"/>
          <w:b/>
          <w:bCs/>
          <w:color w:val="212529"/>
          <w:sz w:val="24"/>
          <w:szCs w:val="24"/>
        </w:rPr>
        <w:t xml:space="preserve">8. Ajouter aria-labels sur les éléments interactifs clés</w:t>
      </w:r>
    </w:p>
    <w:p>
      <w:pPr>
        <w:spacing w:after="60" w:before="60"/>
      </w:pPr>
      <w:r>
        <w:rPr>
          <w:rFonts w:ascii="Arial" w:cs="Arial" w:eastAsia="Arial" w:hAnsi="Arial"/>
          <w:color w:val="212529"/>
          <w:sz w:val="22"/>
          <w:szCs w:val="22"/>
        </w:rPr>
        <w:t xml:space="preserve">Toggle dark mode, boutons FAQ, étoiles de notation. Travail de 1-2h en développement, impact accessibilité immédiat.</w:t>
      </w:r>
    </w:p>
    <w:p>
      <w:pPr>
        <w:spacing w:after="80" w:before="80"/>
      </w:pPr>
      <w:r>
        <w:t xml:space="preserve"/>
      </w:r>
    </w:p>
    <w:p>
      <w:pPr>
        <w:pStyle w:val="Heading2"/>
        <w:spacing w:after="100" w:before="280"/>
      </w:pPr>
      <w:r>
        <w:rPr>
          <w:rFonts w:ascii="Arial" w:cs="Arial" w:eastAsia="Arial" w:hAnsi="Arial"/>
          <w:b/>
          <w:bCs/>
          <w:color w:val="212529"/>
          <w:sz w:val="28"/>
          <w:szCs w:val="28"/>
        </w:rPr>
        <w:t xml:space="preserve">🟢 Priorité 3 — Polissage (nice to have)</w:t>
      </w:r>
    </w:p>
    <w:p>
      <w:pPr>
        <w:pStyle w:val="ListParagraph"/>
        <w:numPr>
          <w:ilvl w:val="0"/>
          <w:numId w:val="2"/>
        </w:numPr>
        <w:spacing w:after="40" w:before="40"/>
      </w:pPr>
      <w:r>
        <w:rPr>
          <w:rFonts w:ascii="Arial" w:cs="Arial" w:eastAsia="Arial" w:hAnsi="Arial"/>
          <w:color w:val="212529"/>
          <w:sz w:val="22"/>
          <w:szCs w:val="22"/>
        </w:rPr>
        <w:t xml:space="preserve">Ajouter un skip navigation link pour la navigation clavier</w:t>
      </w:r>
    </w:p>
    <w:p>
      <w:pPr>
        <w:pStyle w:val="ListParagraph"/>
        <w:numPr>
          <w:ilvl w:val="0"/>
          <w:numId w:val="2"/>
        </w:numPr>
        <w:spacing w:after="40" w:before="40"/>
      </w:pPr>
      <w:r>
        <w:rPr>
          <w:rFonts w:ascii="Arial" w:cs="Arial" w:eastAsia="Arial" w:hAnsi="Arial"/>
          <w:color w:val="212529"/>
          <w:sz w:val="22"/>
          <w:szCs w:val="22"/>
        </w:rPr>
        <w:t xml:space="preserve">Respecter prefers-reduced-motion pour l'animation de frappe</w:t>
      </w:r>
    </w:p>
    <w:p>
      <w:pPr>
        <w:pStyle w:val="ListParagraph"/>
        <w:numPr>
          <w:ilvl w:val="0"/>
          <w:numId w:val="2"/>
        </w:numPr>
        <w:spacing w:after="40" w:before="40"/>
      </w:pPr>
      <w:r>
        <w:rPr>
          <w:rFonts w:ascii="Arial" w:cs="Arial" w:eastAsia="Arial" w:hAnsi="Arial"/>
          <w:color w:val="212529"/>
          <w:sz w:val="22"/>
          <w:szCs w:val="22"/>
        </w:rPr>
        <w:t xml:space="preserve">Améliorer le contraste des logos d'outils dans la bande défilante</w:t>
      </w:r>
    </w:p>
    <w:p>
      <w:pPr>
        <w:pStyle w:val="ListParagraph"/>
        <w:numPr>
          <w:ilvl w:val="0"/>
          <w:numId w:val="2"/>
        </w:numPr>
        <w:spacing w:after="40" w:before="40"/>
      </w:pPr>
      <w:r>
        <w:rPr>
          <w:rFonts w:ascii="Arial" w:cs="Arial" w:eastAsia="Arial" w:hAnsi="Arial"/>
          <w:color w:val="212529"/>
          <w:sz w:val="22"/>
          <w:szCs w:val="22"/>
        </w:rPr>
        <w:t xml:space="preserve">Uniformiser les trust badges (même style pill dans toute la page)</w:t>
      </w:r>
    </w:p>
    <w:p>
      <w:pPr>
        <w:pStyle w:val="ListParagraph"/>
        <w:numPr>
          <w:ilvl w:val="0"/>
          <w:numId w:val="2"/>
        </w:numPr>
        <w:spacing w:after="40" w:before="40"/>
      </w:pPr>
      <w:r>
        <w:rPr>
          <w:rFonts w:ascii="Arial" w:cs="Arial" w:eastAsia="Arial" w:hAnsi="Arial"/>
          <w:color w:val="212529"/>
          <w:sz w:val="22"/>
          <w:szCs w:val="22"/>
        </w:rPr>
        <w:t xml:space="preserve">Ancrer les numéros décoratifs de modules à une position fixe</w:t>
      </w:r>
    </w:p>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7. Points forts à préserver</w:t>
      </w:r>
    </w:p>
    <w:p>
      <w:pPr>
        <w:spacing w:after="60" w:before="60"/>
      </w:pPr>
      <w:r>
        <w:rPr>
          <w:rFonts w:ascii="Arial" w:cs="Arial" w:eastAsia="Arial" w:hAnsi="Arial"/>
          <w:color w:val="212529"/>
          <w:sz w:val="22"/>
          <w:szCs w:val="22"/>
        </w:rPr>
        <w:t xml:space="preserve">Il est aussi important de nommer ce qui fonctionne pour ne pas le casser lors des corrections.</w:t>
      </w:r>
    </w:p>
    <w:p>
      <w:pPr>
        <w:spacing w:after="80" w:before="80"/>
      </w:pPr>
      <w:r>
        <w:t xml:space="preserve"/>
      </w:r>
    </w:p>
    <w:p>
      <w:pPr>
        <w:pStyle w:val="ListParagraph"/>
        <w:numPr>
          <w:ilvl w:val="0"/>
          <w:numId w:val="2"/>
        </w:numPr>
        <w:spacing w:after="40" w:before="40"/>
      </w:pPr>
      <w:r>
        <w:rPr>
          <w:rFonts w:ascii="Arial" w:cs="Arial" w:eastAsia="Arial" w:hAnsi="Arial"/>
          <w:color w:val="212529"/>
          <w:sz w:val="22"/>
          <w:szCs w:val="22"/>
        </w:rPr>
        <w:t xml:space="preserve">Copy principale : direct, tutoiement assumé, promesse audacieuse mais crédible. Ne pas adoucir.</w:t>
      </w:r>
    </w:p>
    <w:p>
      <w:pPr>
        <w:pStyle w:val="ListParagraph"/>
        <w:numPr>
          <w:ilvl w:val="0"/>
          <w:numId w:val="2"/>
        </w:numPr>
        <w:spacing w:after="40" w:before="40"/>
      </w:pPr>
      <w:r>
        <w:rPr>
          <w:rFonts w:ascii="Arial" w:cs="Arial" w:eastAsia="Arial" w:hAnsi="Arial"/>
          <w:color w:val="212529"/>
          <w:sz w:val="22"/>
          <w:szCs w:val="22"/>
        </w:rPr>
        <w:t xml:space="preserve">Structure narrative de la page : Problème → Transformation → Programme → Produit → Preuve → Prix → Objections. Logique et efficace.</w:t>
      </w:r>
    </w:p>
    <w:p>
      <w:pPr>
        <w:pStyle w:val="ListParagraph"/>
        <w:numPr>
          <w:ilvl w:val="0"/>
          <w:numId w:val="2"/>
        </w:numPr>
        <w:spacing w:after="40" w:before="40"/>
      </w:pPr>
      <w:r>
        <w:rPr>
          <w:rFonts w:ascii="Arial" w:cs="Arial" w:eastAsia="Arial" w:hAnsi="Arial"/>
          <w:color w:val="212529"/>
          <w:sz w:val="22"/>
          <w:szCs w:val="22"/>
        </w:rPr>
        <w:t xml:space="preserve">Effet glow sur le CTA : différenciateur fort sur un fond dark, doit être conservé.</w:t>
      </w:r>
    </w:p>
    <w:p>
      <w:pPr>
        <w:pStyle w:val="ListParagraph"/>
        <w:numPr>
          <w:ilvl w:val="0"/>
          <w:numId w:val="2"/>
        </w:numPr>
        <w:spacing w:after="40" w:before="40"/>
      </w:pPr>
      <w:r>
        <w:rPr>
          <w:rFonts w:ascii="Arial" w:cs="Arial" w:eastAsia="Arial" w:hAnsi="Arial"/>
          <w:color w:val="212529"/>
          <w:sz w:val="22"/>
          <w:szCs w:val="22"/>
        </w:rPr>
        <w:t xml:space="preserve">Section Avant/Après : parmi les meilleures pratiques pour une landing page SaaS. Efficace et visuellement clair.</w:t>
      </w:r>
    </w:p>
    <w:p>
      <w:pPr>
        <w:pStyle w:val="ListParagraph"/>
        <w:numPr>
          <w:ilvl w:val="0"/>
          <w:numId w:val="2"/>
        </w:numPr>
        <w:spacing w:after="40" w:before="40"/>
      </w:pPr>
      <w:r>
        <w:rPr>
          <w:rFonts w:ascii="Arial" w:cs="Arial" w:eastAsia="Arial" w:hAnsi="Arial"/>
          <w:color w:val="212529"/>
          <w:sz w:val="22"/>
          <w:szCs w:val="22"/>
        </w:rPr>
        <w:t xml:space="preserve">Prix affiché dès le hero : transparence bienvenue, réduit le taux d'abandon à la découverte du prix plus bas.</w:t>
      </w:r>
    </w:p>
    <w:p>
      <w:pPr>
        <w:pStyle w:val="ListParagraph"/>
        <w:numPr>
          <w:ilvl w:val="0"/>
          <w:numId w:val="2"/>
        </w:numPr>
        <w:spacing w:after="40" w:before="40"/>
      </w:pPr>
      <w:r>
        <w:rPr>
          <w:rFonts w:ascii="Arial" w:cs="Arial" w:eastAsia="Arial" w:hAnsi="Arial"/>
          <w:color w:val="212529"/>
          <w:sz w:val="22"/>
          <w:szCs w:val="22"/>
        </w:rPr>
        <w:t xml:space="preserve">Screenshot de l'app dans la section produit : preuve tangible que le produit existe et est abouti.</w:t>
      </w:r>
    </w:p>
    <w:p>
      <w:pPr>
        <w:pStyle w:val="ListParagraph"/>
        <w:numPr>
          <w:ilvl w:val="0"/>
          <w:numId w:val="2"/>
        </w:numPr>
        <w:spacing w:after="40" w:before="40"/>
      </w:pPr>
      <w:r>
        <w:rPr>
          <w:rFonts w:ascii="Arial" w:cs="Arial" w:eastAsia="Arial" w:hAnsi="Arial"/>
          <w:color w:val="212529"/>
          <w:sz w:val="22"/>
          <w:szCs w:val="22"/>
        </w:rPr>
        <w:t xml:space="preserve">FAQ couvrant les vraies objections ("pas besoin de coder", "comparaison avec bootcamps") : réduction excellente de la friction d'achat.</w:t>
      </w:r>
    </w:p>
    <w:p>
      <w:pPr>
        <w:pStyle w:val="ListParagraph"/>
        <w:numPr>
          <w:ilvl w:val="0"/>
          <w:numId w:val="2"/>
        </w:numPr>
        <w:spacing w:after="40" w:before="40"/>
      </w:pPr>
      <w:r>
        <w:rPr>
          <w:rFonts w:ascii="Arial" w:cs="Arial" w:eastAsia="Arial" w:hAnsi="Arial"/>
          <w:color w:val="212529"/>
          <w:sz w:val="22"/>
          <w:szCs w:val="22"/>
        </w:rPr>
        <w:t xml:space="preserve">Badge de garantie 30 jours dans la pricing card : rassurant, bien placé juste sous le CTA principal.</w:t>
      </w:r>
    </w:p>
    <w:p>
      <w:pPr>
        <w:spacing w:after="80" w:before="8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212529"/>
          <w:sz w:val="36"/>
          <w:szCs w:val="36"/>
        </w:rPr>
        <w:t xml:space="preserve">Annexe — Lexique de sévérité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Niveau</w:t>
            </w:r>
          </w:p>
        </w:tc>
        <w:tc>
          <w:tcPr>
            <w:tcW w:type="dxa" w:w="378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Définition</w:t>
            </w:r>
          </w:p>
        </w:tc>
        <w:tc>
          <w:tcPr>
            <w:tcW w:type="dxa" w:w="3780"/>
            <w:tcBorders>
              <w:top w:val="single" w:color="DDDDDD" w:sz="1"/>
              <w:left w:val="single" w:color="DDDDDD" w:sz="1"/>
              <w:bottom w:val="single" w:color="DDDDDD" w:sz="1"/>
              <w:right w:val="single" w:color="DDDDDD" w:sz="1"/>
            </w:tcBorders>
            <w:shd w:fill="2C3E50" w:val="clear"/>
            <w:tcMar>
              <w:top w:type="dxa" w:w="120"/>
              <w:left w:type="dxa" w:w="140"/>
              <w:bottom w:type="dxa" w:w="120"/>
              <w:right w:type="dxa" w:w="140"/>
            </w:tcMar>
          </w:tcPr>
          <w:p>
            <w:r>
              <w:rPr>
                <w:rFonts w:ascii="Arial" w:cs="Arial" w:eastAsia="Arial" w:hAnsi="Arial"/>
                <w:b/>
                <w:bCs/>
                <w:color w:val="FFFFFF"/>
                <w:sz w:val="20"/>
                <w:szCs w:val="20"/>
              </w:rPr>
              <w:t xml:space="preserve">Impact attendu</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0392B"/>
                <w:sz w:val="20"/>
                <w:szCs w:val="20"/>
              </w:rPr>
              <w:t xml:space="preserve">🔴 Critique</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Bloque ou confuse l'utilisateur, risque légal/conformité</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Perte directe de conversion ou exposition légale</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E67E22"/>
                <w:sz w:val="20"/>
                <w:szCs w:val="20"/>
              </w:rPr>
              <w:t xml:space="preserve">🟡 Modéré</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Friction ou incohérence notable, solution claire disponible</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Impact mesurable sur le taux de conversion</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7AE60"/>
                <w:sz w:val="20"/>
                <w:szCs w:val="20"/>
              </w:rPr>
              <w:t xml:space="preserve">🟢 Mineur</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Imperfection de polish, n'impacte pas la compréhension</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Améliore la qualité perçue, faible priorité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2026-04-05T13:23:31.429Z</dcterms:created>
  <dcterms:modified xsi:type="dcterms:W3CDTF">2026-04-05T13:23:31.429Z</dcterms:modified>
</cp:coreProperties>
</file>

<file path=docProps/custom.xml><?xml version="1.0" encoding="utf-8"?>
<Properties xmlns="http://schemas.openxmlformats.org/officeDocument/2006/custom-properties" xmlns:vt="http://schemas.openxmlformats.org/officeDocument/2006/docPropsVTypes"/>
</file>