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473A1" w14:textId="784F2109" w:rsidR="00273695" w:rsidRPr="00273695" w:rsidRDefault="00273695" w:rsidP="00273695">
      <w:pPr>
        <w:pStyle w:val="Heading1"/>
        <w:spacing w:before="0"/>
        <w:ind w:left="-5"/>
        <w:jc w:val="center"/>
        <w:rPr>
          <w:rFonts w:ascii="Calibri" w:hAnsi="Calibri" w:cs="Calibri"/>
          <w:color w:val="EE0000"/>
          <w:sz w:val="48"/>
          <w:szCs w:val="36"/>
        </w:rPr>
      </w:pPr>
      <w:r w:rsidRPr="00273695">
        <w:rPr>
          <w:rFonts w:ascii="Calibri" w:hAnsi="Calibri" w:cs="Calibri"/>
          <w:color w:val="EE0000"/>
          <w:sz w:val="48"/>
          <w:szCs w:val="36"/>
        </w:rPr>
        <w:t>Solution in Brief</w:t>
      </w:r>
    </w:p>
    <w:p w14:paraId="217C7717" w14:textId="77777777" w:rsidR="00273695" w:rsidRPr="00273695" w:rsidRDefault="00273695" w:rsidP="00273695"/>
    <w:p w14:paraId="7124A500" w14:textId="77777777" w:rsidR="00273695" w:rsidRPr="00273695" w:rsidRDefault="00273695" w:rsidP="00273695">
      <w:pPr>
        <w:spacing w:before="100" w:beforeAutospacing="1" w:after="100" w:afterAutospacing="1"/>
        <w:rPr>
          <w:rFonts w:ascii="Calibri" w:hAnsi="Calibri" w:cs="Calibri"/>
          <w:sz w:val="25"/>
          <w:szCs w:val="25"/>
        </w:rPr>
      </w:pPr>
      <w:r w:rsidRPr="00273695">
        <w:rPr>
          <w:rFonts w:ascii="Calibri" w:hAnsi="Calibri" w:cs="Calibri"/>
          <w:sz w:val="25"/>
          <w:szCs w:val="25"/>
        </w:rPr>
        <w:t>Three things are non-negotiable in the statement, and judges will check for all three:</w:t>
      </w:r>
    </w:p>
    <w:p w14:paraId="25DAF613" w14:textId="77777777" w:rsidR="00273695" w:rsidRPr="00273695" w:rsidRDefault="00273695" w:rsidP="00273695">
      <w:pPr>
        <w:numPr>
          <w:ilvl w:val="0"/>
          <w:numId w:val="8"/>
        </w:numPr>
        <w:spacing w:before="100" w:beforeAutospacing="1" w:after="100" w:afterAutospacing="1"/>
        <w:rPr>
          <w:rFonts w:ascii="Calibri" w:hAnsi="Calibri" w:cs="Calibri"/>
          <w:sz w:val="25"/>
          <w:szCs w:val="25"/>
        </w:rPr>
      </w:pPr>
      <w:r w:rsidRPr="00273695">
        <w:rPr>
          <w:rFonts w:ascii="Calibri" w:hAnsi="Calibri" w:cs="Calibri"/>
          <w:b/>
          <w:bCs/>
          <w:sz w:val="25"/>
          <w:szCs w:val="25"/>
        </w:rPr>
        <w:t xml:space="preserve">It must sit </w:t>
      </w:r>
      <w:r w:rsidRPr="00273695">
        <w:rPr>
          <w:rFonts w:ascii="Calibri" w:hAnsi="Calibri" w:cs="Calibri"/>
          <w:b/>
          <w:bCs/>
          <w:i/>
          <w:iCs/>
          <w:sz w:val="25"/>
          <w:szCs w:val="25"/>
        </w:rPr>
        <w:t>alongside</w:t>
      </w:r>
      <w:r w:rsidRPr="00273695">
        <w:rPr>
          <w:rFonts w:ascii="Calibri" w:hAnsi="Calibri" w:cs="Calibri"/>
          <w:b/>
          <w:bCs/>
          <w:sz w:val="25"/>
          <w:szCs w:val="25"/>
        </w:rPr>
        <w:t xml:space="preserve"> eRTMAC, not replace it.</w:t>
      </w:r>
      <w:r w:rsidRPr="00273695">
        <w:rPr>
          <w:rFonts w:ascii="Calibri" w:hAnsi="Calibri" w:cs="Calibri"/>
          <w:sz w:val="25"/>
          <w:szCs w:val="25"/>
        </w:rPr>
        <w:t xml:space="preserve"> eRTMAC already does real-time monitoring. NWIS's job is </w:t>
      </w:r>
      <w:r w:rsidRPr="00273695">
        <w:rPr>
          <w:rFonts w:ascii="Calibri" w:hAnsi="Calibri" w:cs="Calibri"/>
          <w:i/>
          <w:iCs/>
          <w:sz w:val="25"/>
          <w:szCs w:val="25"/>
        </w:rPr>
        <w:t>institutional memory</w:t>
      </w:r>
      <w:r w:rsidRPr="00273695">
        <w:rPr>
          <w:rFonts w:ascii="Calibri" w:hAnsi="Calibri" w:cs="Calibri"/>
          <w:sz w:val="25"/>
          <w:szCs w:val="25"/>
        </w:rPr>
        <w:t>, not live telemetry. A team that rebuilds a live-monitoring dashboard has misunderstood the ask.</w:t>
      </w:r>
    </w:p>
    <w:p w14:paraId="5C1F0128" w14:textId="77777777" w:rsidR="00273695" w:rsidRPr="00273695" w:rsidRDefault="00273695" w:rsidP="00273695">
      <w:pPr>
        <w:numPr>
          <w:ilvl w:val="0"/>
          <w:numId w:val="8"/>
        </w:numPr>
        <w:spacing w:before="100" w:beforeAutospacing="1" w:after="100" w:afterAutospacing="1"/>
        <w:rPr>
          <w:rFonts w:ascii="Calibri" w:hAnsi="Calibri" w:cs="Calibri"/>
          <w:sz w:val="25"/>
          <w:szCs w:val="25"/>
        </w:rPr>
      </w:pPr>
      <w:r w:rsidRPr="00273695">
        <w:rPr>
          <w:rFonts w:ascii="Calibri" w:hAnsi="Calibri" w:cs="Calibri"/>
          <w:b/>
          <w:bCs/>
          <w:sz w:val="25"/>
          <w:szCs w:val="25"/>
        </w:rPr>
        <w:t>It must be geospatial AND geological AND depth-aware.</w:t>
      </w:r>
      <w:r w:rsidRPr="00273695">
        <w:rPr>
          <w:rFonts w:ascii="Calibri" w:hAnsi="Calibri" w:cs="Calibri"/>
          <w:sz w:val="25"/>
          <w:szCs w:val="25"/>
        </w:rPr>
        <w:t xml:space="preserve"> The statement explicitly separates "nearby wells" (map/radius) from "similar wells" (formation/depth/parameter correlation). Most competing teams will only build the map. The depth/formation correlation is where the real engineering difficulty — and the real differentiation — lives.</w:t>
      </w:r>
    </w:p>
    <w:p w14:paraId="2C7C3599" w14:textId="77777777" w:rsidR="00273695" w:rsidRPr="00273695" w:rsidRDefault="00273695" w:rsidP="00273695">
      <w:pPr>
        <w:numPr>
          <w:ilvl w:val="0"/>
          <w:numId w:val="8"/>
        </w:numPr>
        <w:spacing w:before="100" w:beforeAutospacing="1" w:after="100" w:afterAutospacing="1"/>
        <w:rPr>
          <w:rFonts w:ascii="Calibri" w:hAnsi="Calibri" w:cs="Calibri"/>
          <w:sz w:val="25"/>
          <w:szCs w:val="25"/>
        </w:rPr>
      </w:pPr>
      <w:r w:rsidRPr="00273695">
        <w:rPr>
          <w:rFonts w:ascii="Calibri" w:hAnsi="Calibri" w:cs="Calibri"/>
          <w:b/>
          <w:bCs/>
          <w:sz w:val="25"/>
          <w:szCs w:val="25"/>
        </w:rPr>
        <w:t>It must be proactive, not retrieval-only.</w:t>
      </w:r>
      <w:r w:rsidRPr="00273695">
        <w:rPr>
          <w:rFonts w:ascii="Calibri" w:hAnsi="Calibri" w:cs="Calibri"/>
          <w:sz w:val="25"/>
          <w:szCs w:val="25"/>
        </w:rPr>
        <w:t xml:space="preserve"> "Generate alerts when current operations approach depths/formations where similar challenges occurred" means the system has to compare a live state against history and fire </w:t>
      </w:r>
      <w:r w:rsidRPr="00273695">
        <w:rPr>
          <w:rFonts w:ascii="Calibri" w:hAnsi="Calibri" w:cs="Calibri"/>
          <w:i/>
          <w:iCs/>
          <w:sz w:val="25"/>
          <w:szCs w:val="25"/>
        </w:rPr>
        <w:t>before</w:t>
      </w:r>
      <w:r w:rsidRPr="00273695">
        <w:rPr>
          <w:rFonts w:ascii="Calibri" w:hAnsi="Calibri" w:cs="Calibri"/>
          <w:sz w:val="25"/>
          <w:szCs w:val="25"/>
        </w:rPr>
        <w:t xml:space="preserve"> the event, not answer a query </w:t>
      </w:r>
      <w:r w:rsidRPr="00273695">
        <w:rPr>
          <w:rFonts w:ascii="Calibri" w:hAnsi="Calibri" w:cs="Calibri"/>
          <w:i/>
          <w:iCs/>
          <w:sz w:val="25"/>
          <w:szCs w:val="25"/>
        </w:rPr>
        <w:t>after</w:t>
      </w:r>
      <w:r w:rsidRPr="00273695">
        <w:rPr>
          <w:rFonts w:ascii="Calibri" w:hAnsi="Calibri" w:cs="Calibri"/>
          <w:sz w:val="25"/>
          <w:szCs w:val="25"/>
        </w:rPr>
        <w:t xml:space="preserve"> someone asks.</w:t>
      </w:r>
    </w:p>
    <w:p w14:paraId="3420EECC" w14:textId="77777777" w:rsidR="00273695" w:rsidRPr="00273695" w:rsidRDefault="00273695" w:rsidP="00273695">
      <w:pPr>
        <w:spacing w:before="100" w:beforeAutospacing="1" w:after="100" w:afterAutospacing="1"/>
        <w:rPr>
          <w:rFonts w:ascii="Calibri" w:hAnsi="Calibri" w:cs="Calibri"/>
          <w:sz w:val="25"/>
          <w:szCs w:val="25"/>
        </w:rPr>
      </w:pPr>
      <w:r w:rsidRPr="00273695">
        <w:rPr>
          <w:rFonts w:ascii="Calibri" w:hAnsi="Calibri" w:cs="Calibri"/>
          <w:b/>
          <w:bCs/>
          <w:sz w:val="25"/>
          <w:szCs w:val="25"/>
        </w:rPr>
        <w:t>Architecture</w:t>
      </w:r>
    </w:p>
    <w:p w14:paraId="6E75D522" w14:textId="77777777" w:rsidR="00273695" w:rsidRPr="00273695" w:rsidRDefault="00273695" w:rsidP="00273695">
      <w:pPr>
        <w:numPr>
          <w:ilvl w:val="0"/>
          <w:numId w:val="7"/>
        </w:numPr>
        <w:spacing w:before="100" w:beforeAutospacing="1" w:after="100" w:afterAutospacing="1"/>
        <w:rPr>
          <w:rFonts w:ascii="Calibri" w:hAnsi="Calibri" w:cs="Calibri"/>
          <w:sz w:val="25"/>
          <w:szCs w:val="25"/>
        </w:rPr>
      </w:pPr>
      <w:r w:rsidRPr="00273695">
        <w:rPr>
          <w:rFonts w:ascii="Calibri" w:hAnsi="Calibri" w:cs="Calibri"/>
          <w:sz w:val="25"/>
          <w:szCs w:val="25"/>
        </w:rPr>
        <w:t>Ingestion: OCR + layout-aware extraction (per Document 2's pipeline: page → layout detection → table/text OCR → section segmentation → entity/event extraction → ontology normalization → confidence scoring → human-review queue for low-confidence/high-impact records).</w:t>
      </w:r>
    </w:p>
    <w:p w14:paraId="397E6F11" w14:textId="77777777" w:rsidR="00273695" w:rsidRPr="00273695" w:rsidRDefault="00273695" w:rsidP="00273695">
      <w:pPr>
        <w:numPr>
          <w:ilvl w:val="0"/>
          <w:numId w:val="7"/>
        </w:numPr>
        <w:spacing w:before="100" w:beforeAutospacing="1" w:after="100" w:afterAutospacing="1"/>
        <w:rPr>
          <w:rFonts w:ascii="Calibri" w:hAnsi="Calibri" w:cs="Calibri"/>
          <w:sz w:val="25"/>
          <w:szCs w:val="25"/>
        </w:rPr>
      </w:pPr>
      <w:r w:rsidRPr="00273695">
        <w:rPr>
          <w:rFonts w:ascii="Calibri" w:hAnsi="Calibri" w:cs="Calibri"/>
          <w:sz w:val="25"/>
          <w:szCs w:val="25"/>
        </w:rPr>
        <w:t>Storage: object storage for source PDFs (for evidence traceability), relational DB for structured extracted records, vector index for narrative passages (TADI-style semantic search), lightweight graph for well-formation-event-mitigation relationships.</w:t>
      </w:r>
    </w:p>
    <w:p w14:paraId="4277A070" w14:textId="77777777" w:rsidR="00273695" w:rsidRPr="00273695" w:rsidRDefault="00273695" w:rsidP="00273695">
      <w:pPr>
        <w:numPr>
          <w:ilvl w:val="0"/>
          <w:numId w:val="7"/>
        </w:numPr>
        <w:spacing w:before="100" w:beforeAutospacing="1" w:after="100" w:afterAutospacing="1"/>
        <w:rPr>
          <w:rFonts w:ascii="Calibri" w:hAnsi="Calibri" w:cs="Calibri"/>
          <w:sz w:val="25"/>
          <w:szCs w:val="25"/>
        </w:rPr>
      </w:pPr>
      <w:r w:rsidRPr="00273695">
        <w:rPr>
          <w:rFonts w:ascii="Calibri" w:hAnsi="Calibri" w:cs="Calibri"/>
          <w:sz w:val="25"/>
          <w:szCs w:val="25"/>
        </w:rPr>
        <w:t xml:space="preserve">Because you don't have enough labeled outcomes to safely train a supervised classifier, </w:t>
      </w:r>
      <w:r w:rsidRPr="00273695">
        <w:rPr>
          <w:rFonts w:ascii="Calibri" w:hAnsi="Calibri" w:cs="Calibri"/>
          <w:b/>
          <w:bCs/>
          <w:sz w:val="25"/>
          <w:szCs w:val="25"/>
        </w:rPr>
        <w:t>the risk engine here is primarily similarity- and rule-based</w:t>
      </w:r>
      <w:r w:rsidRPr="00273695">
        <w:rPr>
          <w:rFonts w:ascii="Calibri" w:hAnsi="Calibri" w:cs="Calibri"/>
          <w:sz w:val="25"/>
          <w:szCs w:val="25"/>
        </w:rPr>
        <w:t xml:space="preserve">, not a trained classifier: retrieve comparable offset events via composite similarity, aggregate them into a risk corridor (event frequency, severity distribution, mitigation success rate), and score the live well's proximity to that corridor. This is honestly a </w:t>
      </w:r>
      <w:r w:rsidRPr="00273695">
        <w:rPr>
          <w:rFonts w:ascii="Calibri" w:hAnsi="Calibri" w:cs="Calibri"/>
          <w:i/>
          <w:iCs/>
          <w:sz w:val="25"/>
          <w:szCs w:val="25"/>
        </w:rPr>
        <w:t>more defensible</w:t>
      </w:r>
      <w:r w:rsidRPr="00273695">
        <w:rPr>
          <w:rFonts w:ascii="Calibri" w:hAnsi="Calibri" w:cs="Calibri"/>
          <w:sz w:val="25"/>
          <w:szCs w:val="25"/>
        </w:rPr>
        <w:t xml:space="preserve"> choice for a hackathon judge with a data-science background than pretending to have trained a classifier on data you didn't have.</w:t>
      </w:r>
    </w:p>
    <w:p w14:paraId="0252CA8C" w14:textId="77777777" w:rsidR="00273695" w:rsidRPr="00273695" w:rsidRDefault="00273695" w:rsidP="00273695">
      <w:pPr>
        <w:numPr>
          <w:ilvl w:val="0"/>
          <w:numId w:val="7"/>
        </w:numPr>
        <w:spacing w:before="100" w:beforeAutospacing="1" w:after="100" w:afterAutospacing="1"/>
        <w:rPr>
          <w:rFonts w:ascii="Calibri" w:hAnsi="Calibri" w:cs="Calibri"/>
          <w:sz w:val="25"/>
          <w:szCs w:val="25"/>
        </w:rPr>
      </w:pPr>
      <w:r w:rsidRPr="00273695">
        <w:rPr>
          <w:rFonts w:ascii="Calibri" w:hAnsi="Calibri" w:cs="Calibri"/>
          <w:sz w:val="25"/>
          <w:szCs w:val="25"/>
        </w:rPr>
        <w:t xml:space="preserve">eRTMAC integration is </w:t>
      </w:r>
      <w:r w:rsidRPr="00273695">
        <w:rPr>
          <w:rFonts w:ascii="Calibri" w:hAnsi="Calibri" w:cs="Calibri"/>
          <w:b/>
          <w:bCs/>
          <w:sz w:val="25"/>
          <w:szCs w:val="25"/>
        </w:rPr>
        <w:t>simulated/mocked</w:t>
      </w:r>
      <w:r w:rsidRPr="00273695">
        <w:rPr>
          <w:rFonts w:ascii="Calibri" w:hAnsi="Calibri" w:cs="Calibri"/>
          <w:sz w:val="25"/>
          <w:szCs w:val="25"/>
        </w:rPr>
        <w:t xml:space="preserve"> using a replayed historical well (exactly TADI's "historical replay" evaluation idea) — the architecture is built so a real eRTMAC stream can later replace the mock without changing the alerting/API contract.</w:t>
      </w:r>
    </w:p>
    <w:p w14:paraId="3D3118E1" w14:textId="77777777" w:rsidR="00273695" w:rsidRPr="00273695" w:rsidRDefault="00273695" w:rsidP="00273695">
      <w:pPr>
        <w:spacing w:before="100" w:beforeAutospacing="1" w:after="100" w:afterAutospacing="1"/>
        <w:rPr>
          <w:rFonts w:ascii="Calibri" w:hAnsi="Calibri" w:cs="Calibri"/>
          <w:sz w:val="25"/>
          <w:szCs w:val="25"/>
        </w:rPr>
      </w:pPr>
      <w:r w:rsidRPr="00273695">
        <w:rPr>
          <w:rFonts w:ascii="Calibri" w:hAnsi="Calibri" w:cs="Calibri"/>
          <w:b/>
          <w:bCs/>
          <w:sz w:val="25"/>
          <w:szCs w:val="25"/>
        </w:rPr>
        <w:t>Uniqueness:</w:t>
      </w:r>
      <w:r w:rsidRPr="00273695">
        <w:rPr>
          <w:rFonts w:ascii="Calibri" w:hAnsi="Calibri" w:cs="Calibri"/>
          <w:sz w:val="25"/>
          <w:szCs w:val="25"/>
        </w:rPr>
        <w:t xml:space="preserve"> the extraction and normalization pipeline itself — converting messy scanned reports into a queryable, depth-and-formation-tagged event graph is the hard, valuable, and demonstrable engineering work, independent of whether you have a trained classifier yet. </w:t>
      </w:r>
      <w:r w:rsidRPr="00273695">
        <w:rPr>
          <w:rFonts w:ascii="Calibri" w:hAnsi="Calibri" w:cs="Calibri"/>
          <w:b/>
          <w:bCs/>
          <w:sz w:val="25"/>
          <w:szCs w:val="25"/>
        </w:rPr>
        <w:t>Problem solved:</w:t>
      </w:r>
      <w:r w:rsidRPr="00273695">
        <w:rPr>
          <w:rFonts w:ascii="Calibri" w:hAnsi="Calibri" w:cs="Calibri"/>
          <w:sz w:val="25"/>
          <w:szCs w:val="25"/>
        </w:rPr>
        <w:t xml:space="preserve"> points (i)-(iv) and (vii) of the statement fully; point (v)/(vi) delivered as a calibrated, evidence-backed similarity signal rather than a black-box prediction — which is </w:t>
      </w:r>
      <w:r w:rsidRPr="00273695">
        <w:rPr>
          <w:rFonts w:ascii="Calibri" w:hAnsi="Calibri" w:cs="Calibri"/>
          <w:i/>
          <w:iCs/>
          <w:sz w:val="25"/>
          <w:szCs w:val="25"/>
        </w:rPr>
        <w:t>more trustworthy</w:t>
      </w:r>
      <w:r w:rsidRPr="00273695">
        <w:rPr>
          <w:rFonts w:ascii="Calibri" w:hAnsi="Calibri" w:cs="Calibri"/>
          <w:sz w:val="25"/>
          <w:szCs w:val="25"/>
        </w:rPr>
        <w:t xml:space="preserve">, and you should say so explicitly to judges ("we chose explainable historical-corridor risk over an undertrained black-box classifier because in safety-critical drilling decisions, false confidence is worse than no prediction"). </w:t>
      </w:r>
      <w:r w:rsidRPr="00273695">
        <w:rPr>
          <w:rFonts w:ascii="Calibri" w:hAnsi="Calibri" w:cs="Calibri"/>
          <w:b/>
          <w:bCs/>
          <w:sz w:val="25"/>
          <w:szCs w:val="25"/>
        </w:rPr>
        <w:t>Impact/benefit:</w:t>
      </w:r>
      <w:r w:rsidRPr="00273695">
        <w:rPr>
          <w:rFonts w:ascii="Calibri" w:hAnsi="Calibri" w:cs="Calibri"/>
          <w:sz w:val="25"/>
          <w:szCs w:val="25"/>
        </w:rPr>
        <w:t xml:space="preserve"> same institutional-memory and NPT-reduction value; realistic and honestly scoped, which reads as maturity to experienced judges.</w:t>
      </w:r>
    </w:p>
    <w:p w14:paraId="1F94362D" w14:textId="77777777" w:rsidR="00273695" w:rsidRPr="00273695" w:rsidRDefault="00273695" w:rsidP="00273695">
      <w:pPr>
        <w:rPr>
          <w:rFonts w:ascii="Calibri" w:hAnsi="Calibri" w:cs="Calibri"/>
        </w:rPr>
      </w:pPr>
    </w:p>
    <w:p w14:paraId="13EF1CF0" w14:textId="77777777" w:rsidR="00273695" w:rsidRPr="00273695" w:rsidRDefault="00273695" w:rsidP="00273695">
      <w:pPr>
        <w:rPr>
          <w:rFonts w:ascii="Calibri" w:hAnsi="Calibri" w:cs="Calibri"/>
        </w:rPr>
      </w:pPr>
    </w:p>
    <w:p w14:paraId="5735ECB1" w14:textId="41A608D5" w:rsidR="00273695" w:rsidRPr="00DC2CEB" w:rsidRDefault="00273695" w:rsidP="00273695">
      <w:pPr>
        <w:pStyle w:val="Heading2"/>
        <w:jc w:val="center"/>
        <w:rPr>
          <w:rFonts w:ascii="Calibri" w:eastAsia="Times New Roman" w:hAnsi="Calibri" w:cs="Calibri"/>
          <w:color w:val="auto"/>
          <w:szCs w:val="28"/>
        </w:rPr>
      </w:pPr>
      <w:r w:rsidRPr="00DC2CEB">
        <w:rPr>
          <w:rFonts w:ascii="Calibri" w:hAnsi="Calibri" w:cs="Calibri"/>
          <w:szCs w:val="28"/>
        </w:rPr>
        <w:lastRenderedPageBreak/>
        <w:t>SPECIFIC ADDITIONAL QUESTIONS</w:t>
      </w:r>
      <w:r w:rsidR="00DC2CEB" w:rsidRPr="00DC2CEB">
        <w:rPr>
          <w:rFonts w:ascii="Calibri" w:hAnsi="Calibri" w:cs="Calibri"/>
          <w:szCs w:val="28"/>
        </w:rPr>
        <w:t>(These were some inputs from my side)</w:t>
      </w:r>
    </w:p>
    <w:p w14:paraId="4AC62368" w14:textId="77777777" w:rsidR="00273695" w:rsidRPr="00273695" w:rsidRDefault="00273695" w:rsidP="00273695">
      <w:pPr>
        <w:pStyle w:val="Heading3"/>
        <w:rPr>
          <w:rFonts w:ascii="Calibri" w:hAnsi="Calibri" w:cs="Calibri"/>
        </w:rPr>
      </w:pPr>
      <w:r w:rsidRPr="00273695">
        <w:rPr>
          <w:rFonts w:ascii="Calibri" w:hAnsi="Calibri" w:cs="Calibri"/>
        </w:rPr>
        <w:t>1.1 Closest well vs. Best-comparison well — these are different and you should show both</w:t>
      </w:r>
    </w:p>
    <w:p w14:paraId="2E493635" w14:textId="77777777" w:rsidR="00273695" w:rsidRPr="00273695" w:rsidRDefault="00273695" w:rsidP="00273695">
      <w:pPr>
        <w:numPr>
          <w:ilvl w:val="0"/>
          <w:numId w:val="9"/>
        </w:numPr>
        <w:spacing w:before="100" w:beforeAutospacing="1" w:after="100" w:afterAutospacing="1"/>
        <w:rPr>
          <w:rFonts w:ascii="Calibri" w:hAnsi="Calibri" w:cs="Calibri"/>
        </w:rPr>
      </w:pPr>
      <w:r w:rsidRPr="00273695">
        <w:rPr>
          <w:rStyle w:val="Strong"/>
          <w:rFonts w:ascii="Calibri" w:hAnsi="Calibri" w:cs="Calibri"/>
        </w:rPr>
        <w:t>Closest well</w:t>
      </w:r>
      <w:r w:rsidRPr="00273695">
        <w:rPr>
          <w:rFonts w:ascii="Calibri" w:hAnsi="Calibri" w:cs="Calibri"/>
        </w:rPr>
        <w:t xml:space="preserve"> = pure geographic proximity (haversine distance from lat/long).</w:t>
      </w:r>
    </w:p>
    <w:p w14:paraId="49B15889" w14:textId="77777777" w:rsidR="00273695" w:rsidRPr="00273695" w:rsidRDefault="00273695" w:rsidP="00273695">
      <w:pPr>
        <w:numPr>
          <w:ilvl w:val="0"/>
          <w:numId w:val="9"/>
        </w:numPr>
        <w:spacing w:before="100" w:beforeAutospacing="1" w:after="100" w:afterAutospacing="1"/>
        <w:rPr>
          <w:rFonts w:ascii="Calibri" w:hAnsi="Calibri" w:cs="Calibri"/>
        </w:rPr>
      </w:pPr>
      <w:r w:rsidRPr="00273695">
        <w:rPr>
          <w:rStyle w:val="Strong"/>
          <w:rFonts w:ascii="Calibri" w:hAnsi="Calibri" w:cs="Calibri"/>
        </w:rPr>
        <w:t>Best-comparison well</w:t>
      </w:r>
      <w:r w:rsidRPr="00273695">
        <w:rPr>
          <w:rFonts w:ascii="Calibri" w:hAnsi="Calibri" w:cs="Calibri"/>
        </w:rPr>
        <w:t xml:space="preserve"> = highest </w:t>
      </w:r>
      <w:r w:rsidRPr="00273695">
        <w:rPr>
          <w:rStyle w:val="Strong"/>
          <w:rFonts w:ascii="Calibri" w:hAnsi="Calibri" w:cs="Calibri"/>
        </w:rPr>
        <w:t>composite similarity score</w:t>
      </w:r>
      <w:r w:rsidRPr="00273695">
        <w:rPr>
          <w:rFonts w:ascii="Calibri" w:hAnsi="Calibri" w:cs="Calibri"/>
        </w:rPr>
        <w:t xml:space="preserve"> across formation match, depth-normalized alignment, trajectory/hole-section similarity, operational-parameter similarity, and (with a lower weight) geographic proximity.</w:t>
      </w:r>
    </w:p>
    <w:p w14:paraId="339E4BF9" w14:textId="77777777" w:rsidR="00273695" w:rsidRPr="00273695" w:rsidRDefault="00273695" w:rsidP="00273695">
      <w:pPr>
        <w:numPr>
          <w:ilvl w:val="0"/>
          <w:numId w:val="9"/>
        </w:numPr>
        <w:spacing w:before="100" w:beforeAutospacing="1" w:after="100" w:afterAutospacing="1"/>
        <w:rPr>
          <w:rFonts w:ascii="Calibri" w:hAnsi="Calibri" w:cs="Calibri"/>
        </w:rPr>
      </w:pPr>
      <w:r w:rsidRPr="00273695">
        <w:rPr>
          <w:rFonts w:ascii="Calibri" w:hAnsi="Calibri" w:cs="Calibri"/>
        </w:rPr>
        <w:t xml:space="preserve">Document 2's own worked example makes the point precisely: a well 3.1 km away in the same formation and depth interval can be a better comparison than a well 1.8 km away with a different trajectory. </w:t>
      </w:r>
      <w:r w:rsidRPr="00273695">
        <w:rPr>
          <w:rStyle w:val="Strong"/>
          <w:rFonts w:ascii="Calibri" w:hAnsi="Calibri" w:cs="Calibri"/>
        </w:rPr>
        <w:t>Show both numbers on the offset-well card in the UI</w:t>
      </w:r>
      <w:r w:rsidRPr="00273695">
        <w:rPr>
          <w:rFonts w:ascii="Calibri" w:hAnsi="Calibri" w:cs="Calibri"/>
        </w:rPr>
        <w:t xml:space="preserve"> ("Distance: 3.1 km | Similarity: 0.81") so judges see you deliberately built both signals rather than only the easy one.</w:t>
      </w:r>
    </w:p>
    <w:p w14:paraId="5AD55EE1" w14:textId="77777777" w:rsidR="00273695" w:rsidRPr="00273695" w:rsidRDefault="00273695" w:rsidP="00273695">
      <w:pPr>
        <w:pStyle w:val="Heading3"/>
        <w:rPr>
          <w:rFonts w:ascii="Calibri" w:hAnsi="Calibri" w:cs="Calibri"/>
        </w:rPr>
      </w:pPr>
      <w:r w:rsidRPr="00273695">
        <w:rPr>
          <w:rFonts w:ascii="Calibri" w:hAnsi="Calibri" w:cs="Calibri"/>
        </w:rPr>
        <w:t>1.2 Coordinates</w:t>
      </w:r>
    </w:p>
    <w:p w14:paraId="46A5CC42" w14:textId="77777777" w:rsidR="00273695" w:rsidRPr="00273695" w:rsidRDefault="00273695" w:rsidP="00273695">
      <w:pPr>
        <w:pStyle w:val="NormalWeb"/>
        <w:rPr>
          <w:rFonts w:ascii="Calibri" w:hAnsi="Calibri" w:cs="Calibri"/>
        </w:rPr>
      </w:pPr>
      <w:r w:rsidRPr="00273695">
        <w:rPr>
          <w:rFonts w:ascii="Calibri" w:hAnsi="Calibri" w:cs="Calibri"/>
        </w:rPr>
        <w:t>Yes — ingest lat/long (and where available, surface + bottom-hole coordinates, since these differ for deviated/horizontal wells) for every well. Store as geospatial points (PostGIS or a simple lat/long pair is enough for a hackathon), and use them for (a) the map visualization and (b) the geographic-proximity term in the similarity score. If true coordinates aren't available for older wells, approximate at field-centroid level and flag confidence accordingly — don't silently guess.</w:t>
      </w:r>
    </w:p>
    <w:p w14:paraId="6199D6BE" w14:textId="77777777" w:rsidR="00273695" w:rsidRPr="00273695" w:rsidRDefault="00273695" w:rsidP="00273695">
      <w:pPr>
        <w:pStyle w:val="Heading3"/>
        <w:rPr>
          <w:rFonts w:ascii="Calibri" w:hAnsi="Calibri" w:cs="Calibri"/>
        </w:rPr>
      </w:pPr>
      <w:r w:rsidRPr="00273695">
        <w:rPr>
          <w:rFonts w:ascii="Calibri" w:hAnsi="Calibri" w:cs="Calibri"/>
        </w:rPr>
        <w:t>1.3 Mud, casing, and cementing categories — and "best composition"</w:t>
      </w:r>
    </w:p>
    <w:p w14:paraId="65D01DE6" w14:textId="77777777" w:rsidR="00273695" w:rsidRPr="00273695" w:rsidRDefault="00273695" w:rsidP="00273695">
      <w:pPr>
        <w:pStyle w:val="NormalWeb"/>
        <w:rPr>
          <w:rFonts w:ascii="Calibri" w:hAnsi="Calibri" w:cs="Calibri"/>
        </w:rPr>
      </w:pPr>
      <w:r w:rsidRPr="00273695">
        <w:rPr>
          <w:rFonts w:ascii="Calibri" w:hAnsi="Calibri" w:cs="Calibri"/>
        </w:rPr>
        <w:t xml:space="preserve">Be careful with this question in the pitch: </w:t>
      </w:r>
      <w:r w:rsidRPr="00273695">
        <w:rPr>
          <w:rStyle w:val="Strong"/>
          <w:rFonts w:ascii="Calibri" w:hAnsi="Calibri" w:cs="Calibri"/>
        </w:rPr>
        <w:t>there is no single "best" mud/casing/cementing composition</w:t>
      </w:r>
      <w:r w:rsidRPr="00273695">
        <w:rPr>
          <w:rFonts w:ascii="Calibri" w:hAnsi="Calibri" w:cs="Calibri"/>
        </w:rPr>
        <w:t xml:space="preserve"> — it is always formation-, pressure-, and depth-specific, and claiming a universal best would actually hurt your credibility with any judge with a petroleum-engineering background. What you </w:t>
      </w:r>
      <w:r w:rsidRPr="00273695">
        <w:rPr>
          <w:rStyle w:val="Emphasis"/>
          <w:rFonts w:ascii="Calibri" w:hAnsi="Calibri" w:cs="Calibri"/>
        </w:rPr>
        <w:t>can</w:t>
      </w:r>
      <w:r w:rsidRPr="00273695">
        <w:rPr>
          <w:rFonts w:ascii="Calibri" w:hAnsi="Calibri" w:cs="Calibri"/>
        </w:rPr>
        <w:t xml:space="preserve"> and should build is a system that surfaces the </w:t>
      </w:r>
      <w:r w:rsidRPr="00273695">
        <w:rPr>
          <w:rStyle w:val="Strong"/>
          <w:rFonts w:ascii="Calibri" w:hAnsi="Calibri" w:cs="Calibri"/>
        </w:rPr>
        <w:t>best-performing composition for a given formation/depth/pressure context</w:t>
      </w:r>
      <w:r w:rsidRPr="00273695">
        <w:rPr>
          <w:rFonts w:ascii="Calibri" w:hAnsi="Calibri" w:cs="Calibri"/>
        </w:rPr>
        <w:t>, based on historical outcomes.</w:t>
      </w:r>
    </w:p>
    <w:p w14:paraId="7C17E973" w14:textId="77777777" w:rsidR="00273695" w:rsidRPr="00273695" w:rsidRDefault="00273695" w:rsidP="00273695">
      <w:pPr>
        <w:pStyle w:val="NormalWeb"/>
        <w:rPr>
          <w:rFonts w:ascii="Calibri" w:hAnsi="Calibri" w:cs="Calibri"/>
        </w:rPr>
      </w:pPr>
      <w:r w:rsidRPr="00273695">
        <w:rPr>
          <w:rFonts w:ascii="Calibri" w:hAnsi="Calibri" w:cs="Calibri"/>
        </w:rPr>
        <w:t>Common categories to model in your ontology: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4417"/>
        <w:gridCol w:w="4035"/>
      </w:tblGrid>
      <w:tr w:rsidR="00273695" w:rsidRPr="00273695" w14:paraId="225BC137" w14:textId="77777777" w:rsidTr="00B94B47">
        <w:trPr>
          <w:tblHeader/>
          <w:tblCellSpacing w:w="15" w:type="dxa"/>
        </w:trPr>
        <w:tc>
          <w:tcPr>
            <w:tcW w:w="0" w:type="auto"/>
            <w:vAlign w:val="center"/>
            <w:hideMark/>
          </w:tcPr>
          <w:p w14:paraId="3C63EC5F" w14:textId="77777777" w:rsidR="00273695" w:rsidRPr="00273695" w:rsidRDefault="00273695" w:rsidP="00B94B47">
            <w:pPr>
              <w:jc w:val="center"/>
              <w:rPr>
                <w:rFonts w:ascii="Calibri" w:hAnsi="Calibri" w:cs="Calibri"/>
                <w:b/>
                <w:bCs/>
              </w:rPr>
            </w:pPr>
            <w:r w:rsidRPr="00273695">
              <w:rPr>
                <w:rFonts w:ascii="Calibri" w:hAnsi="Calibri" w:cs="Calibri"/>
                <w:b/>
                <w:bCs/>
              </w:rPr>
              <w:t>Category</w:t>
            </w:r>
          </w:p>
        </w:tc>
        <w:tc>
          <w:tcPr>
            <w:tcW w:w="0" w:type="auto"/>
            <w:vAlign w:val="center"/>
            <w:hideMark/>
          </w:tcPr>
          <w:p w14:paraId="606FBB45" w14:textId="77777777" w:rsidR="00273695" w:rsidRPr="00273695" w:rsidRDefault="00273695" w:rsidP="00B94B47">
            <w:pPr>
              <w:jc w:val="center"/>
              <w:rPr>
                <w:rFonts w:ascii="Calibri" w:hAnsi="Calibri" w:cs="Calibri"/>
                <w:b/>
                <w:bCs/>
              </w:rPr>
            </w:pPr>
            <w:r w:rsidRPr="00273695">
              <w:rPr>
                <w:rFonts w:ascii="Calibri" w:hAnsi="Calibri" w:cs="Calibri"/>
                <w:b/>
                <w:bCs/>
              </w:rPr>
              <w:t>Common types</w:t>
            </w:r>
          </w:p>
        </w:tc>
        <w:tc>
          <w:tcPr>
            <w:tcW w:w="0" w:type="auto"/>
            <w:vAlign w:val="center"/>
            <w:hideMark/>
          </w:tcPr>
          <w:p w14:paraId="39704033" w14:textId="77777777" w:rsidR="00273695" w:rsidRPr="00273695" w:rsidRDefault="00273695" w:rsidP="00B94B47">
            <w:pPr>
              <w:jc w:val="center"/>
              <w:rPr>
                <w:rFonts w:ascii="Calibri" w:hAnsi="Calibri" w:cs="Calibri"/>
                <w:b/>
                <w:bCs/>
              </w:rPr>
            </w:pPr>
            <w:r w:rsidRPr="00273695">
              <w:rPr>
                <w:rFonts w:ascii="Calibri" w:hAnsi="Calibri" w:cs="Calibri"/>
                <w:b/>
                <w:bCs/>
              </w:rPr>
              <w:t>What varies by</w:t>
            </w:r>
          </w:p>
        </w:tc>
      </w:tr>
      <w:tr w:rsidR="00273695" w:rsidRPr="00273695" w14:paraId="5D728376" w14:textId="77777777" w:rsidTr="00B94B47">
        <w:trPr>
          <w:tblCellSpacing w:w="15" w:type="dxa"/>
        </w:trPr>
        <w:tc>
          <w:tcPr>
            <w:tcW w:w="0" w:type="auto"/>
            <w:vAlign w:val="center"/>
            <w:hideMark/>
          </w:tcPr>
          <w:p w14:paraId="351028E8" w14:textId="77777777" w:rsidR="00273695" w:rsidRPr="00273695" w:rsidRDefault="00273695" w:rsidP="00B94B47">
            <w:pPr>
              <w:rPr>
                <w:rFonts w:ascii="Calibri" w:hAnsi="Calibri" w:cs="Calibri"/>
              </w:rPr>
            </w:pPr>
            <w:r w:rsidRPr="00273695">
              <w:rPr>
                <w:rStyle w:val="Strong"/>
                <w:rFonts w:ascii="Calibri" w:hAnsi="Calibri" w:cs="Calibri"/>
              </w:rPr>
              <w:t>Mud (drilling fluid)</w:t>
            </w:r>
          </w:p>
        </w:tc>
        <w:tc>
          <w:tcPr>
            <w:tcW w:w="0" w:type="auto"/>
            <w:vAlign w:val="center"/>
            <w:hideMark/>
          </w:tcPr>
          <w:p w14:paraId="47FE2286" w14:textId="77777777" w:rsidR="00273695" w:rsidRPr="00273695" w:rsidRDefault="00273695" w:rsidP="00B94B47">
            <w:pPr>
              <w:rPr>
                <w:rFonts w:ascii="Calibri" w:hAnsi="Calibri" w:cs="Calibri"/>
              </w:rPr>
            </w:pPr>
            <w:r w:rsidRPr="00273695">
              <w:rPr>
                <w:rFonts w:ascii="Calibri" w:hAnsi="Calibri" w:cs="Calibri"/>
              </w:rPr>
              <w:t>Water-Based Mud (WBM), Oil-Based Mud (OBM), Synthetic-Based Mud (SBM)</w:t>
            </w:r>
          </w:p>
        </w:tc>
        <w:tc>
          <w:tcPr>
            <w:tcW w:w="0" w:type="auto"/>
            <w:vAlign w:val="center"/>
            <w:hideMark/>
          </w:tcPr>
          <w:p w14:paraId="7B7F4B23" w14:textId="77777777" w:rsidR="00273695" w:rsidRPr="00273695" w:rsidRDefault="00273695" w:rsidP="00B94B47">
            <w:pPr>
              <w:rPr>
                <w:rFonts w:ascii="Calibri" w:hAnsi="Calibri" w:cs="Calibri"/>
              </w:rPr>
            </w:pPr>
            <w:r w:rsidRPr="00273695">
              <w:rPr>
                <w:rFonts w:ascii="Calibri" w:hAnsi="Calibri" w:cs="Calibri"/>
              </w:rPr>
              <w:t>formation reactivity, pressure regime, cost, environmental restrictions</w:t>
            </w:r>
          </w:p>
        </w:tc>
      </w:tr>
      <w:tr w:rsidR="00273695" w:rsidRPr="00273695" w14:paraId="24213A10" w14:textId="77777777" w:rsidTr="00B94B47">
        <w:trPr>
          <w:tblCellSpacing w:w="15" w:type="dxa"/>
        </w:trPr>
        <w:tc>
          <w:tcPr>
            <w:tcW w:w="0" w:type="auto"/>
            <w:vAlign w:val="center"/>
            <w:hideMark/>
          </w:tcPr>
          <w:p w14:paraId="0D2A288D" w14:textId="77777777" w:rsidR="00273695" w:rsidRPr="00273695" w:rsidRDefault="00273695" w:rsidP="00B94B47">
            <w:pPr>
              <w:rPr>
                <w:rFonts w:ascii="Calibri" w:hAnsi="Calibri" w:cs="Calibri"/>
              </w:rPr>
            </w:pPr>
            <w:r w:rsidRPr="00273695">
              <w:rPr>
                <w:rStyle w:val="Strong"/>
                <w:rFonts w:ascii="Calibri" w:hAnsi="Calibri" w:cs="Calibri"/>
              </w:rPr>
              <w:t>Mud weight/additives</w:t>
            </w:r>
          </w:p>
        </w:tc>
        <w:tc>
          <w:tcPr>
            <w:tcW w:w="0" w:type="auto"/>
            <w:vAlign w:val="center"/>
            <w:hideMark/>
          </w:tcPr>
          <w:p w14:paraId="2562652B" w14:textId="77777777" w:rsidR="00273695" w:rsidRPr="00273695" w:rsidRDefault="00273695" w:rsidP="00B94B47">
            <w:pPr>
              <w:rPr>
                <w:rFonts w:ascii="Calibri" w:hAnsi="Calibri" w:cs="Calibri"/>
              </w:rPr>
            </w:pPr>
            <w:r w:rsidRPr="00273695">
              <w:rPr>
                <w:rFonts w:ascii="Calibri" w:hAnsi="Calibri" w:cs="Calibri"/>
              </w:rPr>
              <w:t>LCM (lost-circulation material), KCl/polymer inhibitors, weighting agents (barite)</w:t>
            </w:r>
          </w:p>
        </w:tc>
        <w:tc>
          <w:tcPr>
            <w:tcW w:w="0" w:type="auto"/>
            <w:vAlign w:val="center"/>
            <w:hideMark/>
          </w:tcPr>
          <w:p w14:paraId="4ACFE216" w14:textId="77777777" w:rsidR="00273695" w:rsidRPr="00273695" w:rsidRDefault="00273695" w:rsidP="00B94B47">
            <w:pPr>
              <w:rPr>
                <w:rFonts w:ascii="Calibri" w:hAnsi="Calibri" w:cs="Calibri"/>
              </w:rPr>
            </w:pPr>
            <w:r w:rsidRPr="00273695">
              <w:rPr>
                <w:rFonts w:ascii="Calibri" w:hAnsi="Calibri" w:cs="Calibri"/>
              </w:rPr>
              <w:t>overpressure zones, shale reactivity, fluid-loss tendency</w:t>
            </w:r>
          </w:p>
        </w:tc>
      </w:tr>
      <w:tr w:rsidR="00273695" w:rsidRPr="00273695" w14:paraId="5EE7572E" w14:textId="77777777" w:rsidTr="00B94B47">
        <w:trPr>
          <w:tblCellSpacing w:w="15" w:type="dxa"/>
        </w:trPr>
        <w:tc>
          <w:tcPr>
            <w:tcW w:w="0" w:type="auto"/>
            <w:vAlign w:val="center"/>
            <w:hideMark/>
          </w:tcPr>
          <w:p w14:paraId="29BD4A03" w14:textId="77777777" w:rsidR="00273695" w:rsidRPr="00273695" w:rsidRDefault="00273695" w:rsidP="00B94B47">
            <w:pPr>
              <w:rPr>
                <w:rFonts w:ascii="Calibri" w:hAnsi="Calibri" w:cs="Calibri"/>
              </w:rPr>
            </w:pPr>
            <w:r w:rsidRPr="00273695">
              <w:rPr>
                <w:rStyle w:val="Strong"/>
                <w:rFonts w:ascii="Calibri" w:hAnsi="Calibri" w:cs="Calibri"/>
              </w:rPr>
              <w:t>Casing</w:t>
            </w:r>
          </w:p>
        </w:tc>
        <w:tc>
          <w:tcPr>
            <w:tcW w:w="0" w:type="auto"/>
            <w:vAlign w:val="center"/>
            <w:hideMark/>
          </w:tcPr>
          <w:p w14:paraId="5DCD1288" w14:textId="77777777" w:rsidR="00273695" w:rsidRPr="00273695" w:rsidRDefault="00273695" w:rsidP="00B94B47">
            <w:pPr>
              <w:rPr>
                <w:rFonts w:ascii="Calibri" w:hAnsi="Calibri" w:cs="Calibri"/>
              </w:rPr>
            </w:pPr>
            <w:r w:rsidRPr="00273695">
              <w:rPr>
                <w:rFonts w:ascii="Calibri" w:hAnsi="Calibri" w:cs="Calibri"/>
              </w:rPr>
              <w:t>Conductor, surface, intermediate, production casing/liner</w:t>
            </w:r>
          </w:p>
        </w:tc>
        <w:tc>
          <w:tcPr>
            <w:tcW w:w="0" w:type="auto"/>
            <w:vAlign w:val="center"/>
            <w:hideMark/>
          </w:tcPr>
          <w:p w14:paraId="1F4CC326" w14:textId="77777777" w:rsidR="00273695" w:rsidRPr="00273695" w:rsidRDefault="00273695" w:rsidP="00B94B47">
            <w:pPr>
              <w:rPr>
                <w:rFonts w:ascii="Calibri" w:hAnsi="Calibri" w:cs="Calibri"/>
              </w:rPr>
            </w:pPr>
            <w:r w:rsidRPr="00273695">
              <w:rPr>
                <w:rFonts w:ascii="Calibri" w:hAnsi="Calibri" w:cs="Calibri"/>
              </w:rPr>
              <w:t>hole section, pressure barriers required, formation stability</w:t>
            </w:r>
          </w:p>
        </w:tc>
      </w:tr>
      <w:tr w:rsidR="00273695" w:rsidRPr="00273695" w14:paraId="5CEB82F2" w14:textId="77777777" w:rsidTr="00B94B47">
        <w:trPr>
          <w:tblCellSpacing w:w="15" w:type="dxa"/>
        </w:trPr>
        <w:tc>
          <w:tcPr>
            <w:tcW w:w="0" w:type="auto"/>
            <w:vAlign w:val="center"/>
            <w:hideMark/>
          </w:tcPr>
          <w:p w14:paraId="6C085966" w14:textId="77777777" w:rsidR="00273695" w:rsidRPr="00273695" w:rsidRDefault="00273695" w:rsidP="00B94B47">
            <w:pPr>
              <w:rPr>
                <w:rFonts w:ascii="Calibri" w:hAnsi="Calibri" w:cs="Calibri"/>
              </w:rPr>
            </w:pPr>
            <w:r w:rsidRPr="00273695">
              <w:rPr>
                <w:rStyle w:val="Strong"/>
                <w:rFonts w:ascii="Calibri" w:hAnsi="Calibri" w:cs="Calibri"/>
              </w:rPr>
              <w:t>Cementing</w:t>
            </w:r>
          </w:p>
        </w:tc>
        <w:tc>
          <w:tcPr>
            <w:tcW w:w="0" w:type="auto"/>
            <w:vAlign w:val="center"/>
            <w:hideMark/>
          </w:tcPr>
          <w:p w14:paraId="175A8828" w14:textId="77777777" w:rsidR="00273695" w:rsidRPr="00273695" w:rsidRDefault="00273695" w:rsidP="00B94B47">
            <w:pPr>
              <w:rPr>
                <w:rFonts w:ascii="Calibri" w:hAnsi="Calibri" w:cs="Calibri"/>
              </w:rPr>
            </w:pPr>
            <w:r w:rsidRPr="00273695">
              <w:rPr>
                <w:rFonts w:ascii="Calibri" w:hAnsi="Calibri" w:cs="Calibri"/>
              </w:rPr>
              <w:t>Primary cement job, remedial squeeze</w:t>
            </w:r>
          </w:p>
        </w:tc>
        <w:tc>
          <w:tcPr>
            <w:tcW w:w="0" w:type="auto"/>
            <w:vAlign w:val="center"/>
            <w:hideMark/>
          </w:tcPr>
          <w:p w14:paraId="072621CE" w14:textId="77777777" w:rsidR="00273695" w:rsidRPr="00273695" w:rsidRDefault="00273695" w:rsidP="00B94B47">
            <w:pPr>
              <w:rPr>
                <w:rFonts w:ascii="Calibri" w:hAnsi="Calibri" w:cs="Calibri"/>
              </w:rPr>
            </w:pPr>
            <w:r w:rsidRPr="00273695">
              <w:rPr>
                <w:rFonts w:ascii="Calibri" w:hAnsi="Calibri" w:cs="Calibri"/>
              </w:rPr>
              <w:t>zonal isolation needs, casing type, formation permeability</w:t>
            </w:r>
          </w:p>
        </w:tc>
      </w:tr>
    </w:tbl>
    <w:p w14:paraId="520B7713" w14:textId="77777777" w:rsidR="00273695" w:rsidRPr="00273695" w:rsidRDefault="00273695" w:rsidP="00273695">
      <w:pPr>
        <w:pStyle w:val="NormalWeb"/>
        <w:rPr>
          <w:rFonts w:ascii="Calibri" w:hAnsi="Calibri" w:cs="Calibri"/>
        </w:rPr>
      </w:pPr>
      <w:r w:rsidRPr="00273695">
        <w:rPr>
          <w:rFonts w:ascii="Calibri" w:hAnsi="Calibri" w:cs="Calibri"/>
        </w:rPr>
        <w:t xml:space="preserve">Your system's contribution here is: </w:t>
      </w:r>
      <w:r w:rsidRPr="00273695">
        <w:rPr>
          <w:rStyle w:val="Emphasis"/>
          <w:rFonts w:ascii="Calibri" w:hAnsi="Calibri" w:cs="Calibri"/>
        </w:rPr>
        <w:t>"given this formation and depth, offset wells that used mud program X with additive Y had outcome Z"</w:t>
      </w:r>
      <w:r w:rsidRPr="00273695">
        <w:rPr>
          <w:rFonts w:ascii="Calibri" w:hAnsi="Calibri" w:cs="Calibri"/>
        </w:rPr>
        <w:t xml:space="preserve"> — a historically-grounded recommendation, not a static rulebook. This is a good secondary feature to show, not your headline feature.</w:t>
      </w:r>
    </w:p>
    <w:p w14:paraId="1CE3E2BB" w14:textId="77777777" w:rsidR="00273695" w:rsidRPr="00273695" w:rsidRDefault="00273695" w:rsidP="00273695">
      <w:pPr>
        <w:pStyle w:val="Heading3"/>
        <w:rPr>
          <w:rFonts w:ascii="Calibri" w:hAnsi="Calibri" w:cs="Calibri"/>
        </w:rPr>
      </w:pPr>
      <w:r w:rsidRPr="00273695">
        <w:rPr>
          <w:rFonts w:ascii="Calibri" w:hAnsi="Calibri" w:cs="Calibri"/>
        </w:rPr>
        <w:t>1.4 Which ML model / classifier is best for this case</w:t>
      </w:r>
    </w:p>
    <w:p w14:paraId="6D7DD6B4" w14:textId="77777777" w:rsidR="00273695" w:rsidRPr="00273695" w:rsidRDefault="00273695" w:rsidP="00273695">
      <w:pPr>
        <w:pStyle w:val="NormalWeb"/>
        <w:rPr>
          <w:rFonts w:ascii="Calibri" w:hAnsi="Calibri" w:cs="Calibri"/>
        </w:rPr>
      </w:pPr>
      <w:r w:rsidRPr="00273695">
        <w:rPr>
          <w:rFonts w:ascii="Calibri" w:hAnsi="Calibri" w:cs="Calibri"/>
        </w:rPr>
        <w:t xml:space="preserve">Short answer: </w:t>
      </w:r>
      <w:r w:rsidRPr="00273695">
        <w:rPr>
          <w:rStyle w:val="Strong"/>
          <w:rFonts w:ascii="Calibri" w:hAnsi="Calibri" w:cs="Calibri"/>
        </w:rPr>
        <w:t>do not lead with deep learning.</w:t>
      </w:r>
      <w:r w:rsidRPr="00273695">
        <w:rPr>
          <w:rFonts w:ascii="Calibri" w:hAnsi="Calibri" w:cs="Calibri"/>
        </w:rPr>
        <w:t xml:space="preserve"> Given realistic data volume per field/formation (dozens to low hundreds of labeled events, not millions), a large neural model will overfit and will not be explainable — a serious problem for a safety-relevant recommendation. Recommend a layered approach:</w:t>
      </w:r>
    </w:p>
    <w:p w14:paraId="0FA2AF21" w14:textId="77777777" w:rsidR="00273695" w:rsidRPr="00273695" w:rsidRDefault="00273695" w:rsidP="00273695">
      <w:pPr>
        <w:numPr>
          <w:ilvl w:val="0"/>
          <w:numId w:val="10"/>
        </w:numPr>
        <w:spacing w:before="100" w:beforeAutospacing="1" w:after="100" w:afterAutospacing="1"/>
        <w:rPr>
          <w:rFonts w:ascii="Calibri" w:hAnsi="Calibri" w:cs="Calibri"/>
        </w:rPr>
      </w:pPr>
      <w:r w:rsidRPr="00273695">
        <w:rPr>
          <w:rStyle w:val="Strong"/>
          <w:rFonts w:ascii="Calibri" w:hAnsi="Calibri" w:cs="Calibri"/>
        </w:rPr>
        <w:lastRenderedPageBreak/>
        <w:t>Similarity/retrieval layer</w:t>
      </w:r>
      <w:r w:rsidRPr="00273695">
        <w:rPr>
          <w:rFonts w:ascii="Calibri" w:hAnsi="Calibri" w:cs="Calibri"/>
        </w:rPr>
        <w:t xml:space="preserve"> (does the heavy lifting, works with almost no labeled data): embedding-based semantic search (sentence-transformer or OpenAI-style embeddings) over event narratives + a hand-built composite similarity score (weighted feature distance) over structured features (formation, depth, trajectory, parameters). This is your Scenario B/C default and should work even with zero trained models.</w:t>
      </w:r>
    </w:p>
    <w:p w14:paraId="6F254280" w14:textId="77777777" w:rsidR="00273695" w:rsidRPr="00273695" w:rsidRDefault="00273695" w:rsidP="00273695">
      <w:pPr>
        <w:numPr>
          <w:ilvl w:val="0"/>
          <w:numId w:val="10"/>
        </w:numPr>
        <w:spacing w:before="100" w:beforeAutospacing="1" w:after="100" w:afterAutospacing="1"/>
        <w:rPr>
          <w:rFonts w:ascii="Calibri" w:hAnsi="Calibri" w:cs="Calibri"/>
        </w:rPr>
      </w:pPr>
      <w:r w:rsidRPr="00273695">
        <w:rPr>
          <w:rStyle w:val="Strong"/>
          <w:rFonts w:ascii="Calibri" w:hAnsi="Calibri" w:cs="Calibri"/>
        </w:rPr>
        <w:t>Risk classification layer</w:t>
      </w:r>
      <w:r w:rsidRPr="00273695">
        <w:rPr>
          <w:rFonts w:ascii="Calibri" w:hAnsi="Calibri" w:cs="Calibri"/>
        </w:rPr>
        <w:t xml:space="preserve"> (once you have enough labeled outcomes — Scenario A): gradient-boosted trees (</w:t>
      </w:r>
      <w:r w:rsidRPr="00273695">
        <w:rPr>
          <w:rStyle w:val="Strong"/>
          <w:rFonts w:ascii="Calibri" w:hAnsi="Calibri" w:cs="Calibri"/>
        </w:rPr>
        <w:t>XGBoost / LightGBM</w:t>
      </w:r>
      <w:r w:rsidRPr="00273695">
        <w:rPr>
          <w:rFonts w:ascii="Calibri" w:hAnsi="Calibri" w:cs="Calibri"/>
        </w:rPr>
        <w:t>) per event type (mud loss, stuck pipe, kick/overpressure, torque spike). These are the standard, defensible choice for tabular, feature-engineered, moderate-sized industrial datasets — they're explainable (SHAP values map directly onto your "why this alert" evidence chain), don't need huge data, and are what real oilfield risk-scoring literature actually uses. Avoid presenting a deep neural net as your primary classifier unless you can show real evidence of enough data to justify it — judges with technical backgrounds will ask.</w:t>
      </w:r>
    </w:p>
    <w:p w14:paraId="03752D94" w14:textId="77777777" w:rsidR="00273695" w:rsidRPr="00273695" w:rsidRDefault="00273695" w:rsidP="00273695">
      <w:pPr>
        <w:numPr>
          <w:ilvl w:val="0"/>
          <w:numId w:val="10"/>
        </w:numPr>
        <w:spacing w:before="100" w:beforeAutospacing="1" w:after="100" w:afterAutospacing="1"/>
        <w:rPr>
          <w:rFonts w:ascii="Calibri" w:hAnsi="Calibri" w:cs="Calibri"/>
        </w:rPr>
      </w:pPr>
      <w:r w:rsidRPr="00273695">
        <w:rPr>
          <w:rStyle w:val="Strong"/>
          <w:rFonts w:ascii="Calibri" w:hAnsi="Calibri" w:cs="Calibri"/>
        </w:rPr>
        <w:t>Anomaly/time-series layer</w:t>
      </w:r>
      <w:r w:rsidRPr="00273695">
        <w:rPr>
          <w:rFonts w:ascii="Calibri" w:hAnsi="Calibri" w:cs="Calibri"/>
        </w:rPr>
        <w:t xml:space="preserve"> (for live eRTMAC parameter streams): a simpler statistical/anomaly-detection method (rolling z-score, isolation forest) to flag live parameter deviations that then trigger a similarity lookup — not a separate deep model.</w:t>
      </w:r>
    </w:p>
    <w:p w14:paraId="41622AA8" w14:textId="77777777" w:rsidR="00273695" w:rsidRPr="00273695" w:rsidRDefault="00273695" w:rsidP="00273695">
      <w:pPr>
        <w:numPr>
          <w:ilvl w:val="0"/>
          <w:numId w:val="10"/>
        </w:numPr>
        <w:spacing w:before="100" w:beforeAutospacing="1" w:after="100" w:afterAutospacing="1"/>
        <w:rPr>
          <w:rFonts w:ascii="Calibri" w:hAnsi="Calibri" w:cs="Calibri"/>
        </w:rPr>
      </w:pPr>
      <w:r w:rsidRPr="00273695">
        <w:rPr>
          <w:rStyle w:val="Strong"/>
          <w:rFonts w:ascii="Calibri" w:hAnsi="Calibri" w:cs="Calibri"/>
        </w:rPr>
        <w:t>The LLM's role stays narrow, per both Document 2 and TADI's core finding</w:t>
      </w:r>
      <w:r w:rsidRPr="00273695">
        <w:rPr>
          <w:rFonts w:ascii="Calibri" w:hAnsi="Calibri" w:cs="Calibri"/>
        </w:rPr>
        <w:t>: query interpretation, evidence retrieval orchestration, and natural-language explanation generation only. It should never be the thing computing risk scores or inventing engineering recommendations — this is both a technical-quality point and a safety point worth stating explicitly to judges.</w:t>
      </w:r>
    </w:p>
    <w:p w14:paraId="6E0B4918" w14:textId="77777777" w:rsidR="00273695" w:rsidRPr="00273695" w:rsidRDefault="00273695" w:rsidP="00273695">
      <w:pPr>
        <w:pStyle w:val="Heading3"/>
        <w:rPr>
          <w:rFonts w:ascii="Calibri" w:hAnsi="Calibri" w:cs="Calibri"/>
        </w:rPr>
      </w:pPr>
      <w:r w:rsidRPr="00273695">
        <w:rPr>
          <w:rFonts w:ascii="Calibri" w:hAnsi="Calibri" w:cs="Calibri"/>
        </w:rPr>
        <w:t>1.5 Continuous/real-time data pipeline for ongoing model improvement</w:t>
      </w:r>
    </w:p>
    <w:p w14:paraId="4200044C" w14:textId="77777777" w:rsidR="00273695" w:rsidRPr="00273695" w:rsidRDefault="00273695" w:rsidP="00273695">
      <w:pPr>
        <w:pStyle w:val="NormalWeb"/>
        <w:rPr>
          <w:rFonts w:ascii="Calibri" w:hAnsi="Calibri" w:cs="Calibri"/>
        </w:rPr>
      </w:pPr>
      <w:r w:rsidRPr="00273695">
        <w:rPr>
          <w:rFonts w:ascii="Calibri" w:hAnsi="Calibri" w:cs="Calibri"/>
        </w:rPr>
        <w:t>Design this as a closed loop, explicitly separate from the "cold path" one-time historical ingestion:</w:t>
      </w:r>
    </w:p>
    <w:p w14:paraId="15B1A4B7" w14:textId="77777777" w:rsidR="00273695" w:rsidRPr="00273695" w:rsidRDefault="00273695" w:rsidP="00273695">
      <w:pPr>
        <w:numPr>
          <w:ilvl w:val="0"/>
          <w:numId w:val="11"/>
        </w:numPr>
        <w:spacing w:before="100" w:beforeAutospacing="1" w:after="100" w:afterAutospacing="1"/>
        <w:rPr>
          <w:rFonts w:ascii="Calibri" w:hAnsi="Calibri" w:cs="Calibri"/>
        </w:rPr>
      </w:pPr>
      <w:r w:rsidRPr="00273695">
        <w:rPr>
          <w:rStyle w:val="Strong"/>
          <w:rFonts w:ascii="Calibri" w:hAnsi="Calibri" w:cs="Calibri"/>
        </w:rPr>
        <w:t>Ingestion side:</w:t>
      </w:r>
      <w:r w:rsidRPr="00273695">
        <w:rPr>
          <w:rFonts w:ascii="Calibri" w:hAnsi="Calibri" w:cs="Calibri"/>
        </w:rPr>
        <w:t xml:space="preserve"> a change-data-capture or scheduled-sync connector so newly filed DDRs/WCRs and new eRTMAC data are ingested incrementally, not via full reprocessing (this also reduces cost and lets the system stay current without re-running OCR on the whole archive).</w:t>
      </w:r>
    </w:p>
    <w:p w14:paraId="5B08B06F" w14:textId="77777777" w:rsidR="00273695" w:rsidRPr="00273695" w:rsidRDefault="00273695" w:rsidP="00273695">
      <w:pPr>
        <w:numPr>
          <w:ilvl w:val="0"/>
          <w:numId w:val="11"/>
        </w:numPr>
        <w:spacing w:before="100" w:beforeAutospacing="1" w:after="100" w:afterAutospacing="1"/>
        <w:rPr>
          <w:rFonts w:ascii="Calibri" w:hAnsi="Calibri" w:cs="Calibri"/>
        </w:rPr>
      </w:pPr>
      <w:r w:rsidRPr="00273695">
        <w:rPr>
          <w:rStyle w:val="Strong"/>
          <w:rFonts w:ascii="Calibri" w:hAnsi="Calibri" w:cs="Calibri"/>
        </w:rPr>
        <w:t>Feedback side:</w:t>
      </w:r>
      <w:r w:rsidRPr="00273695">
        <w:rPr>
          <w:rFonts w:ascii="Calibri" w:hAnsi="Calibri" w:cs="Calibri"/>
        </w:rPr>
        <w:t xml:space="preserve"> every engineer action on an alert (acknowledge/reject/incorrect-formation/incorrect-depth/mitigation-applied/actual-outcome) is captured as labeled training data — this is the mechanism that eventually gives you enough labeled data to justify Layer 2 (XGBoost) even if you start in Scenario B.</w:t>
      </w:r>
    </w:p>
    <w:p w14:paraId="776575C0" w14:textId="77777777" w:rsidR="00273695" w:rsidRPr="00273695" w:rsidRDefault="00273695" w:rsidP="00273695">
      <w:pPr>
        <w:numPr>
          <w:ilvl w:val="0"/>
          <w:numId w:val="11"/>
        </w:numPr>
        <w:spacing w:before="100" w:beforeAutospacing="1" w:after="100" w:afterAutospacing="1"/>
        <w:rPr>
          <w:rFonts w:ascii="Calibri" w:hAnsi="Calibri" w:cs="Calibri"/>
        </w:rPr>
      </w:pPr>
      <w:r w:rsidRPr="00273695">
        <w:rPr>
          <w:rStyle w:val="Strong"/>
          <w:rFonts w:ascii="Calibri" w:hAnsi="Calibri" w:cs="Calibri"/>
        </w:rPr>
        <w:t>Retraining:</w:t>
      </w:r>
      <w:r w:rsidRPr="00273695">
        <w:rPr>
          <w:rFonts w:ascii="Calibri" w:hAnsi="Calibri" w:cs="Calibri"/>
        </w:rPr>
        <w:t xml:space="preserve"> versioned and controlled, not automatic-on-every-event (say this explicitly — "we do not silently change production risk thresholds after every single feedback event; retraining is a reviewed, versioned step" — this reads as engineering maturity, not caution for its own sake).</w:t>
      </w:r>
    </w:p>
    <w:p w14:paraId="0A634861" w14:textId="77777777" w:rsidR="00273695" w:rsidRPr="00273695" w:rsidRDefault="00273695" w:rsidP="00273695">
      <w:pPr>
        <w:numPr>
          <w:ilvl w:val="0"/>
          <w:numId w:val="11"/>
        </w:numPr>
        <w:spacing w:before="100" w:beforeAutospacing="1" w:after="100" w:afterAutospacing="1"/>
        <w:rPr>
          <w:rFonts w:ascii="Calibri" w:hAnsi="Calibri" w:cs="Calibri"/>
        </w:rPr>
      </w:pPr>
      <w:r w:rsidRPr="00273695">
        <w:rPr>
          <w:rStyle w:val="Strong"/>
          <w:rFonts w:ascii="Calibri" w:hAnsi="Calibri" w:cs="Calibri"/>
        </w:rPr>
        <w:t>Evaluation:</w:t>
      </w:r>
      <w:r w:rsidRPr="00273695">
        <w:rPr>
          <w:rFonts w:ascii="Calibri" w:hAnsi="Calibri" w:cs="Calibri"/>
        </w:rPr>
        <w:t xml:space="preserve"> re-run your stress-question taxonomy / historical replay suite against each new model version before promotion, exactly as TADI's evaluation framework proposes.</w:t>
      </w:r>
    </w:p>
    <w:p w14:paraId="1DDC6DDC" w14:textId="77777777" w:rsidR="00273695" w:rsidRPr="00273695" w:rsidRDefault="00F30DF6" w:rsidP="00273695">
      <w:pPr>
        <w:rPr>
          <w:rFonts w:ascii="Calibri" w:hAnsi="Calibri" w:cs="Calibri"/>
        </w:rPr>
      </w:pPr>
      <w:r>
        <w:pict w14:anchorId="6400465A">
          <v:rect id="Horizontal Line 1" o:spid="_x0000_s1038"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6F4260" w14:textId="77777777" w:rsidR="00273695" w:rsidRPr="00273695" w:rsidRDefault="00273695" w:rsidP="00273695">
      <w:pPr>
        <w:pStyle w:val="Heading2"/>
        <w:rPr>
          <w:rFonts w:ascii="Calibri" w:hAnsi="Calibri" w:cs="Calibri"/>
        </w:rPr>
      </w:pPr>
      <w:r w:rsidRPr="00273695">
        <w:rPr>
          <w:rFonts w:ascii="Calibri" w:hAnsi="Calibri" w:cs="Calibri"/>
        </w:rPr>
        <w:t>MARKET CONTEXT (for your business-viability slide)</w:t>
      </w:r>
    </w:p>
    <w:p w14:paraId="43523238" w14:textId="77777777" w:rsidR="00273695" w:rsidRPr="00273695" w:rsidRDefault="00273695" w:rsidP="00273695">
      <w:pPr>
        <w:pStyle w:val="NormalWeb"/>
        <w:rPr>
          <w:rFonts w:ascii="Calibri" w:hAnsi="Calibri" w:cs="Calibri"/>
        </w:rPr>
      </w:pPr>
      <w:r w:rsidRPr="00273695">
        <w:rPr>
          <w:rFonts w:ascii="Calibri" w:hAnsi="Calibri" w:cs="Calibri"/>
        </w:rPr>
        <w:t>Market-size estimates for adjacent categories vary a lot by research firm (a normal feature of niche B2B software markets, be upfront about the range rather than picking the most flattering number):</w:t>
      </w:r>
    </w:p>
    <w:p w14:paraId="435D63E9" w14:textId="77777777" w:rsidR="00273695" w:rsidRPr="00273695" w:rsidRDefault="00273695" w:rsidP="00273695">
      <w:pPr>
        <w:numPr>
          <w:ilvl w:val="0"/>
          <w:numId w:val="12"/>
        </w:numPr>
        <w:spacing w:before="100" w:beforeAutospacing="1" w:after="100" w:afterAutospacing="1"/>
        <w:rPr>
          <w:rFonts w:ascii="Calibri" w:hAnsi="Calibri" w:cs="Calibri"/>
        </w:rPr>
      </w:pPr>
      <w:r w:rsidRPr="00273695">
        <w:rPr>
          <w:rFonts w:ascii="Calibri" w:hAnsi="Calibri" w:cs="Calibri"/>
        </w:rPr>
        <w:t xml:space="preserve">The broader </w:t>
      </w:r>
      <w:r w:rsidRPr="00273695">
        <w:rPr>
          <w:rStyle w:val="Strong"/>
          <w:rFonts w:ascii="Calibri" w:hAnsi="Calibri" w:cs="Calibri"/>
        </w:rPr>
        <w:t>oil &amp; gas data management software market</w:t>
      </w:r>
      <w:r w:rsidRPr="00273695">
        <w:rPr>
          <w:rFonts w:ascii="Calibri" w:hAnsi="Calibri" w:cs="Calibri"/>
        </w:rPr>
        <w:t xml:space="preserve"> is estimated at roughly </w:t>
      </w:r>
      <w:r w:rsidRPr="00273695">
        <w:rPr>
          <w:rStyle w:val="Strong"/>
          <w:rFonts w:ascii="Calibri" w:hAnsi="Calibri" w:cs="Calibri"/>
        </w:rPr>
        <w:t>USD 17–27 billion (2024/2025)</w:t>
      </w:r>
      <w:r w:rsidRPr="00273695">
        <w:rPr>
          <w:rFonts w:ascii="Calibri" w:hAnsi="Calibri" w:cs="Calibri"/>
        </w:rPr>
        <w:t xml:space="preserve">, growing at a </w:t>
      </w:r>
      <w:r w:rsidRPr="00273695">
        <w:rPr>
          <w:rStyle w:val="Strong"/>
          <w:rFonts w:ascii="Calibri" w:hAnsi="Calibri" w:cs="Calibri"/>
        </w:rPr>
        <w:t>13–15% CAGR</w:t>
      </w:r>
      <w:r w:rsidRPr="00273695">
        <w:rPr>
          <w:rFonts w:ascii="Calibri" w:hAnsi="Calibri" w:cs="Calibri"/>
        </w:rPr>
        <w:t xml:space="preserve"> toward the early-2030s, driven explicitly by the same problem NWIS solves: increasing data volume/complexity and the need for real-time, predictive decision support.</w:t>
      </w:r>
    </w:p>
    <w:p w14:paraId="70CECC1D" w14:textId="77777777" w:rsidR="00273695" w:rsidRPr="00273695" w:rsidRDefault="00273695" w:rsidP="00273695">
      <w:pPr>
        <w:numPr>
          <w:ilvl w:val="0"/>
          <w:numId w:val="12"/>
        </w:numPr>
        <w:spacing w:before="100" w:beforeAutospacing="1" w:after="100" w:afterAutospacing="1"/>
        <w:rPr>
          <w:rFonts w:ascii="Calibri" w:hAnsi="Calibri" w:cs="Calibri"/>
        </w:rPr>
      </w:pPr>
      <w:r w:rsidRPr="00273695">
        <w:rPr>
          <w:rFonts w:ascii="Calibri" w:hAnsi="Calibri" w:cs="Calibri"/>
        </w:rPr>
        <w:t xml:space="preserve">The narrower </w:t>
      </w:r>
      <w:r w:rsidRPr="00273695">
        <w:rPr>
          <w:rStyle w:val="Strong"/>
          <w:rFonts w:ascii="Calibri" w:hAnsi="Calibri" w:cs="Calibri"/>
        </w:rPr>
        <w:t>drilling software market</w:t>
      </w:r>
      <w:r w:rsidRPr="00273695">
        <w:rPr>
          <w:rFonts w:ascii="Calibri" w:hAnsi="Calibri" w:cs="Calibri"/>
        </w:rPr>
        <w:t xml:space="preserve"> specifically (which includes drilling-planning and offset/risk-analysis tools) is estimated in the </w:t>
      </w:r>
      <w:r w:rsidRPr="00273695">
        <w:rPr>
          <w:rStyle w:val="Strong"/>
          <w:rFonts w:ascii="Calibri" w:hAnsi="Calibri" w:cs="Calibri"/>
        </w:rPr>
        <w:t>USD 3–4 billion (2025/2026)</w:t>
      </w:r>
      <w:r w:rsidRPr="00273695">
        <w:rPr>
          <w:rFonts w:ascii="Calibri" w:hAnsi="Calibri" w:cs="Calibri"/>
        </w:rPr>
        <w:t xml:space="preserve"> range, growing at roughly </w:t>
      </w:r>
      <w:r w:rsidRPr="00273695">
        <w:rPr>
          <w:rStyle w:val="Strong"/>
          <w:rFonts w:ascii="Calibri" w:hAnsi="Calibri" w:cs="Calibri"/>
        </w:rPr>
        <w:t>7–8% CAGR</w:t>
      </w:r>
      <w:r w:rsidRPr="00273695">
        <w:rPr>
          <w:rFonts w:ascii="Calibri" w:hAnsi="Calibri" w:cs="Calibri"/>
        </w:rPr>
        <w:t xml:space="preserve">, with </w:t>
      </w:r>
      <w:r w:rsidRPr="00273695">
        <w:rPr>
          <w:rStyle w:val="Strong"/>
          <w:rFonts w:ascii="Calibri" w:hAnsi="Calibri" w:cs="Calibri"/>
        </w:rPr>
        <w:t>well planning &amp; risk engineering</w:t>
      </w:r>
      <w:r w:rsidRPr="00273695">
        <w:rPr>
          <w:rFonts w:ascii="Calibri" w:hAnsi="Calibri" w:cs="Calibri"/>
        </w:rPr>
        <w:t xml:space="preserve"> called out as a leading segment and </w:t>
      </w:r>
      <w:r w:rsidRPr="00273695">
        <w:rPr>
          <w:rStyle w:val="Strong"/>
          <w:rFonts w:ascii="Calibri" w:hAnsi="Calibri" w:cs="Calibri"/>
        </w:rPr>
        <w:t>National Oil Companies</w:t>
      </w:r>
      <w:r w:rsidRPr="00273695">
        <w:rPr>
          <w:rFonts w:ascii="Calibri" w:hAnsi="Calibri" w:cs="Calibri"/>
        </w:rPr>
        <w:t xml:space="preserve"> in growing regions (a category OIL India fits) specifically flagged as active adopters.</w:t>
      </w:r>
    </w:p>
    <w:p w14:paraId="48797902" w14:textId="77777777" w:rsidR="00273695" w:rsidRPr="00273695" w:rsidRDefault="00273695" w:rsidP="00273695">
      <w:pPr>
        <w:numPr>
          <w:ilvl w:val="0"/>
          <w:numId w:val="12"/>
        </w:numPr>
        <w:spacing w:before="100" w:beforeAutospacing="1" w:after="100" w:afterAutospacing="1"/>
        <w:rPr>
          <w:rFonts w:ascii="Calibri" w:hAnsi="Calibri" w:cs="Calibri"/>
        </w:rPr>
      </w:pPr>
      <w:r w:rsidRPr="00273695">
        <w:rPr>
          <w:rFonts w:ascii="Calibri" w:hAnsi="Calibri" w:cs="Calibri"/>
        </w:rPr>
        <w:lastRenderedPageBreak/>
        <w:t xml:space="preserve">Existing offset-well/decision-support tooling in this space is dominated by large international vendors (Landmark/Halliburton DecisionSpace, SLB well-planning suites) that are (a) expensive, (b) built for Western basin geology, and (c) not tuned to Assam's thrust-belt-specific overpressure and imaging challenges documented in Document 1. </w:t>
      </w:r>
      <w:r w:rsidRPr="00273695">
        <w:rPr>
          <w:rStyle w:val="Strong"/>
          <w:rFonts w:ascii="Calibri" w:hAnsi="Calibri" w:cs="Calibri"/>
        </w:rPr>
        <w:t>A domain-tuned, OIL-owned, PSU-deployable system that plugs into eRTMAC is a genuine gap</w:t>
      </w:r>
      <w:r w:rsidRPr="00273695">
        <w:rPr>
          <w:rFonts w:ascii="Calibri" w:hAnsi="Calibri" w:cs="Calibri"/>
        </w:rPr>
        <w:t>, not a "me-too" product — this is a stronger business argument than generic "AI for oil and gas."</w:t>
      </w:r>
    </w:p>
    <w:p w14:paraId="772420F5" w14:textId="77777777" w:rsidR="00273695" w:rsidRPr="00273695" w:rsidRDefault="00273695" w:rsidP="00273695">
      <w:pPr>
        <w:pStyle w:val="NormalWeb"/>
        <w:rPr>
          <w:rFonts w:ascii="Calibri" w:hAnsi="Calibri" w:cs="Calibri"/>
        </w:rPr>
      </w:pPr>
      <w:r w:rsidRPr="00273695">
        <w:rPr>
          <w:rFonts w:ascii="Calibri" w:hAnsi="Calibri" w:cs="Calibri"/>
        </w:rPr>
        <w:t xml:space="preserve">Use this to support one sentence, not a slide full of numbers: </w:t>
      </w:r>
      <w:r w:rsidRPr="00273695">
        <w:rPr>
          <w:rStyle w:val="Emphasis"/>
          <w:rFonts w:ascii="Calibri" w:hAnsi="Calibri" w:cs="Calibri"/>
        </w:rPr>
        <w:t>"NWIS targets a real and growing category (drilling decision-support software, ~$3-4B and rising ~8% CAGR), but is purpose-built for a gap the large international vendors don't serve: PSU-owned, thrust-belt-specific, eRTMAC-integrated institutional memory."</w:t>
      </w:r>
    </w:p>
    <w:p w14:paraId="0D7FE85C" w14:textId="77777777" w:rsidR="00273695" w:rsidRDefault="00273695" w:rsidP="00273695">
      <w:pPr>
        <w:pStyle w:val="Heading2"/>
      </w:pPr>
      <w:r>
        <w:t>BUSINESS MODEL (post-hackathon path)</w:t>
      </w:r>
    </w:p>
    <w:p w14:paraId="7F01B8E8" w14:textId="77777777" w:rsidR="00273695" w:rsidRDefault="00273695" w:rsidP="00273695">
      <w:pPr>
        <w:numPr>
          <w:ilvl w:val="0"/>
          <w:numId w:val="13"/>
        </w:numPr>
        <w:spacing w:before="100" w:beforeAutospacing="1" w:after="100" w:afterAutospacing="1"/>
      </w:pPr>
      <w:r>
        <w:rPr>
          <w:rStyle w:val="Strong"/>
        </w:rPr>
        <w:t>Primary model:</w:t>
      </w:r>
      <w:r>
        <w:t xml:space="preserve"> internal deployment/licensing to OIL India as an add-on module to eRTMAC — this is the natural first customer and the one the problem statement is written for; frame revenue as </w:t>
      </w:r>
      <w:r>
        <w:rPr>
          <w:rStyle w:val="Emphasis"/>
        </w:rPr>
        <w:t>cost-avoidance</w:t>
      </w:r>
      <w:r>
        <w:t xml:space="preserve"> (reduced NPT, fewer repeat incidents) rather than a subscription, since OIL is a PSU, not a typical SaaS buyer.</w:t>
      </w:r>
    </w:p>
    <w:p w14:paraId="001F91EC" w14:textId="77777777" w:rsidR="00273695" w:rsidRDefault="00273695" w:rsidP="00273695">
      <w:pPr>
        <w:numPr>
          <w:ilvl w:val="0"/>
          <w:numId w:val="13"/>
        </w:numPr>
        <w:spacing w:before="100" w:beforeAutospacing="1" w:after="100" w:afterAutospacing="1"/>
      </w:pPr>
      <w:r>
        <w:rPr>
          <w:rStyle w:val="Strong"/>
        </w:rPr>
        <w:t>Expansion path:</w:t>
      </w:r>
      <w:r>
        <w:t xml:space="preserve"> the same architecture (dual-store + similarity engine + explainable alerting) is basin/geology-agnostic at the code level — position ONGC and other Indian E&amp;P PSUs, and eventually private operators, as a natural expansion once proven on OIL's Assam operations.</w:t>
      </w:r>
    </w:p>
    <w:p w14:paraId="562DC4F4" w14:textId="77777777" w:rsidR="00273695" w:rsidRDefault="00273695" w:rsidP="00273695">
      <w:pPr>
        <w:numPr>
          <w:ilvl w:val="0"/>
          <w:numId w:val="13"/>
        </w:numPr>
        <w:spacing w:before="100" w:beforeAutospacing="1" w:after="100" w:afterAutospacing="1"/>
      </w:pPr>
      <w:r>
        <w:rPr>
          <w:rStyle w:val="Strong"/>
        </w:rPr>
        <w:t>Secondary value:</w:t>
      </w:r>
      <w:r>
        <w:t xml:space="preserve"> the structured event/mitigation ontology you build becomes a reusable asset independent of the AI layer — even if OIL never adopts the ML components, the digitized, searchable historical-event repository has standalone value, which reduces your business risk (you deliver value even in a partial-adoption scenario).</w:t>
      </w:r>
    </w:p>
    <w:p w14:paraId="34E9A3A7" w14:textId="77777777" w:rsidR="00273695" w:rsidRDefault="00273695" w:rsidP="00273695">
      <w:pPr>
        <w:numPr>
          <w:ilvl w:val="0"/>
          <w:numId w:val="13"/>
        </w:numPr>
        <w:spacing w:before="100" w:beforeAutospacing="1" w:after="100" w:afterAutospacing="1"/>
      </w:pPr>
      <w:r>
        <w:rPr>
          <w:rStyle w:val="Strong"/>
        </w:rPr>
        <w:t>Alignment with the digital twin / Industry 4.0 trend</w:t>
      </w:r>
      <w:r>
        <w:t xml:space="preserve"> already funding this category: the market data above shows large institutional investment moving into exactly this problem — you're not proposing a speculative category, you're proposing OIL's specific, gap-shaped entry into a well-funded trend.</w:t>
      </w:r>
    </w:p>
    <w:p w14:paraId="341FF22E" w14:textId="77777777" w:rsidR="00273695" w:rsidRDefault="00273695" w:rsidP="00273695">
      <w:pPr>
        <w:spacing w:before="100" w:beforeAutospacing="1" w:after="100" w:afterAutospacing="1"/>
        <w:outlineLvl w:val="1"/>
        <w:rPr>
          <w:rFonts w:ascii="Calibri" w:hAnsi="Calibri" w:cs="Calibri"/>
          <w:b/>
          <w:bCs/>
          <w:sz w:val="36"/>
          <w:szCs w:val="36"/>
        </w:rPr>
      </w:pPr>
    </w:p>
    <w:p w14:paraId="093E5FF7" w14:textId="77777777" w:rsidR="00273695" w:rsidRDefault="00273695" w:rsidP="00273695">
      <w:pPr>
        <w:spacing w:before="100" w:beforeAutospacing="1" w:after="100" w:afterAutospacing="1"/>
        <w:outlineLvl w:val="1"/>
        <w:rPr>
          <w:rFonts w:ascii="Calibri" w:hAnsi="Calibri" w:cs="Calibri"/>
          <w:b/>
          <w:bCs/>
          <w:sz w:val="36"/>
          <w:szCs w:val="36"/>
        </w:rPr>
      </w:pPr>
    </w:p>
    <w:p w14:paraId="0A8CAA66" w14:textId="77777777" w:rsidR="00273695" w:rsidRDefault="00273695" w:rsidP="00273695">
      <w:pPr>
        <w:spacing w:before="100" w:beforeAutospacing="1" w:after="100" w:afterAutospacing="1"/>
        <w:outlineLvl w:val="1"/>
        <w:rPr>
          <w:rFonts w:ascii="Calibri" w:hAnsi="Calibri" w:cs="Calibri"/>
          <w:b/>
          <w:bCs/>
          <w:sz w:val="36"/>
          <w:szCs w:val="36"/>
        </w:rPr>
      </w:pPr>
    </w:p>
    <w:p w14:paraId="129EC4FB" w14:textId="77777777" w:rsidR="00273695" w:rsidRDefault="00273695" w:rsidP="00273695">
      <w:pPr>
        <w:spacing w:before="100" w:beforeAutospacing="1" w:after="100" w:afterAutospacing="1"/>
        <w:outlineLvl w:val="1"/>
        <w:rPr>
          <w:rFonts w:ascii="Calibri" w:hAnsi="Calibri" w:cs="Calibri"/>
          <w:b/>
          <w:bCs/>
          <w:sz w:val="36"/>
          <w:szCs w:val="36"/>
        </w:rPr>
      </w:pPr>
    </w:p>
    <w:p w14:paraId="04EB619B" w14:textId="77777777" w:rsidR="00273695" w:rsidRDefault="00273695" w:rsidP="00273695">
      <w:pPr>
        <w:spacing w:before="100" w:beforeAutospacing="1" w:after="100" w:afterAutospacing="1"/>
        <w:outlineLvl w:val="1"/>
        <w:rPr>
          <w:rFonts w:ascii="Calibri" w:hAnsi="Calibri" w:cs="Calibri"/>
          <w:b/>
          <w:bCs/>
          <w:sz w:val="36"/>
          <w:szCs w:val="36"/>
        </w:rPr>
      </w:pPr>
    </w:p>
    <w:p w14:paraId="4F452D85" w14:textId="77777777" w:rsidR="00273695" w:rsidRDefault="00273695" w:rsidP="00273695">
      <w:pPr>
        <w:spacing w:before="100" w:beforeAutospacing="1" w:after="100" w:afterAutospacing="1"/>
        <w:outlineLvl w:val="1"/>
        <w:rPr>
          <w:rFonts w:ascii="Calibri" w:hAnsi="Calibri" w:cs="Calibri"/>
          <w:b/>
          <w:bCs/>
          <w:sz w:val="36"/>
          <w:szCs w:val="36"/>
        </w:rPr>
      </w:pPr>
    </w:p>
    <w:p w14:paraId="346EA1A3" w14:textId="650AEFEC" w:rsidR="00273695" w:rsidRPr="00273695" w:rsidRDefault="00273695" w:rsidP="00273695">
      <w:pPr>
        <w:spacing w:before="100" w:beforeAutospacing="1" w:after="100" w:afterAutospacing="1"/>
        <w:jc w:val="center"/>
        <w:outlineLvl w:val="1"/>
        <w:rPr>
          <w:rFonts w:ascii="Calibri" w:hAnsi="Calibri" w:cs="Calibri"/>
          <w:b/>
          <w:bCs/>
          <w:color w:val="EE0000"/>
          <w:sz w:val="52"/>
          <w:szCs w:val="52"/>
        </w:rPr>
      </w:pPr>
      <w:r w:rsidRPr="00273695">
        <w:rPr>
          <w:rFonts w:ascii="Calibri" w:hAnsi="Calibri" w:cs="Calibri"/>
          <w:b/>
          <w:bCs/>
          <w:color w:val="EE0000"/>
          <w:sz w:val="52"/>
          <w:szCs w:val="52"/>
        </w:rPr>
        <w:t>Solution in Detail</w:t>
      </w:r>
    </w:p>
    <w:p w14:paraId="5F3ADFA8" w14:textId="77777777" w:rsidR="00273695" w:rsidRDefault="00273695" w:rsidP="00273695">
      <w:pPr>
        <w:spacing w:before="100" w:beforeAutospacing="1" w:after="100" w:afterAutospacing="1"/>
        <w:outlineLvl w:val="1"/>
        <w:rPr>
          <w:rFonts w:ascii="Calibri" w:hAnsi="Calibri" w:cs="Calibri"/>
          <w:b/>
          <w:bCs/>
        </w:rPr>
      </w:pPr>
    </w:p>
    <w:p w14:paraId="35A5678B" w14:textId="77777777" w:rsidR="00273695" w:rsidRDefault="00273695" w:rsidP="00273695">
      <w:pPr>
        <w:pStyle w:val="Heading1"/>
      </w:pPr>
      <w:r>
        <w:lastRenderedPageBreak/>
        <w:t>eRTMAC-NWIS — Finalized Scenario-B Hybrid Architecture</w:t>
      </w:r>
    </w:p>
    <w:p w14:paraId="25820F4C" w14:textId="77777777" w:rsidR="00273695" w:rsidRDefault="00273695" w:rsidP="00273695">
      <w:pPr>
        <w:pStyle w:val="Heading3"/>
      </w:pPr>
      <w:r>
        <w:t>Deep technical solution + OIL technical-call preparation</w:t>
      </w:r>
    </w:p>
    <w:p w14:paraId="09919B3F" w14:textId="77777777" w:rsidR="00273695" w:rsidRDefault="00273695" w:rsidP="00273695">
      <w:pPr>
        <w:pStyle w:val="NormalWeb"/>
      </w:pPr>
      <w:r>
        <w:t xml:space="preserve">This builds directly on the first strategy document. It assumes: </w:t>
      </w:r>
      <w:r>
        <w:rPr>
          <w:rStyle w:val="Strong"/>
        </w:rPr>
        <w:t>OIL has agreed to provide some data and a technical call, but you don't yet know the exact format.</w:t>
      </w:r>
      <w:r>
        <w:t xml:space="preserve"> That uncertainty is now treated as a first-class design constraint, not a risk to resolve later — the ingestion layer is built hybrid from day one so the rest of the system never needs to know or care whether a well's history arrived as a clean table or a scanned 1994 WCR.</w:t>
      </w:r>
    </w:p>
    <w:p w14:paraId="31FD820D" w14:textId="77777777" w:rsidR="00273695" w:rsidRDefault="00F30DF6" w:rsidP="00273695">
      <w:r>
        <w:pict w14:anchorId="77E4D9D8">
          <v:rect id="Horizontal Line 2" o:spid="_x0000_s1037"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72EF1B" w14:textId="77777777" w:rsidR="00273695" w:rsidRDefault="00273695" w:rsidP="00273695">
      <w:pPr>
        <w:pStyle w:val="Heading2"/>
      </w:pPr>
      <w:r>
        <w:t>PART 1 — HOW THE THREE NON-NEGOTIABLES BECOME ARCHITECTURE, NOT SLIDES</w:t>
      </w:r>
    </w:p>
    <w:p w14:paraId="054BDC78" w14:textId="77777777" w:rsidR="00273695" w:rsidRDefault="00273695" w:rsidP="00273695">
      <w:pPr>
        <w:pStyle w:val="NormalWeb"/>
      </w:pPr>
      <w:r>
        <w:t>Judges won't take "we sit alongside eRTMAC" or "we're proactive" as claims — they'll look for structural proof. Here is exactly how each non-negotiable gets enforced in the design, so you can point to a specific component when asked.</w:t>
      </w:r>
    </w:p>
    <w:p w14:paraId="4A558C29" w14:textId="77777777" w:rsidR="00273695" w:rsidRDefault="00273695" w:rsidP="00273695">
      <w:pPr>
        <w:pStyle w:val="Heading3"/>
      </w:pPr>
      <w:r>
        <w:t>Non-negotiable 1 — Alongside eRTMAC, never replacing it</w:t>
      </w:r>
    </w:p>
    <w:p w14:paraId="4EEECCF2" w14:textId="77777777" w:rsidR="00273695" w:rsidRDefault="00273695" w:rsidP="00273695">
      <w:pPr>
        <w:numPr>
          <w:ilvl w:val="0"/>
          <w:numId w:val="14"/>
        </w:numPr>
        <w:spacing w:before="100" w:beforeAutospacing="1" w:after="100" w:afterAutospacing="1"/>
      </w:pPr>
      <w:r>
        <w:t xml:space="preserve">NWIS </w:t>
      </w:r>
      <w:r>
        <w:rPr>
          <w:rStyle w:val="Strong"/>
        </w:rPr>
        <w:t>never ingests raw live sensor streams itself</w:t>
      </w:r>
      <w:r>
        <w:t xml:space="preserve">. It defines one narrow contract: </w:t>
      </w:r>
      <w:r>
        <w:rPr>
          <w:rStyle w:val="HTMLCode"/>
        </w:rPr>
        <w:t>GET /live-state/{well_id}</w:t>
      </w:r>
      <w:r>
        <w:t xml:space="preserve"> returning </w:t>
      </w:r>
      <w:r>
        <w:rPr>
          <w:rStyle w:val="HTMLCode"/>
        </w:rPr>
        <w:t>{depth_md, depth_tvd, formation, hole_section, mud_weight, torque, timestamp}</w:t>
      </w:r>
      <w:r>
        <w:t xml:space="preserve">. In the hackathon this endpoint is filled by a </w:t>
      </w:r>
      <w:r>
        <w:rPr>
          <w:rStyle w:val="Strong"/>
        </w:rPr>
        <w:t>replay-mock</w:t>
      </w:r>
      <w:r>
        <w:t xml:space="preserve">; in production it is filled by an </w:t>
      </w:r>
      <w:r>
        <w:rPr>
          <w:rStyle w:val="Strong"/>
        </w:rPr>
        <w:t>eRTMAC read-only feed/export</w:t>
      </w:r>
      <w:r>
        <w:t xml:space="preserve"> — the rest of NWIS is unaware of the difference.</w:t>
      </w:r>
    </w:p>
    <w:p w14:paraId="3A3947C4" w14:textId="77777777" w:rsidR="00273695" w:rsidRDefault="00273695" w:rsidP="00273695">
      <w:pPr>
        <w:numPr>
          <w:ilvl w:val="0"/>
          <w:numId w:val="14"/>
        </w:numPr>
        <w:spacing w:before="100" w:beforeAutospacing="1" w:after="100" w:afterAutospacing="1"/>
      </w:pPr>
      <w:r>
        <w:t xml:space="preserve">NWIS writes </w:t>
      </w:r>
      <w:r>
        <w:rPr>
          <w:rStyle w:val="Strong"/>
        </w:rPr>
        <w:t>zero</w:t>
      </w:r>
      <w:r>
        <w:t xml:space="preserve"> commands back into eRTMAC. It is alert-only, one-directional. Say this explicitly to judges and to OIL's technical team: </w:t>
      </w:r>
      <w:r>
        <w:rPr>
          <w:rStyle w:val="Emphasis"/>
        </w:rPr>
        <w:t>"NWIS never controls or configures anything eRTMAC controls; it only reads eRTMAC's current-state signal and reads its own historical archive."</w:t>
      </w:r>
      <w:r>
        <w:t xml:space="preserve"> This single sentence pre-empts the most common judge objection ("how is this different from eRTMAC?") and the most common OIL engineering concern (safety-system boundary creep).</w:t>
      </w:r>
    </w:p>
    <w:p w14:paraId="4282FA9A" w14:textId="77777777" w:rsidR="00273695" w:rsidRDefault="00273695" w:rsidP="00273695">
      <w:pPr>
        <w:numPr>
          <w:ilvl w:val="0"/>
          <w:numId w:val="14"/>
        </w:numPr>
        <w:spacing w:before="100" w:beforeAutospacing="1" w:after="100" w:afterAutospacing="1"/>
      </w:pPr>
      <w:r>
        <w:t xml:space="preserve">UI-wise: NWIS is a </w:t>
      </w:r>
      <w:r>
        <w:rPr>
          <w:rStyle w:val="Strong"/>
        </w:rPr>
        <w:t>separate panel/tab</w:t>
      </w:r>
      <w:r>
        <w:t xml:space="preserve"> that an engineer opens </w:t>
      </w:r>
      <w:r>
        <w:rPr>
          <w:rStyle w:val="Emphasis"/>
        </w:rPr>
        <w:t>from within</w:t>
      </w:r>
      <w:r>
        <w:t xml:space="preserve"> their eRTMAC session context (same well, same shift) — not a separate login, separate well-selection, separate mental model. Ask OIL's team in the call whether eRTMAC exposes an embeddable widget/iframe surface or only an API — this determines whether NWIS ships as an eRTMAC plug-in panel (best case) or a companion app deep-linked from eRTMAC (fallback).</w:t>
      </w:r>
    </w:p>
    <w:p w14:paraId="35D4BBF7" w14:textId="77777777" w:rsidR="00273695" w:rsidRDefault="00273695" w:rsidP="00273695">
      <w:pPr>
        <w:pStyle w:val="Heading3"/>
      </w:pPr>
      <w:r>
        <w:t>Non-negotiable 2 — Geospatial AND geological AND depth-aware, at the same time</w:t>
      </w:r>
    </w:p>
    <w:p w14:paraId="3D3BBA4A" w14:textId="77777777" w:rsidR="00273695" w:rsidRDefault="00273695" w:rsidP="00273695">
      <w:pPr>
        <w:pStyle w:val="NormalWeb"/>
      </w:pPr>
      <w:r>
        <w:t xml:space="preserve">This is enforced by never letting "nearby" mean only "close." Every offset well returned by the system carries </w:t>
      </w:r>
      <w:r>
        <w:rPr>
          <w:rStyle w:val="Strong"/>
        </w:rPr>
        <w:t>two independent, always-visible scores</w:t>
      </w:r>
      <w:r>
        <w:t>:</w:t>
      </w:r>
    </w:p>
    <w:p w14:paraId="37666E44" w14:textId="77777777" w:rsidR="00273695" w:rsidRDefault="00273695" w:rsidP="00273695">
      <w:pPr>
        <w:numPr>
          <w:ilvl w:val="0"/>
          <w:numId w:val="15"/>
        </w:numPr>
        <w:spacing w:before="100" w:beforeAutospacing="1" w:after="100" w:afterAutospacing="1"/>
      </w:pPr>
      <w:r>
        <w:rPr>
          <w:rStyle w:val="HTMLCode"/>
        </w:rPr>
        <w:t>distance_km</w:t>
      </w:r>
      <w:r>
        <w:t xml:space="preserve"> — pure haversine from surface (and where available, bottom-hole) coordinates.</w:t>
      </w:r>
    </w:p>
    <w:p w14:paraId="6FA1082F" w14:textId="77777777" w:rsidR="00273695" w:rsidRDefault="00273695" w:rsidP="00273695">
      <w:pPr>
        <w:numPr>
          <w:ilvl w:val="0"/>
          <w:numId w:val="15"/>
        </w:numPr>
        <w:spacing w:before="100" w:beforeAutospacing="1" w:after="100" w:afterAutospacing="1"/>
      </w:pPr>
      <w:r>
        <w:rPr>
          <w:rStyle w:val="HTMLCode"/>
        </w:rPr>
        <w:t>similarity_score</w:t>
      </w:r>
      <w:r>
        <w:t xml:space="preserve"> — a weighted composite of formation match, depth-normalized alignment, trajectory/hole-section similarity, and operational-parameter similarity (weights configurable per event type, per your earlier research doc's design).</w:t>
      </w:r>
    </w:p>
    <w:p w14:paraId="0FC3D8FB" w14:textId="77777777" w:rsidR="00273695" w:rsidRDefault="00273695" w:rsidP="00273695">
      <w:pPr>
        <w:pStyle w:val="NormalWeb"/>
      </w:pPr>
      <w:r>
        <w:t xml:space="preserve">The map view and the depth-track view are </w:t>
      </w:r>
      <w:r>
        <w:rPr>
          <w:rStyle w:val="Strong"/>
        </w:rPr>
        <w:t>two different, linked components in the same screen</w:t>
      </w:r>
      <w:r>
        <w:t>, not one merged view — this directly answers the "most teams will only build the map" risk, because a judge can see, live, that the system is doing something a map alone cannot: an offset well 15 km away in the same Barail-formation interval outranking a well 2 km away in a different formation.</w:t>
      </w:r>
    </w:p>
    <w:p w14:paraId="6767C9DB" w14:textId="77777777" w:rsidR="00273695" w:rsidRDefault="00273695" w:rsidP="00273695">
      <w:pPr>
        <w:pStyle w:val="Heading3"/>
      </w:pPr>
      <w:r>
        <w:lastRenderedPageBreak/>
        <w:t>Non-negotiable 3 — Proactive, not retrieval-only</w:t>
      </w:r>
    </w:p>
    <w:p w14:paraId="13B7CB00" w14:textId="77777777" w:rsidR="00273695" w:rsidRDefault="00273695" w:rsidP="00273695">
      <w:pPr>
        <w:pStyle w:val="NormalWeb"/>
      </w:pPr>
      <w:r>
        <w:t xml:space="preserve">Enforced by a background </w:t>
      </w:r>
      <w:r>
        <w:rPr>
          <w:rStyle w:val="Strong"/>
        </w:rPr>
        <w:t>corridor-watcher process</w:t>
      </w:r>
      <w:r>
        <w:t>, not a request-response chatbot loop. Concretely:</w:t>
      </w:r>
    </w:p>
    <w:p w14:paraId="0CF37CD2" w14:textId="77777777" w:rsidR="00273695" w:rsidRDefault="00273695" w:rsidP="00273695">
      <w:pPr>
        <w:numPr>
          <w:ilvl w:val="0"/>
          <w:numId w:val="16"/>
        </w:numPr>
        <w:spacing w:before="100" w:beforeAutospacing="1" w:after="100" w:afterAutospacing="1"/>
      </w:pPr>
      <w:r>
        <w:t>Every N seconds (or every new depth reading), the watcher checks the active well's current depth/formation against every risk corridor already computed for its offset set.</w:t>
      </w:r>
    </w:p>
    <w:p w14:paraId="74083224" w14:textId="77777777" w:rsidR="00273695" w:rsidRDefault="00273695" w:rsidP="00273695">
      <w:pPr>
        <w:numPr>
          <w:ilvl w:val="0"/>
          <w:numId w:val="16"/>
        </w:numPr>
        <w:spacing w:before="100" w:beforeAutospacing="1" w:after="100" w:afterAutospacing="1"/>
      </w:pPr>
      <w:r>
        <w:t xml:space="preserve">An alert fires the moment the live depth enters a corridor's flagged interval — </w:t>
      </w:r>
      <w:r>
        <w:rPr>
          <w:rStyle w:val="Strong"/>
        </w:rPr>
        <w:t>before</w:t>
      </w:r>
      <w:r>
        <w:t xml:space="preserve"> the engineer asks anything. The chatbot/query interface is a secondary, on-demand layer for follow-up questions ("why", "show me the mitigation"), not the core intelligence.</w:t>
      </w:r>
    </w:p>
    <w:p w14:paraId="79789592" w14:textId="77777777" w:rsidR="00273695" w:rsidRDefault="00273695" w:rsidP="00273695">
      <w:pPr>
        <w:numPr>
          <w:ilvl w:val="0"/>
          <w:numId w:val="16"/>
        </w:numPr>
        <w:spacing w:before="100" w:beforeAutospacing="1" w:after="100" w:afterAutospacing="1"/>
      </w:pPr>
      <w:r>
        <w:t xml:space="preserve">For the hackathon demo, this is proven with a </w:t>
      </w:r>
      <w:r>
        <w:rPr>
          <w:rStyle w:val="Strong"/>
        </w:rPr>
        <w:t>historical replay</w:t>
      </w:r>
      <w:r>
        <w:t>: pick a real offset event (e.g., the Geleki/Tipam Sand fluid-loss signature from your geology research), replay a different well's depth feed toward that same interval, and show the alert firing before the recorded event depth is reached. This is the single most convincing 90 seconds of your demo — build it first, everything else second.</w:t>
      </w:r>
    </w:p>
    <w:p w14:paraId="220F040B" w14:textId="77777777" w:rsidR="00273695" w:rsidRDefault="00F30DF6" w:rsidP="00273695">
      <w:r>
        <w:pict w14:anchorId="0D4767D8">
          <v:rect id="Horizontal Line 3" o:spid="_x0000_s1036"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1AD32B" w14:textId="77777777" w:rsidR="00273695" w:rsidRDefault="00273695" w:rsidP="00273695">
      <w:pPr>
        <w:pStyle w:val="Heading2"/>
      </w:pPr>
      <w:r>
        <w:t>PART 2 — THE HYBRID INGESTION LAYER (the actual new design work)</w:t>
      </w:r>
    </w:p>
    <w:p w14:paraId="6123E2CC" w14:textId="77777777" w:rsidR="00273695" w:rsidRDefault="00273695" w:rsidP="00273695">
      <w:pPr>
        <w:pStyle w:val="NormalWeb"/>
      </w:pPr>
      <w:r>
        <w:t xml:space="preserve">Since you don't yet know whether OIL will hand you a clean database, a folder of scanned PDFs, or (most likely) a mix of both across different vintages of wells, ingestion is designed as a </w:t>
      </w:r>
      <w:r>
        <w:rPr>
          <w:rStyle w:val="Strong"/>
        </w:rPr>
        <w:t>routing layer over a common target schema</w:t>
      </w:r>
      <w:r>
        <w:t>, not two separate systems.</w:t>
      </w:r>
    </w:p>
    <w:p w14:paraId="38C0A592" w14:textId="77777777" w:rsidR="00273695" w:rsidRDefault="00273695" w:rsidP="00273695">
      <w:pPr>
        <w:pStyle w:val="HTMLPreformatted"/>
        <w:rPr>
          <w:rStyle w:val="HTMLCode"/>
        </w:rPr>
      </w:pPr>
      <w:r>
        <w:rPr>
          <w:rStyle w:val="HTMLCode"/>
        </w:rPr>
        <w:t xml:space="preserve">                         ┌─────────────────────────┐</w:t>
      </w:r>
    </w:p>
    <w:p w14:paraId="519C965F" w14:textId="387A4744" w:rsidR="00273695" w:rsidRDefault="00273695" w:rsidP="00273695">
      <w:pPr>
        <w:pStyle w:val="HTMLPreformatted"/>
        <w:rPr>
          <w:rStyle w:val="HTMLCode"/>
        </w:rPr>
      </w:pPr>
      <w:r>
        <w:rPr>
          <w:rStyle w:val="HTMLCode"/>
        </w:rPr>
        <w:t xml:space="preserve">                         │   Any input source      │</w:t>
      </w:r>
    </w:p>
    <w:p w14:paraId="7F41AD86" w14:textId="761B3F26" w:rsidR="00273695" w:rsidRDefault="00273695" w:rsidP="00273695">
      <w:pPr>
        <w:pStyle w:val="HTMLPreformatted"/>
        <w:rPr>
          <w:rStyle w:val="HTMLCode"/>
        </w:rPr>
      </w:pPr>
      <w:r>
        <w:rPr>
          <w:rStyle w:val="HTMLCode"/>
        </w:rPr>
        <w:t xml:space="preserve">                         │ (DB export / CSV / API /│</w:t>
      </w:r>
    </w:p>
    <w:p w14:paraId="15AAE6EB" w14:textId="14909AEE" w:rsidR="00273695" w:rsidRDefault="00273695" w:rsidP="00273695">
      <w:pPr>
        <w:pStyle w:val="HTMLPreformatted"/>
        <w:rPr>
          <w:rStyle w:val="HTMLCode"/>
        </w:rPr>
      </w:pPr>
      <w:r>
        <w:rPr>
          <w:rStyle w:val="HTMLCode"/>
        </w:rPr>
        <w:t xml:space="preserve">                         │  digital PDF / scanned  │</w:t>
      </w:r>
    </w:p>
    <w:p w14:paraId="586974CD" w14:textId="4BD04F69" w:rsidR="00273695" w:rsidRDefault="00273695" w:rsidP="00273695">
      <w:pPr>
        <w:pStyle w:val="HTMLPreformatted"/>
        <w:rPr>
          <w:rStyle w:val="HTMLCode"/>
        </w:rPr>
      </w:pPr>
      <w:r>
        <w:rPr>
          <w:rStyle w:val="HTMLCode"/>
        </w:rPr>
        <w:t xml:space="preserve">                         │  PDF / spreadsheet)     │</w:t>
      </w:r>
    </w:p>
    <w:p w14:paraId="60B2B57C" w14:textId="73B9470B" w:rsidR="00273695" w:rsidRDefault="00273695" w:rsidP="00273695">
      <w:pPr>
        <w:pStyle w:val="HTMLPreformatted"/>
        <w:rPr>
          <w:rStyle w:val="HTMLCode"/>
        </w:rPr>
      </w:pPr>
      <w:r>
        <w:rPr>
          <w:rStyle w:val="HTMLCode"/>
        </w:rPr>
        <w:t xml:space="preserve">                         └────────────┬────────────┘</w:t>
      </w:r>
    </w:p>
    <w:p w14:paraId="42E94E28" w14:textId="77777777" w:rsidR="00273695" w:rsidRDefault="00273695" w:rsidP="00273695">
      <w:pPr>
        <w:pStyle w:val="HTMLPreformatted"/>
        <w:rPr>
          <w:rStyle w:val="HTMLCode"/>
        </w:rPr>
      </w:pPr>
      <w:r>
        <w:rPr>
          <w:rStyle w:val="HTMLCode"/>
        </w:rPr>
        <w:t xml:space="preserve">                                      │</w:t>
      </w:r>
    </w:p>
    <w:p w14:paraId="0B6834E4" w14:textId="78F27B7D" w:rsidR="00273695" w:rsidRDefault="00273695" w:rsidP="00273695">
      <w:pPr>
        <w:pStyle w:val="HTMLPreformatted"/>
        <w:rPr>
          <w:rStyle w:val="HTMLCode"/>
        </w:rPr>
      </w:pPr>
      <w:r>
        <w:rPr>
          <w:rStyle w:val="HTMLCode"/>
        </w:rPr>
        <w:t xml:space="preserve">                         ┌────────────▼────────────────┐</w:t>
      </w:r>
    </w:p>
    <w:p w14:paraId="37C1D8EF" w14:textId="1D2A6C74" w:rsidR="00273695" w:rsidRDefault="00273695" w:rsidP="00273695">
      <w:pPr>
        <w:pStyle w:val="HTMLPreformatted"/>
        <w:rPr>
          <w:rStyle w:val="HTMLCode"/>
        </w:rPr>
      </w:pPr>
      <w:r>
        <w:rPr>
          <w:rStyle w:val="HTMLCode"/>
        </w:rPr>
        <w:t xml:space="preserve">                         │   Step 0: Classifier        │</w:t>
      </w:r>
    </w:p>
    <w:p w14:paraId="22AC14F4" w14:textId="04A33843" w:rsidR="00273695" w:rsidRDefault="00273695" w:rsidP="00273695">
      <w:pPr>
        <w:pStyle w:val="HTMLPreformatted"/>
        <w:rPr>
          <w:rStyle w:val="HTMLCode"/>
        </w:rPr>
      </w:pPr>
      <w:r>
        <w:rPr>
          <w:rStyle w:val="HTMLCode"/>
        </w:rPr>
        <w:t xml:space="preserve">                         │  detects: structured table, │</w:t>
      </w:r>
    </w:p>
    <w:p w14:paraId="3EAC9D19" w14:textId="0E276628" w:rsidR="00273695" w:rsidRDefault="00273695" w:rsidP="00273695">
      <w:pPr>
        <w:pStyle w:val="HTMLPreformatted"/>
        <w:rPr>
          <w:rStyle w:val="HTMLCode"/>
        </w:rPr>
      </w:pPr>
      <w:r>
        <w:rPr>
          <w:rStyle w:val="HTMLCode"/>
        </w:rPr>
        <w:t xml:space="preserve">                         │  digital-text PDF,          │</w:t>
      </w:r>
    </w:p>
    <w:p w14:paraId="7F13945B" w14:textId="1886BD3D" w:rsidR="00273695" w:rsidRDefault="00273695" w:rsidP="00273695">
      <w:pPr>
        <w:pStyle w:val="HTMLPreformatted"/>
        <w:rPr>
          <w:rStyle w:val="HTMLCode"/>
        </w:rPr>
      </w:pPr>
      <w:r>
        <w:rPr>
          <w:rStyle w:val="HTMLCode"/>
        </w:rPr>
        <w:t xml:space="preserve">                         │  scanned/image PDF,         │</w:t>
      </w:r>
    </w:p>
    <w:p w14:paraId="2D2F63D1" w14:textId="6EB37A7D" w:rsidR="00273695" w:rsidRDefault="00273695" w:rsidP="00273695">
      <w:pPr>
        <w:pStyle w:val="HTMLPreformatted"/>
        <w:rPr>
          <w:rStyle w:val="HTMLCode"/>
        </w:rPr>
      </w:pPr>
      <w:r>
        <w:rPr>
          <w:rStyle w:val="HTMLCode"/>
        </w:rPr>
        <w:t xml:space="preserve">                         │  spreadsheet                │</w:t>
      </w:r>
    </w:p>
    <w:p w14:paraId="0E150D0A" w14:textId="77777777" w:rsidR="00273695" w:rsidRDefault="00273695" w:rsidP="00273695">
      <w:pPr>
        <w:pStyle w:val="HTMLPreformatted"/>
        <w:rPr>
          <w:rStyle w:val="HTMLCode"/>
        </w:rPr>
      </w:pPr>
      <w:r>
        <w:rPr>
          <w:rStyle w:val="HTMLCode"/>
        </w:rPr>
        <w:t xml:space="preserve">                         └────┬───────────┬────────────┘</w:t>
      </w:r>
    </w:p>
    <w:p w14:paraId="58A1F061" w14:textId="77777777" w:rsidR="00273695" w:rsidRDefault="00273695" w:rsidP="00273695">
      <w:pPr>
        <w:pStyle w:val="HTMLPreformatted"/>
        <w:rPr>
          <w:rStyle w:val="HTMLCode"/>
        </w:rPr>
      </w:pPr>
      <w:r>
        <w:rPr>
          <w:rStyle w:val="HTMLCode"/>
        </w:rPr>
        <w:t xml:space="preserve">                              │           │</w:t>
      </w:r>
    </w:p>
    <w:p w14:paraId="578F9879" w14:textId="69B07106" w:rsidR="00273695" w:rsidRDefault="00273695" w:rsidP="00273695">
      <w:pPr>
        <w:pStyle w:val="HTMLPreformatted"/>
        <w:rPr>
          <w:rStyle w:val="HTMLCode"/>
        </w:rPr>
      </w:pPr>
      <w:r>
        <w:rPr>
          <w:rStyle w:val="HTMLCode"/>
        </w:rPr>
        <w:t xml:space="preserve">              ┌───────────────▼─┐   ┌─────▼───────────────────┐</w:t>
      </w:r>
    </w:p>
    <w:p w14:paraId="3AD92EA0" w14:textId="77777777" w:rsidR="00273695" w:rsidRDefault="00273695" w:rsidP="00273695">
      <w:pPr>
        <w:pStyle w:val="HTMLPreformatted"/>
        <w:rPr>
          <w:rStyle w:val="HTMLCode"/>
        </w:rPr>
      </w:pPr>
      <w:r>
        <w:rPr>
          <w:rStyle w:val="HTMLCode"/>
        </w:rPr>
        <w:t xml:space="preserve">              │ STRUCTURED PATH │   │  UNSTRUCTURED PATH      │</w:t>
      </w:r>
    </w:p>
    <w:p w14:paraId="38DE93B5" w14:textId="77777777" w:rsidR="00273695" w:rsidRDefault="00273695" w:rsidP="00273695">
      <w:pPr>
        <w:pStyle w:val="HTMLPreformatted"/>
        <w:rPr>
          <w:rStyle w:val="HTMLCode"/>
        </w:rPr>
      </w:pPr>
      <w:r>
        <w:rPr>
          <w:rStyle w:val="HTMLCode"/>
        </w:rPr>
        <w:t xml:space="preserve">              │ direct schema   │   │  OCR → layout detection │</w:t>
      </w:r>
    </w:p>
    <w:p w14:paraId="4DD54997" w14:textId="77777777" w:rsidR="00273695" w:rsidRDefault="00273695" w:rsidP="00273695">
      <w:pPr>
        <w:pStyle w:val="HTMLPreformatted"/>
        <w:rPr>
          <w:rStyle w:val="HTMLCode"/>
        </w:rPr>
      </w:pPr>
      <w:r>
        <w:rPr>
          <w:rStyle w:val="HTMLCode"/>
        </w:rPr>
        <w:t xml:space="preserve">              │ mapping + unit  │   │  → section segmentation │</w:t>
      </w:r>
    </w:p>
    <w:p w14:paraId="0A750099" w14:textId="30ECE5D2" w:rsidR="00273695" w:rsidRDefault="00273695" w:rsidP="00273695">
      <w:pPr>
        <w:pStyle w:val="HTMLPreformatted"/>
        <w:rPr>
          <w:rStyle w:val="HTMLCode"/>
        </w:rPr>
      </w:pPr>
      <w:r>
        <w:rPr>
          <w:rStyle w:val="HTMLCode"/>
        </w:rPr>
        <w:t xml:space="preserve">              │ normalization   │   │  → NLP entity/event     │</w:t>
      </w:r>
    </w:p>
    <w:p w14:paraId="45A49FC9" w14:textId="45C3D7D0" w:rsidR="00273695" w:rsidRDefault="00273695" w:rsidP="00273695">
      <w:pPr>
        <w:pStyle w:val="HTMLPreformatted"/>
        <w:rPr>
          <w:rStyle w:val="HTMLCode"/>
        </w:rPr>
      </w:pPr>
      <w:r>
        <w:rPr>
          <w:rStyle w:val="HTMLCode"/>
        </w:rPr>
        <w:t xml:space="preserve">              │                 │   │    extraction           │</w:t>
      </w:r>
    </w:p>
    <w:p w14:paraId="5792B052" w14:textId="7CF490DB" w:rsidR="00273695" w:rsidRDefault="00273695" w:rsidP="00273695">
      <w:pPr>
        <w:pStyle w:val="HTMLPreformatted"/>
        <w:rPr>
          <w:rStyle w:val="HTMLCode"/>
        </w:rPr>
      </w:pPr>
      <w:r>
        <w:rPr>
          <w:rStyle w:val="HTMLCode"/>
        </w:rPr>
        <w:t xml:space="preserve">              └───────┬─────────┘   └──────────┬──────────────┘</w:t>
      </w:r>
    </w:p>
    <w:p w14:paraId="31830C83" w14:textId="61CE0BB9" w:rsidR="00273695" w:rsidRDefault="00273695" w:rsidP="00273695">
      <w:pPr>
        <w:pStyle w:val="HTMLPreformatted"/>
        <w:rPr>
          <w:rStyle w:val="HTMLCode"/>
        </w:rPr>
      </w:pPr>
      <w:r>
        <w:rPr>
          <w:rStyle w:val="HTMLCode"/>
        </w:rPr>
        <w:t xml:space="preserve">                      │                        │</w:t>
      </w:r>
    </w:p>
    <w:p w14:paraId="0B83C573" w14:textId="4D661F5D" w:rsidR="00273695" w:rsidRDefault="00273695" w:rsidP="00273695">
      <w:pPr>
        <w:pStyle w:val="HTMLPreformatted"/>
        <w:rPr>
          <w:rStyle w:val="HTMLCode"/>
        </w:rPr>
      </w:pPr>
      <w:r>
        <w:rPr>
          <w:rStyle w:val="HTMLCode"/>
        </w:rPr>
        <w:t xml:space="preserve">                      └───────────┬────────────┘</w:t>
      </w:r>
    </w:p>
    <w:p w14:paraId="593A87AB" w14:textId="77777777" w:rsidR="00273695" w:rsidRDefault="00273695" w:rsidP="00273695">
      <w:pPr>
        <w:pStyle w:val="HTMLPreformatted"/>
        <w:rPr>
          <w:rStyle w:val="HTMLCode"/>
        </w:rPr>
      </w:pPr>
      <w:r>
        <w:rPr>
          <w:rStyle w:val="HTMLCode"/>
        </w:rPr>
        <w:t xml:space="preserve">                                  │</w:t>
      </w:r>
    </w:p>
    <w:p w14:paraId="3573A27C" w14:textId="77777777" w:rsidR="00273695" w:rsidRDefault="00273695" w:rsidP="00273695">
      <w:pPr>
        <w:pStyle w:val="HTMLPreformatted"/>
        <w:rPr>
          <w:rStyle w:val="HTMLCode"/>
        </w:rPr>
      </w:pPr>
      <w:r>
        <w:rPr>
          <w:rStyle w:val="HTMLCode"/>
        </w:rPr>
        <w:t xml:space="preserve">                    ┌─────────────▼───────────────┐</w:t>
      </w:r>
    </w:p>
    <w:p w14:paraId="302D3016" w14:textId="2650A507" w:rsidR="00273695" w:rsidRDefault="00273695" w:rsidP="00273695">
      <w:pPr>
        <w:pStyle w:val="HTMLPreformatted"/>
        <w:rPr>
          <w:rStyle w:val="HTMLCode"/>
        </w:rPr>
      </w:pPr>
      <w:r>
        <w:rPr>
          <w:rStyle w:val="HTMLCode"/>
        </w:rPr>
        <w:t xml:space="preserve">                    │  COMMON NORMALIZED SCHEMA   │</w:t>
      </w:r>
    </w:p>
    <w:p w14:paraId="509A88F1" w14:textId="611A0CC3" w:rsidR="00273695" w:rsidRDefault="00273695" w:rsidP="00273695">
      <w:pPr>
        <w:pStyle w:val="HTMLPreformatted"/>
        <w:rPr>
          <w:rStyle w:val="HTMLCode"/>
        </w:rPr>
      </w:pPr>
      <w:r>
        <w:rPr>
          <w:rStyle w:val="HTMLCode"/>
        </w:rPr>
        <w:t xml:space="preserve">                    │  (well, formation, depth,   │</w:t>
      </w:r>
    </w:p>
    <w:p w14:paraId="5384744B" w14:textId="0443BD8F" w:rsidR="00273695" w:rsidRDefault="00273695" w:rsidP="00273695">
      <w:pPr>
        <w:pStyle w:val="HTMLPreformatted"/>
        <w:rPr>
          <w:rStyle w:val="HTMLCode"/>
        </w:rPr>
      </w:pPr>
      <w:r>
        <w:rPr>
          <w:rStyle w:val="HTMLCode"/>
        </w:rPr>
        <w:t xml:space="preserve">                    │   event, cause, mitigation, │</w:t>
      </w:r>
    </w:p>
    <w:p w14:paraId="1B6E4CEC" w14:textId="6333A4E1" w:rsidR="00273695" w:rsidRDefault="00273695" w:rsidP="00273695">
      <w:pPr>
        <w:pStyle w:val="HTMLPreformatted"/>
        <w:rPr>
          <w:rStyle w:val="HTMLCode"/>
        </w:rPr>
      </w:pPr>
      <w:r>
        <w:rPr>
          <w:rStyle w:val="HTMLCode"/>
        </w:rPr>
        <w:t xml:space="preserve">                    │   outcome, confidence,      │</w:t>
      </w:r>
    </w:p>
    <w:p w14:paraId="7189ADE2" w14:textId="2EEE47EF" w:rsidR="00273695" w:rsidRDefault="00273695" w:rsidP="00273695">
      <w:pPr>
        <w:pStyle w:val="HTMLPreformatted"/>
        <w:rPr>
          <w:rStyle w:val="HTMLCode"/>
        </w:rPr>
      </w:pPr>
      <w:r>
        <w:rPr>
          <w:rStyle w:val="HTMLCode"/>
        </w:rPr>
        <w:t xml:space="preserve">                    │   source_ref)               │</w:t>
      </w:r>
    </w:p>
    <w:p w14:paraId="49E0A120" w14:textId="77777777" w:rsidR="00273695" w:rsidRDefault="00273695" w:rsidP="00273695">
      <w:pPr>
        <w:pStyle w:val="HTMLPreformatted"/>
        <w:rPr>
          <w:rStyle w:val="HTMLCode"/>
        </w:rPr>
      </w:pPr>
      <w:r>
        <w:rPr>
          <w:rStyle w:val="HTMLCode"/>
        </w:rPr>
        <w:t xml:space="preserve">                    └─────────────┬───────────────┘</w:t>
      </w:r>
    </w:p>
    <w:p w14:paraId="4992235D" w14:textId="77777777" w:rsidR="00273695" w:rsidRDefault="00273695" w:rsidP="00273695">
      <w:pPr>
        <w:pStyle w:val="HTMLPreformatted"/>
        <w:rPr>
          <w:rStyle w:val="HTMLCode"/>
        </w:rPr>
      </w:pPr>
      <w:r>
        <w:rPr>
          <w:rStyle w:val="HTMLCode"/>
        </w:rPr>
        <w:t xml:space="preserve">                                  │</w:t>
      </w:r>
    </w:p>
    <w:p w14:paraId="06637F5B" w14:textId="77777777" w:rsidR="00273695" w:rsidRDefault="00273695" w:rsidP="00273695">
      <w:pPr>
        <w:pStyle w:val="HTMLPreformatted"/>
        <w:rPr>
          <w:rStyle w:val="HTMLCode"/>
        </w:rPr>
      </w:pPr>
      <w:r>
        <w:rPr>
          <w:rStyle w:val="HTMLCode"/>
        </w:rPr>
        <w:t xml:space="preserve">                    every record also gets a</w:t>
      </w:r>
    </w:p>
    <w:p w14:paraId="32196DFF" w14:textId="77777777" w:rsidR="00273695" w:rsidRDefault="00273695" w:rsidP="00273695">
      <w:pPr>
        <w:pStyle w:val="HTMLPreformatted"/>
        <w:rPr>
          <w:rStyle w:val="HTMLCode"/>
        </w:rPr>
      </w:pPr>
      <w:r>
        <w:rPr>
          <w:rStyle w:val="HTMLCode"/>
        </w:rPr>
        <w:t xml:space="preserve">                    provenance + confidence tag:</w:t>
      </w:r>
    </w:p>
    <w:p w14:paraId="149DA25C" w14:textId="77777777" w:rsidR="00273695" w:rsidRDefault="00273695" w:rsidP="00273695">
      <w:pPr>
        <w:pStyle w:val="HTMLPreformatted"/>
        <w:rPr>
          <w:rStyle w:val="HTMLCode"/>
        </w:rPr>
      </w:pPr>
      <w:r>
        <w:rPr>
          <w:rStyle w:val="HTMLCode"/>
        </w:rPr>
        <w:t xml:space="preserve">                    STRUCTURED-HIGH / OCR-HIGH /</w:t>
      </w:r>
    </w:p>
    <w:p w14:paraId="7E6A6B46" w14:textId="77777777" w:rsidR="00273695" w:rsidRDefault="00273695" w:rsidP="00273695">
      <w:pPr>
        <w:pStyle w:val="HTMLPreformatted"/>
        <w:rPr>
          <w:rStyle w:val="HTMLCode"/>
        </w:rPr>
      </w:pPr>
      <w:r>
        <w:rPr>
          <w:rStyle w:val="HTMLCode"/>
        </w:rPr>
        <w:t xml:space="preserve">                    OCR-MEDIUM / OCR-LOW / MANUAL-REVIEW</w:t>
      </w:r>
    </w:p>
    <w:p w14:paraId="53A2640D" w14:textId="77777777" w:rsidR="00273695" w:rsidRDefault="00273695" w:rsidP="00273695">
      <w:pPr>
        <w:pStyle w:val="NormalWeb"/>
      </w:pPr>
      <w:r>
        <w:rPr>
          <w:rStyle w:val="Strong"/>
        </w:rPr>
        <w:t>Why the confidence tag matters more here than in a clean-data scenario:</w:t>
      </w:r>
      <w:r>
        <w:t xml:space="preserve"> since you're blending sources of very different reliability (a clean OIL database table vs. an OCR'd 1994 WCR table with a mangled </w:t>
      </w:r>
      <w:r>
        <w:lastRenderedPageBreak/>
        <w:t xml:space="preserve">decimal point), every downstream component — similarity scoring, risk-corridor aggregation, alert generation — must treat a </w:t>
      </w:r>
      <w:r>
        <w:rPr>
          <w:rStyle w:val="HTMLCode"/>
        </w:rPr>
        <w:t>STRUCTURED-HIGH</w:t>
      </w:r>
      <w:r>
        <w:t xml:space="preserve"> depth value differently from an </w:t>
      </w:r>
      <w:r>
        <w:rPr>
          <w:rStyle w:val="HTMLCode"/>
        </w:rPr>
        <w:t>OCR-LOW</w:t>
      </w:r>
      <w:r>
        <w:t xml:space="preserve"> one. Concretely: </w:t>
      </w:r>
      <w:r>
        <w:rPr>
          <w:rStyle w:val="Strong"/>
        </w:rPr>
        <w:t>low-confidence records can inform a risk corridor's existence but should never singlehandedly trigger a high-severity alert.</w:t>
      </w:r>
      <w:r>
        <w:t xml:space="preserve"> This is both good engineering and a good answer if a judge asks "how do you handle OCR errors in safety-relevant data."</w:t>
      </w:r>
    </w:p>
    <w:p w14:paraId="17E517B9" w14:textId="77777777" w:rsidR="00273695" w:rsidRDefault="00273695" w:rsidP="00273695">
      <w:pPr>
        <w:pStyle w:val="NormalWeb"/>
      </w:pPr>
      <w:r>
        <w:rPr>
          <w:rStyle w:val="Strong"/>
        </w:rPr>
        <w:t>Same-schema guarantee:</w:t>
      </w:r>
      <w:r>
        <w:t xml:space="preserve"> whichever path a record takes, it lands in the same </w:t>
      </w:r>
      <w:r>
        <w:rPr>
          <w:rStyle w:val="HTMLCode"/>
        </w:rPr>
        <w:t>events</w:t>
      </w:r>
      <w:r>
        <w:t xml:space="preserve"> table with the same fields. This is what lets the rest of the system (similarity engine, corridor generation, alerting) be built and tested </w:t>
      </w:r>
      <w:r>
        <w:rPr>
          <w:rStyle w:val="Emphasis"/>
        </w:rPr>
        <w:t>now</w:t>
      </w:r>
      <w:r>
        <w:t>, on synthetic + proxy data, without waiting for OIL's actual files — when OIL's data arrives, only ingestion adapters need to be written, not the core engine.</w:t>
      </w:r>
    </w:p>
    <w:p w14:paraId="4ACBD53F" w14:textId="77777777" w:rsidR="00273695" w:rsidRDefault="00273695" w:rsidP="00273695">
      <w:pPr>
        <w:pStyle w:val="Heading3"/>
      </w:pPr>
      <w:r>
        <w:t>What to actually build before the OIL call</w:t>
      </w:r>
    </w:p>
    <w:p w14:paraId="08C09ED7" w14:textId="77777777" w:rsidR="00273695" w:rsidRDefault="00273695" w:rsidP="00273695">
      <w:pPr>
        <w:pStyle w:val="NormalWeb"/>
      </w:pPr>
      <w:r>
        <w:t xml:space="preserve">Since you don't have the data yet, build and demo the ingestion layer against </w:t>
      </w:r>
      <w:r>
        <w:rPr>
          <w:rStyle w:val="Strong"/>
        </w:rPr>
        <w:t>two synthetic/proxy inputs that mimic OIL's likely two extremes</w:t>
      </w:r>
      <w:r>
        <w:t>:</w:t>
      </w:r>
    </w:p>
    <w:p w14:paraId="609A667C" w14:textId="77777777" w:rsidR="00273695" w:rsidRDefault="00273695" w:rsidP="00273695">
      <w:pPr>
        <w:numPr>
          <w:ilvl w:val="0"/>
          <w:numId w:val="17"/>
        </w:numPr>
        <w:spacing w:before="100" w:beforeAutospacing="1" w:after="100" w:afterAutospacing="1"/>
      </w:pPr>
      <w:r>
        <w:t>A structured CSV/JSON mimicking a clean well-events export (mimics best case).</w:t>
      </w:r>
    </w:p>
    <w:p w14:paraId="1E5A8EB9" w14:textId="77777777" w:rsidR="00273695" w:rsidRDefault="00273695" w:rsidP="00273695">
      <w:pPr>
        <w:numPr>
          <w:ilvl w:val="0"/>
          <w:numId w:val="17"/>
        </w:numPr>
        <w:spacing w:before="100" w:beforeAutospacing="1" w:after="100" w:afterAutospacing="1"/>
      </w:pPr>
      <w:r>
        <w:t>A scanned-look PDF you construct yourself (or take one representative public WCR-style PDF) run through the OCR path.</w:t>
      </w:r>
    </w:p>
    <w:p w14:paraId="1322035C" w14:textId="77777777" w:rsidR="00273695" w:rsidRDefault="00273695" w:rsidP="00273695">
      <w:pPr>
        <w:pStyle w:val="NormalWeb"/>
      </w:pPr>
      <w:r>
        <w:t xml:space="preserve">Showing both paths converging into the same schema, live, is a strong artifact to bring </w:t>
      </w:r>
      <w:r>
        <w:rPr>
          <w:rStyle w:val="Emphasis"/>
        </w:rPr>
        <w:t>into</w:t>
      </w:r>
      <w:r>
        <w:t xml:space="preserve"> the OIL meeting — it demonstrates you've already solved the format-uncertainty problem, which will make OIL's technical team trust you with real data faster.</w:t>
      </w:r>
    </w:p>
    <w:p w14:paraId="1AE7A416" w14:textId="77777777" w:rsidR="00273695" w:rsidRDefault="00F30DF6" w:rsidP="00273695">
      <w:r>
        <w:pict w14:anchorId="6A051440">
          <v:rect id="Horizontal Line 4" o:spid="_x0000_s1035"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8E944B" w14:textId="77777777" w:rsidR="00273695" w:rsidRDefault="00273695" w:rsidP="00273695">
      <w:pPr>
        <w:pStyle w:val="Heading2"/>
      </w:pPr>
      <w:r>
        <w:t>PART 3 — CORE ENGINE (unchanged by ingestion source)</w:t>
      </w:r>
    </w:p>
    <w:p w14:paraId="4FDBD2D8" w14:textId="77777777" w:rsidR="00273695" w:rsidRDefault="00273695" w:rsidP="00273695">
      <w:pPr>
        <w:pStyle w:val="Heading3"/>
      </w:pPr>
      <w:r>
        <w:t>3.1 Similarity / correlation engine</w:t>
      </w:r>
    </w:p>
    <w:p w14:paraId="3F347AE4" w14:textId="77777777" w:rsidR="00273695" w:rsidRDefault="00273695" w:rsidP="00273695">
      <w:pPr>
        <w:pStyle w:val="NormalWeb"/>
      </w:pPr>
      <w:r>
        <w:t>Composite score per candidate offset well, computed per event type (weights differ for mud-loss vs. stuck-pipe vs. overpressure):</w:t>
      </w:r>
    </w:p>
    <w:p w14:paraId="5B5B4F2C" w14:textId="77777777" w:rsidR="00273695" w:rsidRDefault="00273695" w:rsidP="00273695">
      <w:pPr>
        <w:pStyle w:val="NormalWeb"/>
      </w:pPr>
      <w:r>
        <w:rPr>
          <w:rStyle w:val="HTMLCode"/>
        </w:rPr>
        <w:t>Similarity = w1·FormationMatch + w2·DepthAlignment + w3·TrajectorySimilarity + w4·OperationalParamSimilarity + w5·GeographicProximity</w:t>
      </w:r>
    </w:p>
    <w:p w14:paraId="58F93CB9" w14:textId="77777777" w:rsidR="00273695" w:rsidRDefault="00273695" w:rsidP="00273695">
      <w:pPr>
        <w:numPr>
          <w:ilvl w:val="0"/>
          <w:numId w:val="18"/>
        </w:numPr>
        <w:spacing w:before="100" w:beforeAutospacing="1" w:after="100" w:afterAutospacing="1"/>
      </w:pPr>
      <w:r>
        <w:rPr>
          <w:rStyle w:val="HTMLCode"/>
        </w:rPr>
        <w:t>FormationMatch</w:t>
      </w:r>
      <w:r>
        <w:t>: exact formation name match after ontology normalization (handle spelling/naming drift across decades of reports — Assam basin formations like Barail, Tipam, Girujan will appear under multiple historical spellings; build a synonym table, and ask OIL's team in the call whether a standard stratigraphic naming reference already exists internally).</w:t>
      </w:r>
    </w:p>
    <w:p w14:paraId="6C9B7B11" w14:textId="77777777" w:rsidR="00273695" w:rsidRDefault="00273695" w:rsidP="00273695">
      <w:pPr>
        <w:numPr>
          <w:ilvl w:val="0"/>
          <w:numId w:val="18"/>
        </w:numPr>
        <w:spacing w:before="100" w:beforeAutospacing="1" w:after="100" w:afterAutospacing="1"/>
      </w:pPr>
      <w:r>
        <w:rPr>
          <w:rStyle w:val="HTMLCode"/>
        </w:rPr>
        <w:t>DepthAlignment</w:t>
      </w:r>
      <w:r>
        <w:t>: formation-relative depth (depth from formation top, not raw MD) so wells with different KOPs/spud depths are still comparable.</w:t>
      </w:r>
    </w:p>
    <w:p w14:paraId="23CD30AA" w14:textId="77777777" w:rsidR="00273695" w:rsidRDefault="00273695" w:rsidP="00273695">
      <w:pPr>
        <w:numPr>
          <w:ilvl w:val="0"/>
          <w:numId w:val="18"/>
        </w:numPr>
        <w:spacing w:before="100" w:beforeAutospacing="1" w:after="100" w:afterAutospacing="1"/>
      </w:pPr>
      <w:r>
        <w:rPr>
          <w:rStyle w:val="HTMLCode"/>
        </w:rPr>
        <w:t>TrajectorySimilarity</w:t>
      </w:r>
      <w:r>
        <w:t>: inclination/azimuth/well-path profile distance.</w:t>
      </w:r>
    </w:p>
    <w:p w14:paraId="11D0BC68" w14:textId="77777777" w:rsidR="00273695" w:rsidRDefault="00273695" w:rsidP="00273695">
      <w:pPr>
        <w:numPr>
          <w:ilvl w:val="0"/>
          <w:numId w:val="18"/>
        </w:numPr>
        <w:spacing w:before="100" w:beforeAutospacing="1" w:after="100" w:afterAutospacing="1"/>
      </w:pPr>
      <w:r>
        <w:rPr>
          <w:rStyle w:val="HTMLCode"/>
        </w:rPr>
        <w:t>OperationalParamSimilarity</w:t>
      </w:r>
      <w:r>
        <w:t>: mud weight, ROP, torque, WOB pattern distance where available (often the sparsest field in older reports — expect this weight to matter more for cleaner, newer wells and less for older OCR'd ones; the confidence tagging from Part 2 should down-weight this term automatically when source confidence is low).</w:t>
      </w:r>
    </w:p>
    <w:p w14:paraId="0FD8A2AC" w14:textId="77777777" w:rsidR="00273695" w:rsidRDefault="00273695" w:rsidP="00273695">
      <w:pPr>
        <w:numPr>
          <w:ilvl w:val="0"/>
          <w:numId w:val="18"/>
        </w:numPr>
        <w:spacing w:before="100" w:beforeAutospacing="1" w:after="100" w:afterAutospacing="1"/>
      </w:pPr>
      <w:r>
        <w:rPr>
          <w:rStyle w:val="HTMLCode"/>
        </w:rPr>
        <w:t>GeographicProximity</w:t>
      </w:r>
      <w:r>
        <w:t>: haversine distance, smallest weight — included so a very close well isn't ignored, but never allowed to dominate over formation/depth mismatch.</w:t>
      </w:r>
    </w:p>
    <w:p w14:paraId="04E55F81" w14:textId="77777777" w:rsidR="00273695" w:rsidRDefault="00273695" w:rsidP="00273695">
      <w:pPr>
        <w:pStyle w:val="Heading3"/>
      </w:pPr>
      <w:r>
        <w:t>3.2 Risk-corridor generation</w:t>
      </w:r>
    </w:p>
    <w:p w14:paraId="6E8D821F" w14:textId="77777777" w:rsidR="00273695" w:rsidRDefault="00273695" w:rsidP="00273695">
      <w:pPr>
        <w:pStyle w:val="NormalWeb"/>
      </w:pPr>
      <w:r>
        <w:t xml:space="preserve">For each formation + event type, aggregate matched offset events into an interval: </w:t>
      </w:r>
      <w:r>
        <w:rPr>
          <w:rStyle w:val="HTMLCode"/>
        </w:rPr>
        <w:t>{formation, event_type, depth_interval, evidence_count, event_frequency, successful_mitigations}</w:t>
      </w:r>
      <w:r>
        <w:t xml:space="preserve">. This is a </w:t>
      </w:r>
      <w:r>
        <w:rPr>
          <w:rStyle w:val="Strong"/>
        </w:rPr>
        <w:t>corridor, not a point prediction</w:t>
      </w:r>
      <w:r>
        <w:t xml:space="preserve"> — deliberately, because with realistic data volumes you likely </w:t>
      </w:r>
      <w:r>
        <w:lastRenderedPageBreak/>
        <w:t>won't have enough labeled examples per formation to responsibly output a single probability number. Presenting a corridor with an evidence count is honest and still highly actionable.</w:t>
      </w:r>
    </w:p>
    <w:p w14:paraId="45C5CA2F" w14:textId="77777777" w:rsidR="00273695" w:rsidRDefault="00273695" w:rsidP="00273695">
      <w:pPr>
        <w:pStyle w:val="Heading3"/>
      </w:pPr>
      <w:r>
        <w:t>3.3 Risk scoring</w:t>
      </w:r>
    </w:p>
    <w:p w14:paraId="4FEA4EB5" w14:textId="77777777" w:rsidR="00273695" w:rsidRDefault="00273695" w:rsidP="00273695">
      <w:pPr>
        <w:numPr>
          <w:ilvl w:val="0"/>
          <w:numId w:val="19"/>
        </w:numPr>
        <w:spacing w:before="100" w:beforeAutospacing="1" w:after="100" w:afterAutospacing="1"/>
      </w:pPr>
      <w:r>
        <w:rPr>
          <w:rStyle w:val="Strong"/>
        </w:rPr>
        <w:t>Default (works with zero training data):</w:t>
      </w:r>
      <w:r>
        <w:t xml:space="preserve"> rule-based/statistical scoring from corridor density + current-state similarity — ships on Day 1 of the hackathon.</w:t>
      </w:r>
    </w:p>
    <w:p w14:paraId="6ADA433A" w14:textId="77777777" w:rsidR="00273695" w:rsidRDefault="00273695" w:rsidP="00273695">
      <w:pPr>
        <w:numPr>
          <w:ilvl w:val="0"/>
          <w:numId w:val="19"/>
        </w:numPr>
        <w:spacing w:before="100" w:beforeAutospacing="1" w:after="100" w:afterAutospacing="1"/>
      </w:pPr>
      <w:r>
        <w:rPr>
          <w:rStyle w:val="Strong"/>
        </w:rPr>
        <w:t>Upgrade path (once OIL's call reveals enough labeled outcomes exist):</w:t>
      </w:r>
      <w:r>
        <w:t xml:space="preserve"> XGBoost/LightGBM classifier per event type, SHAP-explainable, trained on whatever labeled history OIL can provide, falling back to the rule-based score for formations/wells with too little data to train reliably. </w:t>
      </w:r>
      <w:r>
        <w:rPr>
          <w:rStyle w:val="Strong"/>
        </w:rPr>
        <w:t>Ask directly in the OIL call:</w:t>
      </w:r>
      <w:r>
        <w:t xml:space="preserve"> </w:t>
      </w:r>
      <w:r>
        <w:rPr>
          <w:rStyle w:val="Emphasis"/>
        </w:rPr>
        <w:t>"Do WCRs/DDRs record a clear final outcome field per incident (e.g., resolved/NPT hours/mitigation used), or is that information only in free-text narrative?"</w:t>
      </w:r>
      <w:r>
        <w:t xml:space="preserve"> — the answer determines how fast you can move from rule-based to trained scoring.</w:t>
      </w:r>
    </w:p>
    <w:p w14:paraId="5252013B" w14:textId="77777777" w:rsidR="00273695" w:rsidRDefault="00273695" w:rsidP="00273695">
      <w:pPr>
        <w:pStyle w:val="Heading3"/>
      </w:pPr>
      <w:r>
        <w:t>3.4 Alerting</w:t>
      </w:r>
    </w:p>
    <w:p w14:paraId="2F060356" w14:textId="77777777" w:rsidR="00273695" w:rsidRDefault="00273695" w:rsidP="00273695">
      <w:pPr>
        <w:pStyle w:val="NormalWeb"/>
      </w:pPr>
      <w:r>
        <w:t xml:space="preserve">Corridor-watcher (Part 1) fires when live depth enters a flagged interval. Alert payload always includes: event type, risk level, current depth, risk interval, matched offset wells with both distance and similarity, historical evidence with source document reference, recommended mitigation options ranked by historical outcome, and a confidence label — with an explicit UI separation between </w:t>
      </w:r>
      <w:r>
        <w:rPr>
          <w:rStyle w:val="Strong"/>
        </w:rPr>
        <w:t>observed historical fact</w:t>
      </w:r>
      <w:r>
        <w:t xml:space="preserve">, </w:t>
      </w:r>
      <w:r>
        <w:rPr>
          <w:rStyle w:val="Strong"/>
        </w:rPr>
        <w:t>model-estimated risk</w:t>
      </w:r>
      <w:r>
        <w:t xml:space="preserve">, and </w:t>
      </w:r>
      <w:r>
        <w:rPr>
          <w:rStyle w:val="Strong"/>
        </w:rPr>
        <w:t>suggested mitigation</w:t>
      </w:r>
      <w:r>
        <w:t>. This distinction is worth stating out loud to OIL's technical team — PSU engineering teams will care about this more than almost anything else in the pitch.</w:t>
      </w:r>
    </w:p>
    <w:p w14:paraId="14BAB7FC" w14:textId="77777777" w:rsidR="00273695" w:rsidRDefault="00F30DF6" w:rsidP="00273695">
      <w:r>
        <w:pict w14:anchorId="7E513A7F">
          <v:rect id="Horizontal Line 5" o:spid="_x0000_s1034"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310BCC" w14:textId="77777777" w:rsidR="00273695" w:rsidRDefault="00273695" w:rsidP="00273695">
      <w:pPr>
        <w:pStyle w:val="Heading2"/>
      </w:pPr>
      <w:r>
        <w:t>PART 4 — INDIA / OIL-SPECIFIC TAILORING</w:t>
      </w:r>
    </w:p>
    <w:p w14:paraId="269E755E" w14:textId="77777777" w:rsidR="00273695" w:rsidRDefault="00273695" w:rsidP="00273695">
      <w:pPr>
        <w:pStyle w:val="NormalWeb"/>
      </w:pPr>
      <w:r>
        <w:t xml:space="preserve">This is what makes the solution read as </w:t>
      </w:r>
      <w:r>
        <w:rPr>
          <w:rStyle w:val="Emphasis"/>
        </w:rPr>
        <w:t>built for OIL</w:t>
      </w:r>
      <w:r>
        <w:t xml:space="preserve"> rather than </w:t>
      </w:r>
      <w:r>
        <w:rPr>
          <w:rStyle w:val="Emphasis"/>
        </w:rPr>
        <w:t>a generic template with OIL's name pasted on</w:t>
      </w:r>
      <w:r>
        <w:t>:</w:t>
      </w:r>
    </w:p>
    <w:p w14:paraId="28094BFA" w14:textId="77777777" w:rsidR="00273695" w:rsidRDefault="00273695" w:rsidP="00273695">
      <w:pPr>
        <w:numPr>
          <w:ilvl w:val="0"/>
          <w:numId w:val="20"/>
        </w:numPr>
        <w:spacing w:before="100" w:beforeAutospacing="1" w:after="100" w:afterAutospacing="1"/>
      </w:pPr>
      <w:r>
        <w:rPr>
          <w:rStyle w:val="Strong"/>
        </w:rPr>
        <w:t>Geology anchor:</w:t>
      </w:r>
      <w:r>
        <w:t xml:space="preserve"> explicitly tune the demo and default ontology to the </w:t>
      </w:r>
      <w:r>
        <w:rPr>
          <w:rStyle w:val="Strong"/>
        </w:rPr>
        <w:t>Naga Thrust and Fold Belt / Assam-Arakan basin</w:t>
      </w:r>
      <w:r>
        <w:t xml:space="preserve"> formations (Barail, Tipam, Girujan) and the named fields from your earlier research (Geleki, Digboi, Kharsang, Pengri-Bardumsha) rather than generic formation placeholders. This is a small effort, high credibility move.</w:t>
      </w:r>
    </w:p>
    <w:p w14:paraId="07B46B79" w14:textId="77777777" w:rsidR="00273695" w:rsidRDefault="00273695" w:rsidP="00273695">
      <w:pPr>
        <w:numPr>
          <w:ilvl w:val="0"/>
          <w:numId w:val="20"/>
        </w:numPr>
        <w:spacing w:before="100" w:beforeAutospacing="1" w:after="100" w:afterAutospacing="1"/>
      </w:pPr>
      <w:r>
        <w:rPr>
          <w:rStyle w:val="Strong"/>
        </w:rPr>
        <w:t>Language/format reality of old records:</w:t>
      </w:r>
      <w:r>
        <w:t xml:space="preserve"> OIL's oldest wells (Digboi, 1889 onward) will very likely include </w:t>
      </w:r>
      <w:r>
        <w:rPr>
          <w:rStyle w:val="Strong"/>
        </w:rPr>
        <w:t>typewritten or handwritten legacy reports</w:t>
      </w:r>
      <w:r>
        <w:t>, possibly with non-standard units (mixed metric/imperial across eras) and terminology drift. Build unit normalization and an OCR confidence path assuming this from the start rather than assuming modern digital-native PDFs.</w:t>
      </w:r>
    </w:p>
    <w:p w14:paraId="2F8BB688" w14:textId="77777777" w:rsidR="00273695" w:rsidRDefault="00273695" w:rsidP="00273695">
      <w:pPr>
        <w:numPr>
          <w:ilvl w:val="0"/>
          <w:numId w:val="20"/>
        </w:numPr>
        <w:spacing w:before="100" w:beforeAutospacing="1" w:after="100" w:afterAutospacing="1"/>
      </w:pPr>
      <w:r>
        <w:rPr>
          <w:rStyle w:val="Strong"/>
        </w:rPr>
        <w:t>PSU deployment reality:</w:t>
      </w:r>
      <w:r>
        <w:t xml:space="preserve"> OIL is a public-sector undertaking — procurement, data-security, and on-prem/air-gapped deployment concerns are typically stricter than a private operator's. Design (and say explicitly) that the system can run </w:t>
      </w:r>
      <w:r>
        <w:rPr>
          <w:rStyle w:val="Strong"/>
        </w:rPr>
        <w:t>on-premise / within OIL's own infrastructure</w:t>
      </w:r>
      <w:r>
        <w:t>, with the LLM component swappable to a private/self-hosted model if OIL's data-security policy doesn't allow sending drilling data to an external API. This single point — asked proactively rather than reactively — will land very well with a PSU technical team.</w:t>
      </w:r>
    </w:p>
    <w:p w14:paraId="1DE65461" w14:textId="77777777" w:rsidR="00273695" w:rsidRDefault="00273695" w:rsidP="00273695">
      <w:pPr>
        <w:numPr>
          <w:ilvl w:val="0"/>
          <w:numId w:val="20"/>
        </w:numPr>
        <w:spacing w:before="100" w:beforeAutospacing="1" w:after="100" w:afterAutospacing="1"/>
      </w:pPr>
      <w:r>
        <w:rPr>
          <w:rStyle w:val="Strong"/>
        </w:rPr>
        <w:t>Regulatory/safety alignment:</w:t>
      </w:r>
      <w:r>
        <w:t xml:space="preserve"> frame the explainability requirement (fact vs. estimate vs. recommendation, source-document traceability) not just as good UX but as alignment with how safety-case documentation and government oversight expects decision support to be auditable in Indian upstream operations.</w:t>
      </w:r>
    </w:p>
    <w:p w14:paraId="283FBFF7" w14:textId="77777777" w:rsidR="00273695" w:rsidRDefault="00273695" w:rsidP="00273695">
      <w:pPr>
        <w:numPr>
          <w:ilvl w:val="0"/>
          <w:numId w:val="20"/>
        </w:numPr>
        <w:spacing w:before="100" w:beforeAutospacing="1" w:after="100" w:afterAutospacing="1"/>
      </w:pPr>
      <w:r>
        <w:rPr>
          <w:rStyle w:val="Strong"/>
        </w:rPr>
        <w:t>Positioning line for the pitch:</w:t>
      </w:r>
      <w:r>
        <w:t xml:space="preserve"> </w:t>
      </w:r>
      <w:r>
        <w:rPr>
          <w:rStyle w:val="Emphasis"/>
        </w:rPr>
        <w:t>"NWIS is not a generic offset-well tool retrofitted to India — it's built around the specific geology (Naga thrust belt overpressure and seismic-imaging limitations), the specific institutional history (Digboi's 130+ years), and the specific deployment constraints (PSU data governance, on-prem capability) of OIL India."</w:t>
      </w:r>
    </w:p>
    <w:p w14:paraId="30B43F72" w14:textId="77777777" w:rsidR="00273695" w:rsidRDefault="00F30DF6" w:rsidP="00273695">
      <w:r>
        <w:pict w14:anchorId="7122315F">
          <v:rect id="Horizontal Line 6" o:spid="_x0000_s1033"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F2D4A7" w14:textId="77777777" w:rsidR="00273695" w:rsidRDefault="00273695" w:rsidP="00273695">
      <w:pPr>
        <w:pStyle w:val="Heading2"/>
      </w:pPr>
      <w:r>
        <w:lastRenderedPageBreak/>
        <w:t>PART 5 — QUESTIONS TO BRING TO THE OIL TECHNICAL CALL</w:t>
      </w:r>
    </w:p>
    <w:p w14:paraId="37D4D526" w14:textId="77777777" w:rsidR="00273695" w:rsidRDefault="00273695" w:rsidP="00273695">
      <w:pPr>
        <w:pStyle w:val="NormalWeb"/>
      </w:pPr>
      <w:r>
        <w:t>Since the call is your best chance to convert uncertainty into a locked design decision, go in with a short, sharp list rather than open-ended questions:</w:t>
      </w:r>
    </w:p>
    <w:p w14:paraId="7B01DB68" w14:textId="77777777" w:rsidR="00273695" w:rsidRDefault="00273695" w:rsidP="00273695">
      <w:pPr>
        <w:pStyle w:val="NormalWeb"/>
      </w:pPr>
      <w:r>
        <w:rPr>
          <w:rStyle w:val="Strong"/>
        </w:rPr>
        <w:t>On data format (resolves the hybrid-ingestion uncertainty):</w:t>
      </w:r>
    </w:p>
    <w:p w14:paraId="114B255D" w14:textId="77777777" w:rsidR="00273695" w:rsidRDefault="00273695" w:rsidP="00273695">
      <w:pPr>
        <w:numPr>
          <w:ilvl w:val="0"/>
          <w:numId w:val="21"/>
        </w:numPr>
        <w:spacing w:before="100" w:beforeAutospacing="1" w:after="100" w:afterAutospacing="1"/>
      </w:pPr>
      <w:r>
        <w:t>Are WCRs/DDRs available as digital-native text, scanned images, or a mix — and roughly what proportion of each by era/field?</w:t>
      </w:r>
    </w:p>
    <w:p w14:paraId="0AE50893" w14:textId="77777777" w:rsidR="00273695" w:rsidRDefault="00273695" w:rsidP="00273695">
      <w:pPr>
        <w:numPr>
          <w:ilvl w:val="0"/>
          <w:numId w:val="21"/>
        </w:numPr>
        <w:spacing w:before="100" w:beforeAutospacing="1" w:after="100" w:afterAutospacing="1"/>
      </w:pPr>
      <w:r>
        <w:t>Is there already any structured database (even partial) behind eRTMAC or a separate records system, or is everything document-based?</w:t>
      </w:r>
    </w:p>
    <w:p w14:paraId="0F86B431" w14:textId="77777777" w:rsidR="00273695" w:rsidRDefault="00273695" w:rsidP="00273695">
      <w:pPr>
        <w:numPr>
          <w:ilvl w:val="0"/>
          <w:numId w:val="21"/>
        </w:numPr>
        <w:spacing w:before="100" w:beforeAutospacing="1" w:after="100" w:afterAutospacing="1"/>
      </w:pPr>
      <w:r>
        <w:t>What format are trajectory/survey and formation-top records in — digital tables, LAS files, or also document-embedded?</w:t>
      </w:r>
    </w:p>
    <w:p w14:paraId="3DBB6589" w14:textId="77777777" w:rsidR="00273695" w:rsidRDefault="00273695" w:rsidP="00273695">
      <w:pPr>
        <w:pStyle w:val="NormalWeb"/>
      </w:pPr>
      <w:r>
        <w:rPr>
          <w:rStyle w:val="Strong"/>
        </w:rPr>
        <w:t>On eRTMAC integration (resolves the "alongside, not replacing" boundary):</w:t>
      </w:r>
      <w:r>
        <w:t xml:space="preserve"> 4. Does eRTMAC expose an API or export feed NWIS could read live depth/formation/parameter state from, or would this be a periodic export? 5. Can NWIS be embedded as a panel within the eRTMAC interface, or would it need to be a standalone application deep-linked from it?</w:t>
      </w:r>
    </w:p>
    <w:p w14:paraId="59331947" w14:textId="77777777" w:rsidR="00273695" w:rsidRDefault="00273695" w:rsidP="00273695">
      <w:pPr>
        <w:pStyle w:val="NormalWeb"/>
      </w:pPr>
      <w:r>
        <w:rPr>
          <w:rStyle w:val="Strong"/>
        </w:rPr>
        <w:t>On labeled outcomes (resolves rule-based vs. trained-classifier scope):</w:t>
      </w:r>
      <w:r>
        <w:t xml:space="preserve"> 6. Do incident records include a clear structured outcome field (NPT hours, mitigation used, resolved/unresolved), or is that only in narrative text? 7. Roughly how many documented events per major risk type (mud loss, stuck pipe, kick/overpressure, torque spike) exist across the fields you're able to share?</w:t>
      </w:r>
    </w:p>
    <w:p w14:paraId="185D90D6" w14:textId="77777777" w:rsidR="00273695" w:rsidRDefault="00273695" w:rsidP="00273695">
      <w:pPr>
        <w:pStyle w:val="NormalWeb"/>
      </w:pPr>
      <w:r>
        <w:rPr>
          <w:rStyle w:val="Strong"/>
        </w:rPr>
        <w:t>On geology/reference data:</w:t>
      </w:r>
      <w:r>
        <w:t xml:space="preserve"> 8. Is there a standard internal stratigraphic naming/ontology for formations we should align to, given naming drift across decades of reports? 9. Are well coordinates (surface and bottom-hole) consistently recorded, and in what coordinate reference system?</w:t>
      </w:r>
    </w:p>
    <w:p w14:paraId="588A25A0" w14:textId="77777777" w:rsidR="00273695" w:rsidRDefault="00273695" w:rsidP="00273695">
      <w:pPr>
        <w:pStyle w:val="NormalWeb"/>
      </w:pPr>
      <w:r>
        <w:rPr>
          <w:rStyle w:val="Strong"/>
        </w:rPr>
        <w:t>On deployment constraints:</w:t>
      </w:r>
      <w:r>
        <w:t xml:space="preserve"> 10. What are OIL's data-security/on-prem requirements for a tool like this — can it call external LLM APIs, or does it need to run fully within OIL's infrastructure?</w:t>
      </w:r>
    </w:p>
    <w:p w14:paraId="46D25AB1" w14:textId="77777777" w:rsidR="00273695" w:rsidRDefault="00273695" w:rsidP="00273695">
      <w:pPr>
        <w:pStyle w:val="NormalWeb"/>
      </w:pPr>
      <w:r>
        <w:t>Bringing this list, plus the two-path ingestion demo from Part 2, will make the call function as a design-validation session rather than an information-gathering one — which is a stronger position to be in with only limited time before submission.</w:t>
      </w:r>
    </w:p>
    <w:p w14:paraId="0EEE23E7" w14:textId="77777777" w:rsidR="00273695" w:rsidRDefault="00F30DF6" w:rsidP="00273695">
      <w:r>
        <w:pict w14:anchorId="77DD2382">
          <v:rect id="Horizontal Line 7" o:spid="_x0000_s1032"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E40219" w14:textId="77777777" w:rsidR="00273695" w:rsidRDefault="00273695" w:rsidP="00273695">
      <w:pPr>
        <w:pStyle w:val="Heading2"/>
      </w:pPr>
      <w:r>
        <w:t>PART 6 — REVISED BUILD PRIORITY FOR THE HACKATHON</w:t>
      </w:r>
    </w:p>
    <w:p w14:paraId="2631673B" w14:textId="77777777" w:rsidR="00273695" w:rsidRDefault="00273695" w:rsidP="00273695">
      <w:pPr>
        <w:pStyle w:val="NormalWeb"/>
      </w:pPr>
      <w:r>
        <w:t>Given the hybrid-ingestion decision, build in this order so the most judge-visible and differentiating piece is never at risk of being unfinished:</w:t>
      </w:r>
    </w:p>
    <w:p w14:paraId="5051F65C" w14:textId="77777777" w:rsidR="00273695" w:rsidRDefault="00273695" w:rsidP="00273695">
      <w:pPr>
        <w:numPr>
          <w:ilvl w:val="0"/>
          <w:numId w:val="22"/>
        </w:numPr>
        <w:spacing w:before="100" w:beforeAutospacing="1" w:after="100" w:afterAutospacing="1"/>
      </w:pPr>
      <w:r>
        <w:rPr>
          <w:rStyle w:val="Strong"/>
        </w:rPr>
        <w:t>Corridor-watcher + proactive alert firing on replayed historical data</w:t>
      </w:r>
      <w:r>
        <w:t xml:space="preserve"> (Part 1, non-negotiable 3) — build first; this is the moment that wins or loses the demo.</w:t>
      </w:r>
    </w:p>
    <w:p w14:paraId="7364FC8A" w14:textId="77777777" w:rsidR="00273695" w:rsidRDefault="00273695" w:rsidP="00273695">
      <w:pPr>
        <w:numPr>
          <w:ilvl w:val="0"/>
          <w:numId w:val="22"/>
        </w:numPr>
        <w:spacing w:before="100" w:beforeAutospacing="1" w:after="100" w:afterAutospacing="1"/>
      </w:pPr>
      <w:r>
        <w:rPr>
          <w:rStyle w:val="Strong"/>
        </w:rPr>
        <w:t>Similarity engine with both distance and formation/depth score shown side by side</w:t>
      </w:r>
      <w:r>
        <w:t xml:space="preserve"> (Part 1, non-negotiable 2) — build second.</w:t>
      </w:r>
    </w:p>
    <w:p w14:paraId="0439212A" w14:textId="77777777" w:rsidR="00273695" w:rsidRDefault="00273695" w:rsidP="00273695">
      <w:pPr>
        <w:numPr>
          <w:ilvl w:val="0"/>
          <w:numId w:val="22"/>
        </w:numPr>
        <w:spacing w:before="100" w:beforeAutospacing="1" w:after="100" w:afterAutospacing="1"/>
      </w:pPr>
      <w:r>
        <w:rPr>
          <w:rStyle w:val="Strong"/>
        </w:rPr>
        <w:t>Hybrid ingestion (structured + OCR path converging to common schema)</w:t>
      </w:r>
      <w:r>
        <w:t xml:space="preserve"> — build third, using the two synthetic/proxy inputs from Part 2 until OIL's real data lands; swap in real data as soon as it arrives without changing anything downstream.</w:t>
      </w:r>
    </w:p>
    <w:p w14:paraId="1EB9F272" w14:textId="77777777" w:rsidR="00273695" w:rsidRDefault="00273695" w:rsidP="00273695">
      <w:pPr>
        <w:numPr>
          <w:ilvl w:val="0"/>
          <w:numId w:val="22"/>
        </w:numPr>
        <w:spacing w:before="100" w:beforeAutospacing="1" w:after="100" w:afterAutospacing="1"/>
      </w:pPr>
      <w:r>
        <w:rPr>
          <w:rStyle w:val="Strong"/>
        </w:rPr>
        <w:t>eRTMAC-boundary framing (mock live-state endpoint, one-directional, embeddable panel design)</w:t>
      </w:r>
      <w:r>
        <w:t xml:space="preserve"> — a design/API-contract decision more than a build task; get this right early and reference it explicitly in the pitch.</w:t>
      </w:r>
    </w:p>
    <w:p w14:paraId="5E96BD01" w14:textId="77777777" w:rsidR="00273695" w:rsidRDefault="00273695" w:rsidP="00273695">
      <w:pPr>
        <w:numPr>
          <w:ilvl w:val="0"/>
          <w:numId w:val="22"/>
        </w:numPr>
        <w:spacing w:before="100" w:beforeAutospacing="1" w:after="100" w:afterAutospacing="1"/>
      </w:pPr>
      <w:r>
        <w:t>Everything else (map view, evidence drill-down, comparison table, chatbot layer, feedback capture) — polish layer, build last, cut first if time runs short.</w:t>
      </w:r>
    </w:p>
    <w:p w14:paraId="6E04E0EA" w14:textId="0BC21199" w:rsidR="00273695" w:rsidRPr="00E21C5D" w:rsidRDefault="00E21C5D" w:rsidP="00E21C5D">
      <w:pPr>
        <w:spacing w:before="100" w:beforeAutospacing="1" w:after="100" w:afterAutospacing="1"/>
        <w:jc w:val="center"/>
        <w:outlineLvl w:val="1"/>
        <w:rPr>
          <w:rFonts w:ascii="Calibri" w:hAnsi="Calibri" w:cs="Calibri"/>
          <w:b/>
          <w:bCs/>
          <w:color w:val="EE0000"/>
          <w:sz w:val="48"/>
          <w:szCs w:val="48"/>
        </w:rPr>
      </w:pPr>
      <w:r>
        <w:rPr>
          <w:rFonts w:ascii="Calibri" w:hAnsi="Calibri" w:cs="Calibri"/>
          <w:b/>
          <w:bCs/>
          <w:color w:val="EE0000"/>
          <w:sz w:val="48"/>
          <w:szCs w:val="48"/>
        </w:rPr>
        <w:lastRenderedPageBreak/>
        <w:t>PPT Content</w:t>
      </w:r>
    </w:p>
    <w:p w14:paraId="69FAB23A" w14:textId="6209FC46" w:rsidR="00273695" w:rsidRPr="00273695" w:rsidRDefault="00273695" w:rsidP="00273695">
      <w:pPr>
        <w:spacing w:before="100" w:beforeAutospacing="1" w:after="100" w:afterAutospacing="1"/>
        <w:outlineLvl w:val="1"/>
        <w:rPr>
          <w:rFonts w:ascii="Calibri" w:hAnsi="Calibri" w:cs="Calibri"/>
          <w:b/>
          <w:bCs/>
          <w:sz w:val="36"/>
          <w:szCs w:val="36"/>
        </w:rPr>
      </w:pPr>
      <w:r w:rsidRPr="00273695">
        <w:rPr>
          <w:rFonts w:ascii="Calibri" w:hAnsi="Calibri" w:cs="Calibri"/>
          <w:b/>
          <w:bCs/>
          <w:sz w:val="36"/>
          <w:szCs w:val="36"/>
        </w:rPr>
        <w:t>SLIDE 1 — TITLE SLIDE</w:t>
      </w:r>
    </w:p>
    <w:p w14:paraId="3F680D2D"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SMART INDIA HACKATHON 2026</w:t>
      </w:r>
    </w:p>
    <w:p w14:paraId="15CE54A3" w14:textId="77777777" w:rsidR="00273695" w:rsidRPr="00273695" w:rsidRDefault="00273695" w:rsidP="00273695">
      <w:pPr>
        <w:numPr>
          <w:ilvl w:val="0"/>
          <w:numId w:val="1"/>
        </w:numPr>
        <w:spacing w:before="100" w:beforeAutospacing="1" w:after="100" w:afterAutospacing="1"/>
        <w:rPr>
          <w:rFonts w:ascii="Calibri" w:hAnsi="Calibri" w:cs="Calibri"/>
        </w:rPr>
      </w:pPr>
      <w:r w:rsidRPr="00273695">
        <w:rPr>
          <w:rFonts w:ascii="Calibri" w:hAnsi="Calibri" w:cs="Calibri"/>
          <w:b/>
          <w:bCs/>
        </w:rPr>
        <w:t>Problem Statement ID –</w:t>
      </w:r>
      <w:r w:rsidRPr="00273695">
        <w:rPr>
          <w:rFonts w:ascii="Calibri" w:hAnsi="Calibri" w:cs="Calibri"/>
        </w:rPr>
        <w:t xml:space="preserve"> </w:t>
      </w:r>
      <w:r w:rsidRPr="00273695">
        <w:rPr>
          <w:rFonts w:ascii="Calibri" w:hAnsi="Calibri" w:cs="Calibri"/>
          <w:i/>
          <w:iCs/>
        </w:rPr>
        <w:t>SIH26121</w:t>
      </w:r>
    </w:p>
    <w:p w14:paraId="2791AA2A" w14:textId="77777777" w:rsidR="00273695" w:rsidRPr="00273695" w:rsidRDefault="00273695" w:rsidP="00273695">
      <w:pPr>
        <w:numPr>
          <w:ilvl w:val="0"/>
          <w:numId w:val="1"/>
        </w:numPr>
        <w:spacing w:before="100" w:beforeAutospacing="1" w:after="100" w:afterAutospacing="1"/>
        <w:rPr>
          <w:rFonts w:ascii="Calibri" w:hAnsi="Calibri" w:cs="Calibri"/>
        </w:rPr>
      </w:pPr>
      <w:r w:rsidRPr="00273695">
        <w:rPr>
          <w:rFonts w:ascii="Calibri" w:hAnsi="Calibri" w:cs="Calibri"/>
          <w:b/>
          <w:bCs/>
        </w:rPr>
        <w:t>Problem Statement Title –</w:t>
      </w:r>
      <w:r w:rsidRPr="00273695">
        <w:rPr>
          <w:rFonts w:ascii="Calibri" w:hAnsi="Calibri" w:cs="Calibri"/>
        </w:rPr>
        <w:t xml:space="preserve"> </w:t>
      </w:r>
      <w:r w:rsidRPr="00273695">
        <w:rPr>
          <w:rFonts w:ascii="Calibri" w:hAnsi="Calibri" w:cs="Calibri"/>
          <w:i/>
          <w:iCs/>
        </w:rPr>
        <w:t>eRTMAC-NWIS (Nearby Wells Intelligence System): An AI-Powered Offset Well Knowledge and Decision Support Platform for Drilling Operations</w:t>
      </w:r>
    </w:p>
    <w:p w14:paraId="1A39C289" w14:textId="77777777" w:rsidR="00273695" w:rsidRPr="00273695" w:rsidRDefault="00273695" w:rsidP="00273695">
      <w:pPr>
        <w:numPr>
          <w:ilvl w:val="0"/>
          <w:numId w:val="1"/>
        </w:numPr>
        <w:spacing w:before="100" w:beforeAutospacing="1" w:after="100" w:afterAutospacing="1"/>
        <w:rPr>
          <w:rFonts w:ascii="Calibri" w:hAnsi="Calibri" w:cs="Calibri"/>
        </w:rPr>
      </w:pPr>
      <w:r w:rsidRPr="00273695">
        <w:rPr>
          <w:rFonts w:ascii="Calibri" w:hAnsi="Calibri" w:cs="Calibri"/>
          <w:b/>
          <w:bCs/>
        </w:rPr>
        <w:t>Theme –</w:t>
      </w:r>
      <w:r w:rsidRPr="00273695">
        <w:rPr>
          <w:rFonts w:ascii="Calibri" w:hAnsi="Calibri" w:cs="Calibri"/>
        </w:rPr>
        <w:t xml:space="preserve"> </w:t>
      </w:r>
      <w:r w:rsidRPr="00273695">
        <w:rPr>
          <w:rFonts w:ascii="Calibri" w:hAnsi="Calibri" w:cs="Calibri"/>
          <w:i/>
          <w:iCs/>
        </w:rPr>
        <w:t>Smart Automation</w:t>
      </w:r>
    </w:p>
    <w:p w14:paraId="34E8BADE" w14:textId="77777777" w:rsidR="00273695" w:rsidRPr="00273695" w:rsidRDefault="00273695" w:rsidP="00273695">
      <w:pPr>
        <w:numPr>
          <w:ilvl w:val="0"/>
          <w:numId w:val="1"/>
        </w:numPr>
        <w:spacing w:before="100" w:beforeAutospacing="1" w:after="100" w:afterAutospacing="1"/>
        <w:rPr>
          <w:rFonts w:ascii="Calibri" w:hAnsi="Calibri" w:cs="Calibri"/>
        </w:rPr>
      </w:pPr>
      <w:r w:rsidRPr="00273695">
        <w:rPr>
          <w:rFonts w:ascii="Calibri" w:hAnsi="Calibri" w:cs="Calibri"/>
          <w:b/>
          <w:bCs/>
        </w:rPr>
        <w:t>PS Category –</w:t>
      </w:r>
      <w:r w:rsidRPr="00273695">
        <w:rPr>
          <w:rFonts w:ascii="Calibri" w:hAnsi="Calibri" w:cs="Calibri"/>
        </w:rPr>
        <w:t xml:space="preserve"> </w:t>
      </w:r>
      <w:r w:rsidRPr="00273695">
        <w:rPr>
          <w:rFonts w:ascii="Calibri" w:hAnsi="Calibri" w:cs="Calibri"/>
          <w:i/>
          <w:iCs/>
        </w:rPr>
        <w:t>Software</w:t>
      </w:r>
    </w:p>
    <w:p w14:paraId="5F5599DC" w14:textId="77777777" w:rsidR="00273695" w:rsidRPr="00273695" w:rsidRDefault="00273695" w:rsidP="00273695">
      <w:pPr>
        <w:numPr>
          <w:ilvl w:val="0"/>
          <w:numId w:val="1"/>
        </w:numPr>
        <w:spacing w:before="100" w:beforeAutospacing="1" w:after="100" w:afterAutospacing="1"/>
        <w:rPr>
          <w:rFonts w:ascii="Calibri" w:hAnsi="Calibri" w:cs="Calibri"/>
        </w:rPr>
      </w:pPr>
      <w:r w:rsidRPr="00273695">
        <w:rPr>
          <w:rFonts w:ascii="Calibri" w:hAnsi="Calibri" w:cs="Calibri"/>
          <w:b/>
          <w:bCs/>
        </w:rPr>
        <w:t>Team ID –</w:t>
      </w:r>
      <w:r w:rsidRPr="00273695">
        <w:rPr>
          <w:rFonts w:ascii="Calibri" w:hAnsi="Calibri" w:cs="Calibri"/>
        </w:rPr>
        <w:t xml:space="preserve"> </w:t>
      </w:r>
      <w:r w:rsidRPr="00273695">
        <w:rPr>
          <w:rFonts w:ascii="Calibri" w:hAnsi="Calibri" w:cs="Calibri"/>
          <w:i/>
          <w:iCs/>
        </w:rPr>
        <w:t>[Insert your Team ID]</w:t>
      </w:r>
    </w:p>
    <w:p w14:paraId="71FC6423" w14:textId="77777777" w:rsidR="00273695" w:rsidRPr="00273695" w:rsidRDefault="00273695" w:rsidP="00273695">
      <w:pPr>
        <w:numPr>
          <w:ilvl w:val="0"/>
          <w:numId w:val="1"/>
        </w:numPr>
        <w:spacing w:before="100" w:beforeAutospacing="1" w:after="100" w:afterAutospacing="1"/>
        <w:rPr>
          <w:rFonts w:ascii="Calibri" w:hAnsi="Calibri" w:cs="Calibri"/>
        </w:rPr>
      </w:pPr>
      <w:r w:rsidRPr="00273695">
        <w:rPr>
          <w:rFonts w:ascii="Calibri" w:hAnsi="Calibri" w:cs="Calibri"/>
          <w:b/>
          <w:bCs/>
        </w:rPr>
        <w:t>Team Name –</w:t>
      </w:r>
      <w:r w:rsidRPr="00273695">
        <w:rPr>
          <w:rFonts w:ascii="Calibri" w:hAnsi="Calibri" w:cs="Calibri"/>
        </w:rPr>
        <w:t xml:space="preserve"> </w:t>
      </w:r>
      <w:r w:rsidRPr="00273695">
        <w:rPr>
          <w:rFonts w:ascii="Calibri" w:hAnsi="Calibri" w:cs="Calibri"/>
          <w:i/>
          <w:iCs/>
        </w:rPr>
        <w:t>[Insert your Team Name]</w:t>
      </w:r>
    </w:p>
    <w:p w14:paraId="7A9A7D09" w14:textId="77777777" w:rsidR="00273695" w:rsidRPr="00273695" w:rsidRDefault="00F30DF6" w:rsidP="00273695">
      <w:pPr>
        <w:rPr>
          <w:rFonts w:ascii="Calibri" w:hAnsi="Calibri" w:cs="Calibri"/>
        </w:rPr>
      </w:pPr>
      <w:r>
        <w:pict w14:anchorId="1733D276">
          <v:rect id="Horizontal Line 8" o:spid="_x0000_s1031"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BBB8E2" w14:textId="77777777" w:rsidR="00273695" w:rsidRPr="00273695" w:rsidRDefault="00273695" w:rsidP="00273695">
      <w:pPr>
        <w:spacing w:before="100" w:beforeAutospacing="1" w:after="100" w:afterAutospacing="1"/>
        <w:outlineLvl w:val="1"/>
        <w:rPr>
          <w:rFonts w:ascii="Calibri" w:hAnsi="Calibri" w:cs="Calibri"/>
          <w:b/>
          <w:bCs/>
          <w:sz w:val="36"/>
          <w:szCs w:val="36"/>
        </w:rPr>
      </w:pPr>
      <w:r w:rsidRPr="00273695">
        <w:rPr>
          <w:rFonts w:ascii="Calibri" w:hAnsi="Calibri" w:cs="Calibri"/>
          <w:b/>
          <w:bCs/>
          <w:sz w:val="36"/>
          <w:szCs w:val="36"/>
        </w:rPr>
        <w:t>SLIDE 2 — PROPOSED SOLUTION, WHAT PROBLEM IT SOLVES &amp; UNIQUENESS</w:t>
      </w:r>
    </w:p>
    <w:p w14:paraId="23B07E42"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Product name suggestion:</w:t>
      </w:r>
      <w:r w:rsidRPr="00273695">
        <w:rPr>
          <w:rFonts w:ascii="Calibri" w:hAnsi="Calibri" w:cs="Calibri"/>
        </w:rPr>
        <w:t xml:space="preserve"> </w:t>
      </w:r>
      <w:r w:rsidRPr="00273695">
        <w:rPr>
          <w:rFonts w:ascii="Calibri" w:hAnsi="Calibri" w:cs="Calibri"/>
          <w:b/>
          <w:bCs/>
          <w:i/>
          <w:iCs/>
        </w:rPr>
        <w:t>StrataSense</w:t>
      </w:r>
      <w:r w:rsidRPr="00273695">
        <w:rPr>
          <w:rFonts w:ascii="Calibri" w:hAnsi="Calibri" w:cs="Calibri"/>
        </w:rPr>
        <w:t xml:space="preserve"> </w:t>
      </w:r>
      <w:r w:rsidRPr="00273695">
        <w:rPr>
          <w:rFonts w:ascii="Calibri" w:hAnsi="Calibri" w:cs="Calibri"/>
          <w:i/>
          <w:iCs/>
        </w:rPr>
        <w:t>(subtitle: "The Institutional Memory Layer for eRTMAC")</w:t>
      </w:r>
    </w:p>
    <w:p w14:paraId="44E880BE"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 xml:space="preserve">WHAT PROBLEM DOES IT SOLVE? </w:t>
      </w:r>
      <w:r w:rsidRPr="00273695">
        <w:rPr>
          <w:rFonts w:ascii="Calibri" w:hAnsi="Calibri" w:cs="Calibri"/>
          <w:b/>
          <w:bCs/>
          <w:i/>
          <w:iCs/>
          <w:sz w:val="27"/>
          <w:szCs w:val="27"/>
        </w:rPr>
        <w:t>(new — mirrors the sample's 4-quadrant diagram around a central node)</w:t>
      </w:r>
    </w:p>
    <w:p w14:paraId="269FDFE7"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rPr>
        <w:t>Structure this as four quadrants around a central "WHAT PROBLEM DOES IT SOLVE?" node, exactly like the sample's Delayed Compensation / Corruption Risk / Marginalized Victims / Transparency Gap layout:</w:t>
      </w:r>
    </w:p>
    <w:p w14:paraId="5E5D6374" w14:textId="77777777" w:rsidR="00273695" w:rsidRPr="00273695" w:rsidRDefault="00273695" w:rsidP="00273695">
      <w:pPr>
        <w:numPr>
          <w:ilvl w:val="0"/>
          <w:numId w:val="2"/>
        </w:numPr>
        <w:spacing w:before="100" w:beforeAutospacing="1" w:after="100" w:afterAutospacing="1"/>
        <w:rPr>
          <w:rFonts w:ascii="Calibri" w:hAnsi="Calibri" w:cs="Calibri"/>
        </w:rPr>
      </w:pPr>
      <w:r w:rsidRPr="00273695">
        <w:rPr>
          <w:rFonts w:ascii="Calibri" w:hAnsi="Calibri" w:cs="Calibri"/>
          <w:b/>
          <w:bCs/>
        </w:rPr>
        <w:t>Institutional Memory Loss:</w:t>
      </w:r>
      <w:r w:rsidRPr="00273695">
        <w:rPr>
          <w:rFonts w:ascii="Calibri" w:hAnsi="Calibri" w:cs="Calibri"/>
        </w:rPr>
        <w:t xml:space="preserve"> 130+ years and 1,000+ wells of drilling history at Digboi alone, held mostly on paper or in retiring engineers' individual experience — with no structured, searchable form.</w:t>
      </w:r>
    </w:p>
    <w:p w14:paraId="3FBD3E5E" w14:textId="77777777" w:rsidR="00273695" w:rsidRPr="00273695" w:rsidRDefault="00273695" w:rsidP="00273695">
      <w:pPr>
        <w:numPr>
          <w:ilvl w:val="0"/>
          <w:numId w:val="2"/>
        </w:numPr>
        <w:spacing w:before="100" w:beforeAutospacing="1" w:after="100" w:afterAutospacing="1"/>
        <w:rPr>
          <w:rFonts w:ascii="Calibri" w:hAnsi="Calibri" w:cs="Calibri"/>
        </w:rPr>
      </w:pPr>
      <w:r w:rsidRPr="00273695">
        <w:rPr>
          <w:rFonts w:ascii="Calibri" w:hAnsi="Calibri" w:cs="Calibri"/>
          <w:b/>
          <w:bCs/>
        </w:rPr>
        <w:t>Reactive, Not Proactive, Risk Management:</w:t>
      </w:r>
      <w:r w:rsidRPr="00273695">
        <w:rPr>
          <w:rFonts w:ascii="Calibri" w:hAnsi="Calibri" w:cs="Calibri"/>
        </w:rPr>
        <w:t xml:space="preserve"> Mud losses, stuck pipe, kicks, and overpressure events are typically understood and documented </w:t>
      </w:r>
      <w:r w:rsidRPr="00273695">
        <w:rPr>
          <w:rFonts w:ascii="Calibri" w:hAnsi="Calibri" w:cs="Calibri"/>
          <w:i/>
          <w:iCs/>
        </w:rPr>
        <w:t>after</w:t>
      </w:r>
      <w:r w:rsidRPr="00273695">
        <w:rPr>
          <w:rFonts w:ascii="Calibri" w:hAnsi="Calibri" w:cs="Calibri"/>
        </w:rPr>
        <w:t xml:space="preserve"> they occur, not anticipated from offset-well precedent before the active well reaches that depth.</w:t>
      </w:r>
    </w:p>
    <w:p w14:paraId="5A0E8532" w14:textId="77777777" w:rsidR="00273695" w:rsidRPr="00273695" w:rsidRDefault="00273695" w:rsidP="00273695">
      <w:pPr>
        <w:numPr>
          <w:ilvl w:val="0"/>
          <w:numId w:val="2"/>
        </w:numPr>
        <w:spacing w:before="100" w:beforeAutospacing="1" w:after="100" w:afterAutospacing="1"/>
        <w:rPr>
          <w:rFonts w:ascii="Calibri" w:hAnsi="Calibri" w:cs="Calibri"/>
        </w:rPr>
      </w:pPr>
      <w:r w:rsidRPr="00273695">
        <w:rPr>
          <w:rFonts w:ascii="Calibri" w:hAnsi="Calibri" w:cs="Calibri"/>
          <w:b/>
          <w:bCs/>
        </w:rPr>
        <w:t>Fragmented, Time-Consuming Manual Search:</w:t>
      </w:r>
      <w:r w:rsidRPr="00273695">
        <w:rPr>
          <w:rFonts w:ascii="Calibri" w:hAnsi="Calibri" w:cs="Calibri"/>
        </w:rPr>
        <w:t xml:space="preserve"> Engineers must manually dig through scattered WCRs, DDRs, and databases under time pressure — with results depending on who's on shift and what they happen to remember.</w:t>
      </w:r>
    </w:p>
    <w:p w14:paraId="7A18C253" w14:textId="77777777" w:rsidR="00273695" w:rsidRPr="00273695" w:rsidRDefault="00273695" w:rsidP="00273695">
      <w:pPr>
        <w:numPr>
          <w:ilvl w:val="0"/>
          <w:numId w:val="2"/>
        </w:numPr>
        <w:spacing w:before="100" w:beforeAutospacing="1" w:after="100" w:afterAutospacing="1"/>
        <w:rPr>
          <w:rFonts w:ascii="Calibri" w:hAnsi="Calibri" w:cs="Calibri"/>
        </w:rPr>
      </w:pPr>
      <w:r w:rsidRPr="00273695">
        <w:rPr>
          <w:rFonts w:ascii="Calibri" w:hAnsi="Calibri" w:cs="Calibri"/>
          <w:b/>
          <w:bCs/>
        </w:rPr>
        <w:t>A Real Prediction Blind Spot in OIL's Own Terrain:</w:t>
      </w:r>
      <w:r w:rsidRPr="00273695">
        <w:rPr>
          <w:rFonts w:ascii="Calibri" w:hAnsi="Calibri" w:cs="Calibri"/>
        </w:rPr>
        <w:t xml:space="preserve"> In the Naga Thrust and Fold Belt, seismic imaging is documented as unreliable due to rough topography and steep-dip structures — meaning the predictive geological model is weakest exactly where the drilling risk is highest, and empirical offset-well data is underused as a substitute.</w:t>
      </w:r>
    </w:p>
    <w:p w14:paraId="22E3F153"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PROPOSED SOLUTION</w:t>
      </w:r>
    </w:p>
    <w:p w14:paraId="1DADCAB5"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AI-Powered Offset Well Intelligence Alongside eRTMAC</w:t>
      </w:r>
    </w:p>
    <w:p w14:paraId="2F463528"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Unified Offset Well Intelligence Platform:</w:t>
      </w:r>
      <w:r w:rsidRPr="00273695">
        <w:rPr>
          <w:rFonts w:ascii="Calibri" w:hAnsi="Calibri" w:cs="Calibri"/>
        </w:rPr>
        <w:t xml:space="preserve"> A standalone decision-support layer that ingests decades of Well Completion Reports, Daily Drilling Reports, mud logs, trajectories, and casing/cementing records — turning them into a searchable, geospatial, and depth-tagged operational memory for every OIL field.</w:t>
      </w:r>
    </w:p>
    <w:p w14:paraId="33720A3C"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lastRenderedPageBreak/>
        <w:t>Depth- &amp; Formation-Aware Correlation Engine:</w:t>
      </w:r>
      <w:r w:rsidRPr="00273695">
        <w:rPr>
          <w:rFonts w:ascii="Calibri" w:hAnsi="Calibri" w:cs="Calibri"/>
        </w:rPr>
        <w:t xml:space="preserve"> Goes beyond "nearby wells on a map" — ranks offset wells by a composite similarity score across formation match, depth-normalized alignment, trajectory, and drilling-parameter similarity, so the </w:t>
      </w:r>
      <w:r w:rsidRPr="00273695">
        <w:rPr>
          <w:rFonts w:ascii="Calibri" w:hAnsi="Calibri" w:cs="Calibri"/>
          <w:i/>
          <w:iCs/>
        </w:rPr>
        <w:t>most relevant</w:t>
      </w:r>
      <w:r w:rsidRPr="00273695">
        <w:rPr>
          <w:rFonts w:ascii="Calibri" w:hAnsi="Calibri" w:cs="Calibri"/>
        </w:rPr>
        <w:t xml:space="preserve"> well is surfaced, not just the </w:t>
      </w:r>
      <w:r w:rsidRPr="00273695">
        <w:rPr>
          <w:rFonts w:ascii="Calibri" w:hAnsi="Calibri" w:cs="Calibri"/>
          <w:i/>
          <w:iCs/>
        </w:rPr>
        <w:t>closest</w:t>
      </w:r>
      <w:r w:rsidRPr="00273695">
        <w:rPr>
          <w:rFonts w:ascii="Calibri" w:hAnsi="Calibri" w:cs="Calibri"/>
        </w:rPr>
        <w:t xml:space="preserve"> one.</w:t>
      </w:r>
    </w:p>
    <w:p w14:paraId="38FF7D4F"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Proactive Risk-Corridor Alerts:</w:t>
      </w:r>
      <w:r w:rsidRPr="00273695">
        <w:rPr>
          <w:rFonts w:ascii="Calibri" w:hAnsi="Calibri" w:cs="Calibri"/>
        </w:rPr>
        <w:t xml:space="preserve"> Continuously compares the active well's live depth/formation state (read from eRTMAC) against historical risk corridors, firing an evidence-backed alert </w:t>
      </w:r>
      <w:r w:rsidRPr="00273695">
        <w:rPr>
          <w:rFonts w:ascii="Calibri" w:hAnsi="Calibri" w:cs="Calibri"/>
          <w:i/>
          <w:iCs/>
        </w:rPr>
        <w:t>before</w:t>
      </w:r>
      <w:r w:rsidRPr="00273695">
        <w:rPr>
          <w:rFonts w:ascii="Calibri" w:hAnsi="Calibri" w:cs="Calibri"/>
        </w:rPr>
        <w:t xml:space="preserve"> a documented offset-well incident depth is reached — not after an engineer asks a question.</w:t>
      </w:r>
    </w:p>
    <w:p w14:paraId="3C770D8D"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Explainable, Evidence-Linked Recommendations:</w:t>
      </w:r>
      <w:r w:rsidRPr="00273695">
        <w:rPr>
          <w:rFonts w:ascii="Calibri" w:hAnsi="Calibri" w:cs="Calibri"/>
        </w:rPr>
        <w:t xml:space="preserve"> Every alert separates observed historical fact, model-estimated risk, and suggested mitigation — with a direct link back to the original WCR/DDR page — so engineers can verify, not just trust, the system.</w:t>
      </w:r>
    </w:p>
    <w:p w14:paraId="3E4FA97F"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UNIQUENESS IN SOLUTION</w:t>
      </w:r>
    </w:p>
    <w:p w14:paraId="11264DB9" w14:textId="77777777" w:rsidR="00273695" w:rsidRPr="00273695" w:rsidRDefault="00273695" w:rsidP="00273695">
      <w:pPr>
        <w:numPr>
          <w:ilvl w:val="0"/>
          <w:numId w:val="3"/>
        </w:numPr>
        <w:spacing w:before="100" w:beforeAutospacing="1" w:after="100" w:afterAutospacing="1"/>
        <w:rPr>
          <w:rFonts w:ascii="Calibri" w:hAnsi="Calibri" w:cs="Calibri"/>
        </w:rPr>
      </w:pPr>
      <w:r w:rsidRPr="00273695">
        <w:rPr>
          <w:rFonts w:ascii="Calibri" w:hAnsi="Calibri" w:cs="Calibri"/>
          <w:b/>
          <w:bCs/>
        </w:rPr>
        <w:t>Hybrid Ingestion Pipeline –</w:t>
      </w:r>
      <w:r w:rsidRPr="00273695">
        <w:rPr>
          <w:rFonts w:ascii="Calibri" w:hAnsi="Calibri" w:cs="Calibri"/>
        </w:rPr>
        <w:t xml:space="preserve"> Handles both clean structured exports and decades-old scanned/handwritten reports through a single pipeline that converges into one common schema, with confidence-tagged records so low-quality OCR data can never trigger a high-severity alert alone.</w:t>
      </w:r>
    </w:p>
    <w:p w14:paraId="05806ADB" w14:textId="77777777" w:rsidR="00273695" w:rsidRPr="00273695" w:rsidRDefault="00273695" w:rsidP="00273695">
      <w:pPr>
        <w:numPr>
          <w:ilvl w:val="0"/>
          <w:numId w:val="3"/>
        </w:numPr>
        <w:spacing w:before="100" w:beforeAutospacing="1" w:after="100" w:afterAutospacing="1"/>
        <w:rPr>
          <w:rFonts w:ascii="Calibri" w:hAnsi="Calibri" w:cs="Calibri"/>
        </w:rPr>
      </w:pPr>
      <w:r w:rsidRPr="00273695">
        <w:rPr>
          <w:rFonts w:ascii="Calibri" w:hAnsi="Calibri" w:cs="Calibri"/>
          <w:b/>
          <w:bCs/>
        </w:rPr>
        <w:t>Similarity ≠ Distance –</w:t>
      </w:r>
      <w:r w:rsidRPr="00273695">
        <w:rPr>
          <w:rFonts w:ascii="Calibri" w:hAnsi="Calibri" w:cs="Calibri"/>
        </w:rPr>
        <w:t xml:space="preserve"> Every offset well is scored on both geographic proximity </w:t>
      </w:r>
      <w:r w:rsidRPr="00273695">
        <w:rPr>
          <w:rFonts w:ascii="Calibri" w:hAnsi="Calibri" w:cs="Calibri"/>
          <w:i/>
          <w:iCs/>
        </w:rPr>
        <w:t>and</w:t>
      </w:r>
      <w:r w:rsidRPr="00273695">
        <w:rPr>
          <w:rFonts w:ascii="Calibri" w:hAnsi="Calibri" w:cs="Calibri"/>
        </w:rPr>
        <w:t xml:space="preserve"> formation/depth/operational similarity simultaneously — surfacing the well 15 km away in the same overpressure formation over the well 2 km away in an unrelated one.</w:t>
      </w:r>
    </w:p>
    <w:p w14:paraId="2A901353" w14:textId="77777777" w:rsidR="00273695" w:rsidRPr="00273695" w:rsidRDefault="00273695" w:rsidP="00273695">
      <w:pPr>
        <w:numPr>
          <w:ilvl w:val="0"/>
          <w:numId w:val="3"/>
        </w:numPr>
        <w:spacing w:before="100" w:beforeAutospacing="1" w:after="100" w:afterAutospacing="1"/>
        <w:rPr>
          <w:rFonts w:ascii="Calibri" w:hAnsi="Calibri" w:cs="Calibri"/>
        </w:rPr>
      </w:pPr>
      <w:r w:rsidRPr="00273695">
        <w:rPr>
          <w:rFonts w:ascii="Calibri" w:hAnsi="Calibri" w:cs="Calibri"/>
          <w:b/>
          <w:bCs/>
        </w:rPr>
        <w:t>Built to Sit Alongside eRTMAC, Never Replace It –</w:t>
      </w:r>
      <w:r w:rsidRPr="00273695">
        <w:rPr>
          <w:rFonts w:ascii="Calibri" w:hAnsi="Calibri" w:cs="Calibri"/>
        </w:rPr>
        <w:t xml:space="preserve"> A strict one-way, read-only integration contract: NWIS reads eRTMAC's live-state signal and never writes back into it, preserving eRTMAC's safety-system boundary while adding the institutional-memory layer it currently lacks.</w:t>
      </w:r>
    </w:p>
    <w:p w14:paraId="744220BB" w14:textId="77777777" w:rsidR="00273695" w:rsidRDefault="00273695" w:rsidP="00273695">
      <w:pPr>
        <w:numPr>
          <w:ilvl w:val="0"/>
          <w:numId w:val="3"/>
        </w:numPr>
        <w:spacing w:before="100" w:beforeAutospacing="1" w:after="100" w:afterAutospacing="1"/>
        <w:rPr>
          <w:rFonts w:ascii="Calibri" w:hAnsi="Calibri" w:cs="Calibri"/>
        </w:rPr>
      </w:pPr>
      <w:r w:rsidRPr="00273695">
        <w:rPr>
          <w:rFonts w:ascii="Calibri" w:hAnsi="Calibri" w:cs="Calibri"/>
          <w:b/>
          <w:bCs/>
        </w:rPr>
        <w:t>Domain-Tuned to OIL's Own Geology –</w:t>
      </w:r>
      <w:r w:rsidRPr="00273695">
        <w:rPr>
          <w:rFonts w:ascii="Calibri" w:hAnsi="Calibri" w:cs="Calibri"/>
        </w:rPr>
        <w:t xml:space="preserve"> Correlation logic is calibrated to the Naga Thrust and Fold Belt's known challenges (poor seismic imaging, field-specific overpressure zones like Kharsang and Pengri-Bardumsha) — not a generic offset-well tool retrofitted with OIL's name.</w:t>
      </w:r>
    </w:p>
    <w:p w14:paraId="6E8833AB" w14:textId="77777777" w:rsidR="00475D40" w:rsidRDefault="00475D40" w:rsidP="00475D40">
      <w:pPr>
        <w:pStyle w:val="NormalWeb"/>
      </w:pPr>
      <w:r>
        <w:rPr>
          <w:rFonts w:ascii="Calibri" w:hAnsi="Calibri" w:cs="Calibri"/>
          <w:b/>
          <w:bCs/>
        </w:rPr>
        <w:t>Some better More:</w:t>
      </w:r>
      <w:r>
        <w:rPr>
          <w:rFonts w:ascii="Calibri" w:hAnsi="Calibri" w:cs="Calibri"/>
        </w:rPr>
        <w:br/>
      </w:r>
      <w:r>
        <w:rPr>
          <w:rStyle w:val="Strong"/>
        </w:rPr>
        <w:t>1. "Well Replay" — turn your evaluation method into a live, falsifiable demo, not a claim</w:t>
      </w:r>
      <w:r>
        <w:br/>
        <w:t xml:space="preserve">Instead of just </w:t>
      </w:r>
      <w:r>
        <w:rPr>
          <w:rStyle w:val="Emphasis"/>
        </w:rPr>
        <w:t>telling</w:t>
      </w:r>
      <w:r>
        <w:t xml:space="preserve"> judges the system is proactive, build a mode where they can pick any past OIL/Volve well, hit play, and watch the depth feed advance in fast-forward while your system fires its alert </w:t>
      </w:r>
      <w:r>
        <w:rPr>
          <w:rStyle w:val="Emphasis"/>
        </w:rPr>
        <w:t>at the exact depth it would have</w:t>
      </w:r>
      <w:r>
        <w:t xml:space="preserve">, with the real historical incident depth marked right next to it on the same timeline. This is the difference between saying "our system is predictive" and </w:t>
      </w:r>
      <w:r>
        <w:rPr>
          <w:rStyle w:val="Emphasis"/>
        </w:rPr>
        <w:t>proving it in front of them in real time</w:t>
      </w:r>
      <w:r>
        <w:t xml:space="preserve"> on a well whose outcome is already known. No other team will have something this visually convincing, because most teams won't have thought to build an evaluation tool that doubles as a demo weapon.</w:t>
      </w:r>
    </w:p>
    <w:p w14:paraId="7A332825" w14:textId="77777777" w:rsidR="00475D40" w:rsidRDefault="00475D40" w:rsidP="00475D40">
      <w:pPr>
        <w:pStyle w:val="NormalWeb"/>
      </w:pPr>
      <w:r>
        <w:rPr>
          <w:rStyle w:val="Strong"/>
        </w:rPr>
        <w:t>2. Confidence Corridors, not just Risk Corridors — show the clean evidence too</w:t>
      </w:r>
      <w:r>
        <w:br/>
        <w:t xml:space="preserve">Every system in this space will show "here's what went wrong nearby." Almost none will show "here are 6 offset wells that crossed this exact formation/depth with zero incidents." Actively surfacing </w:t>
      </w:r>
      <w:r>
        <w:rPr>
          <w:rStyle w:val="Emphasis"/>
        </w:rPr>
        <w:t>disconfirming</w:t>
      </w:r>
      <w:r>
        <w:t xml:space="preserve"> evidence alongside risk evidence does two things: it prevents alert fatigue (engineers stop trusting a system that cries wolf constantly), and it signals genuine intellectual honesty — you're not cherry-picking scary data to look impressive, you're showing the full picture. Say this explicitly to judges: </w:t>
      </w:r>
      <w:r>
        <w:rPr>
          <w:rStyle w:val="Emphasis"/>
        </w:rPr>
        <w:t>"we show the absence of risk as deliberately as the presence of it."</w:t>
      </w:r>
      <w:r>
        <w:t xml:space="preserve"> That sentence alone will separate you from every team that only builds red alerts.</w:t>
      </w:r>
    </w:p>
    <w:p w14:paraId="17980B68" w14:textId="77777777" w:rsidR="00475D40" w:rsidRDefault="00475D40" w:rsidP="00475D40">
      <w:pPr>
        <w:pStyle w:val="NormalWeb"/>
      </w:pPr>
      <w:r>
        <w:rPr>
          <w:rStyle w:val="Strong"/>
        </w:rPr>
        <w:t>3. An "Institutional Memory Decay Index" — quantify the vague claim everyone else will just assert</w:t>
      </w:r>
      <w:r>
        <w:br/>
        <w:t xml:space="preserve">Every team will say some version of "institutional memory is being lost." You can be the only team that actually </w:t>
      </w:r>
      <w:r>
        <w:rPr>
          <w:rStyle w:val="Emphasis"/>
        </w:rPr>
        <w:t>computes</w:t>
      </w:r>
      <w:r>
        <w:t xml:space="preserve"> it: a per-field score based on % of records pre-digital-era, average age of records, and how few currently active engineers have direct experience on that field. This turns a soft narrative point into a hard, visual metric (a ranked list: "these 5 fields are at highest risk of losing undocumented knowledge in the next 5 years") — and it doubles as a genuinely useful prioritization tool for OIL's own digitization effort, which is a real product idea, not just a pitch decoration.</w:t>
      </w:r>
    </w:p>
    <w:p w14:paraId="3EFA40EA" w14:textId="77777777" w:rsidR="00475D40" w:rsidRDefault="00475D40" w:rsidP="00475D40">
      <w:pPr>
        <w:pStyle w:val="NormalWeb"/>
      </w:pPr>
      <w:r>
        <w:rPr>
          <w:rStyle w:val="Strong"/>
        </w:rPr>
        <w:lastRenderedPageBreak/>
        <w:t>4. A Cross-Formation Analog Engine — similarity beyond name-matching</w:t>
      </w:r>
      <w:r>
        <w:br/>
        <w:t xml:space="preserve">Every competing system will match "Barail to Barail." A much harder and more valuable idea: match on the underlying </w:t>
      </w:r>
      <w:r>
        <w:rPr>
          <w:rStyle w:val="Emphasis"/>
        </w:rPr>
        <w:t>petrophysical signature</w:t>
      </w:r>
      <w:r>
        <w:t xml:space="preserve"> (porosity, permeability, lithology, pressure regime) so the system can suggest analogs even across differently-named formations or even different basins — e.g., flagging that a formation's fluid-loss behavior in one field resembles a specific interval in the public Volve dataset's Hugin Formation, despite being on opposite sides of the world. This is genuinely hard to build and genuinely rare to see in a hackathon, and it's demoable right now using the Volve data you already have, without waiting for OIL.</w:t>
      </w:r>
    </w:p>
    <w:p w14:paraId="21992A53" w14:textId="77777777" w:rsidR="00475D40" w:rsidRDefault="00475D40" w:rsidP="00475D40">
      <w:pPr>
        <w:pStyle w:val="NormalWeb"/>
      </w:pPr>
      <w:r>
        <w:rPr>
          <w:rStyle w:val="Strong"/>
        </w:rPr>
        <w:t>5. Field-usable, low-connectivity access — design for the rig, not just the office</w:t>
      </w:r>
      <w:r>
        <w:br/>
        <w:t>Nearly every team will build a nice web dashboard and assume good connectivity. Rig sites in Assam's more remote fields won't always have that, and a field engineer with muddy hands isn't opening a laptop. A lightweight SMS/USSD-style query ("send well ID + depth, get back a one-line risk corridor status") is a small build effort with a disproportionately large "you clearly thought about the actual user, not just the demo" payoff — and it directly echoes the kind of low-bandwidth accessibility thinking judges reward in Indian public-sector contexts.</w:t>
      </w:r>
    </w:p>
    <w:p w14:paraId="5102A056" w14:textId="629C24D2" w:rsidR="00475D40" w:rsidRPr="00475D40" w:rsidRDefault="00475D40" w:rsidP="00475D40">
      <w:pPr>
        <w:pStyle w:val="NormalWeb"/>
      </w:pPr>
      <w:r>
        <w:rPr>
          <w:rStyle w:val="Strong"/>
        </w:rPr>
        <w:t>6. Self-auditing trust — the system tracks its own reliability per source, not just per record</w:t>
      </w:r>
      <w:r>
        <w:br/>
        <w:t xml:space="preserve">Most teams will hand-wave "confidence scores." A sharper idea: the system tracks, per </w:t>
      </w:r>
      <w:r>
        <w:rPr>
          <w:rStyle w:val="Emphasis"/>
        </w:rPr>
        <w:t>original document</w:t>
      </w:r>
      <w:r>
        <w:t xml:space="preserve"> or per </w:t>
      </w:r>
      <w:r>
        <w:rPr>
          <w:rStyle w:val="Emphasis"/>
        </w:rPr>
        <w:t>OCR batch</w:t>
      </w:r>
      <w:r>
        <w:t>, how often its extractions get confirmed vs. corrected by engineers over time, and down-weights that source's future contributions automatically. This is a genuinely live learning loop you can describe precisely (not "we'll add ML later") — the system gets measurably more trustworthy the longer it's used, and you can say exactly how.</w:t>
      </w:r>
    </w:p>
    <w:p w14:paraId="27EE8E03" w14:textId="77777777" w:rsidR="00273695" w:rsidRPr="00273695" w:rsidRDefault="00F30DF6" w:rsidP="00273695">
      <w:pPr>
        <w:rPr>
          <w:rFonts w:ascii="Calibri" w:hAnsi="Calibri" w:cs="Calibri"/>
        </w:rPr>
      </w:pPr>
      <w:r>
        <w:pict w14:anchorId="576AB2A5">
          <v:rect id="Horizontal Line 9" o:spid="_x0000_s1030"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CAC81C" w14:textId="77777777" w:rsidR="00273695" w:rsidRPr="00273695" w:rsidRDefault="00273695" w:rsidP="00273695">
      <w:pPr>
        <w:spacing w:before="100" w:beforeAutospacing="1" w:after="100" w:afterAutospacing="1"/>
        <w:outlineLvl w:val="1"/>
        <w:rPr>
          <w:rFonts w:ascii="Calibri" w:hAnsi="Calibri" w:cs="Calibri"/>
          <w:b/>
          <w:bCs/>
          <w:sz w:val="36"/>
          <w:szCs w:val="36"/>
        </w:rPr>
      </w:pPr>
      <w:r w:rsidRPr="00273695">
        <w:rPr>
          <w:rFonts w:ascii="Calibri" w:hAnsi="Calibri" w:cs="Calibri"/>
          <w:b/>
          <w:bCs/>
          <w:sz w:val="36"/>
          <w:szCs w:val="36"/>
        </w:rPr>
        <w:t>SLIDE 3 — TECHNICAL APPROACH</w:t>
      </w:r>
    </w:p>
    <w:p w14:paraId="4B427CA2" w14:textId="77777777" w:rsidR="00273695" w:rsidRPr="00273695" w:rsidRDefault="00273695" w:rsidP="00273695">
      <w:pPr>
        <w:spacing w:before="100" w:beforeAutospacing="1" w:after="100" w:afterAutospacing="1"/>
        <w:outlineLvl w:val="2"/>
        <w:rPr>
          <w:b/>
          <w:bCs/>
          <w:sz w:val="27"/>
          <w:szCs w:val="27"/>
        </w:rPr>
      </w:pPr>
      <w:r w:rsidRPr="00273695">
        <w:rPr>
          <w:b/>
          <w:bCs/>
          <w:sz w:val="27"/>
          <w:szCs w:val="27"/>
        </w:rPr>
        <w:t>TECH STACK</w:t>
      </w:r>
    </w:p>
    <w:p w14:paraId="50B44232" w14:textId="77777777" w:rsidR="00273695" w:rsidRPr="00273695" w:rsidRDefault="00273695" w:rsidP="00273695">
      <w:pPr>
        <w:spacing w:before="100" w:beforeAutospacing="1" w:after="100" w:afterAutospacing="1"/>
      </w:pPr>
      <w:r w:rsidRPr="00273695">
        <w:rPr>
          <w:b/>
          <w:bCs/>
        </w:rPr>
        <w:t>Frontend:</w:t>
      </w:r>
      <w:r w:rsidRPr="00273695">
        <w:t xml:space="preserve"> React.js, Mapbox/Leaflet (geospatial map), D3.js/Chart.js (depth-track visualization)</w:t>
      </w:r>
    </w:p>
    <w:p w14:paraId="2E5C4EDC" w14:textId="77777777" w:rsidR="00273695" w:rsidRPr="00273695" w:rsidRDefault="00273695" w:rsidP="00273695">
      <w:pPr>
        <w:spacing w:before="100" w:beforeAutospacing="1" w:after="100" w:afterAutospacing="1"/>
      </w:pPr>
      <w:r w:rsidRPr="00273695">
        <w:rPr>
          <w:b/>
          <w:bCs/>
        </w:rPr>
        <w:t>Backend:</w:t>
      </w:r>
      <w:r w:rsidRPr="00273695">
        <w:t xml:space="preserve"> Python (FastAPI)</w:t>
      </w:r>
    </w:p>
    <w:p w14:paraId="264A0778" w14:textId="77777777" w:rsidR="00273695" w:rsidRPr="00273695" w:rsidRDefault="00273695" w:rsidP="00273695">
      <w:pPr>
        <w:spacing w:before="100" w:beforeAutospacing="1" w:after="100" w:afterAutospacing="1"/>
      </w:pPr>
      <w:r w:rsidRPr="00273695">
        <w:rPr>
          <w:b/>
          <w:bCs/>
        </w:rPr>
        <w:t>External Integration:</w:t>
      </w:r>
      <w:r w:rsidRPr="00273695">
        <w:t xml:space="preserve"> eRTMAC read-only feed/API, OIL internal document repositories, geospatial services</w:t>
      </w:r>
    </w:p>
    <w:p w14:paraId="010D4D41" w14:textId="77777777" w:rsidR="00273695" w:rsidRPr="00273695" w:rsidRDefault="00273695" w:rsidP="00273695">
      <w:pPr>
        <w:spacing w:before="100" w:beforeAutospacing="1" w:after="100" w:afterAutospacing="1"/>
      </w:pPr>
      <w:r w:rsidRPr="00273695">
        <w:rPr>
          <w:b/>
          <w:bCs/>
        </w:rPr>
        <w:t>Authentication:</w:t>
      </w:r>
      <w:r w:rsidRPr="00273695">
        <w:t xml:space="preserve"> JWT + OAuth2.0, role-based access (field engineer / operations manager / admin)</w:t>
      </w:r>
    </w:p>
    <w:p w14:paraId="7659751A" w14:textId="77777777" w:rsidR="00273695" w:rsidRPr="00273695" w:rsidRDefault="00273695" w:rsidP="00273695">
      <w:pPr>
        <w:spacing w:before="100" w:beforeAutospacing="1" w:after="100" w:afterAutospacing="1"/>
      </w:pPr>
      <w:r w:rsidRPr="00273695">
        <w:rPr>
          <w:b/>
          <w:bCs/>
        </w:rPr>
        <w:t>Data Layer:</w:t>
      </w:r>
    </w:p>
    <w:p w14:paraId="60EE5304" w14:textId="77777777" w:rsidR="00273695" w:rsidRPr="00273695" w:rsidRDefault="00273695" w:rsidP="00273695">
      <w:pPr>
        <w:numPr>
          <w:ilvl w:val="0"/>
          <w:numId w:val="23"/>
        </w:numPr>
        <w:spacing w:before="100" w:beforeAutospacing="1" w:after="100" w:afterAutospacing="1"/>
      </w:pPr>
      <w:r w:rsidRPr="00273695">
        <w:t>PostgreSQL + PostGIS (structured well/event records + geospatial queries)</w:t>
      </w:r>
    </w:p>
    <w:p w14:paraId="31F3AD53" w14:textId="77777777" w:rsidR="00273695" w:rsidRPr="00273695" w:rsidRDefault="00273695" w:rsidP="00273695">
      <w:pPr>
        <w:numPr>
          <w:ilvl w:val="0"/>
          <w:numId w:val="23"/>
        </w:numPr>
        <w:spacing w:before="100" w:beforeAutospacing="1" w:after="100" w:afterAutospacing="1"/>
      </w:pPr>
      <w:r w:rsidRPr="00273695">
        <w:t>Neo4j or lightweight graph store (well–formation–event–mitigation relationships)</w:t>
      </w:r>
    </w:p>
    <w:p w14:paraId="6C4D2011" w14:textId="77777777" w:rsidR="00273695" w:rsidRPr="00273695" w:rsidRDefault="00273695" w:rsidP="00273695">
      <w:pPr>
        <w:numPr>
          <w:ilvl w:val="0"/>
          <w:numId w:val="23"/>
        </w:numPr>
        <w:spacing w:before="100" w:beforeAutospacing="1" w:after="100" w:afterAutospacing="1"/>
      </w:pPr>
      <w:r w:rsidRPr="00273695">
        <w:t>Vector index — Qdrant/Chroma (semantic search over report narratives)</w:t>
      </w:r>
    </w:p>
    <w:p w14:paraId="65D420FD" w14:textId="77777777" w:rsidR="00273695" w:rsidRPr="00273695" w:rsidRDefault="00273695" w:rsidP="00273695">
      <w:pPr>
        <w:numPr>
          <w:ilvl w:val="0"/>
          <w:numId w:val="23"/>
        </w:numPr>
        <w:spacing w:before="100" w:beforeAutospacing="1" w:after="100" w:afterAutospacing="1"/>
      </w:pPr>
      <w:r w:rsidRPr="00273695">
        <w:t>Time-series store (live/replayed eRTMAC parameter streams)</w:t>
      </w:r>
    </w:p>
    <w:p w14:paraId="16026AA5" w14:textId="77777777" w:rsidR="00273695" w:rsidRPr="00273695" w:rsidRDefault="00273695" w:rsidP="00273695">
      <w:pPr>
        <w:spacing w:before="100" w:beforeAutospacing="1" w:after="100" w:afterAutospacing="1"/>
      </w:pPr>
      <w:r w:rsidRPr="00273695">
        <w:rPr>
          <w:b/>
          <w:bCs/>
        </w:rPr>
        <w:t>Cloud/Deployment:</w:t>
      </w:r>
      <w:r w:rsidRPr="00273695">
        <w:t xml:space="preserve"> AWS/GCP for prototype; architecture designed for </w:t>
      </w:r>
      <w:r w:rsidRPr="00273695">
        <w:rPr>
          <w:b/>
          <w:bCs/>
        </w:rPr>
        <w:t>on-premise deployment</w:t>
      </w:r>
      <w:r w:rsidRPr="00273695">
        <w:t xml:space="preserve"> to meet PSU data-security requirements</w:t>
      </w:r>
    </w:p>
    <w:p w14:paraId="75C20285" w14:textId="77777777" w:rsidR="00273695" w:rsidRPr="00273695" w:rsidRDefault="00273695" w:rsidP="00273695">
      <w:pPr>
        <w:spacing w:before="100" w:beforeAutospacing="1" w:after="100" w:afterAutospacing="1"/>
      </w:pPr>
      <w:r w:rsidRPr="00273695">
        <w:rPr>
          <w:b/>
          <w:bCs/>
        </w:rPr>
        <w:t>AI/Agent Layer:</w:t>
      </w:r>
      <w:r w:rsidRPr="00273695">
        <w:t xml:space="preserve"> Tesseract/Google Vision OCR, spaCy (entity extraction), LangChain-style tool orchestration, XGBoost/LightGBM (risk classification), sentence-embedding models (semantic similarity)</w:t>
      </w:r>
    </w:p>
    <w:p w14:paraId="2EE7AC91" w14:textId="77777777" w:rsidR="00273695" w:rsidRPr="00273695" w:rsidRDefault="00273695" w:rsidP="00273695">
      <w:pPr>
        <w:spacing w:before="100" w:beforeAutospacing="1" w:after="100" w:afterAutospacing="1"/>
      </w:pPr>
      <w:r w:rsidRPr="00273695">
        <w:rPr>
          <w:b/>
          <w:bCs/>
        </w:rPr>
        <w:t>Demo Simulation:</w:t>
      </w:r>
      <w:r w:rsidRPr="00273695">
        <w:t xml:space="preserve"> </w:t>
      </w:r>
      <w:r w:rsidRPr="00273695">
        <w:rPr>
          <w:i/>
          <w:iCs/>
        </w:rPr>
        <w:t>[Link to Prototype]</w:t>
      </w:r>
    </w:p>
    <w:p w14:paraId="08D40115" w14:textId="77777777" w:rsidR="00273695" w:rsidRPr="00273695" w:rsidRDefault="00273695" w:rsidP="00273695">
      <w:pPr>
        <w:spacing w:before="100" w:beforeAutospacing="1" w:after="100" w:afterAutospacing="1"/>
        <w:outlineLvl w:val="2"/>
        <w:rPr>
          <w:b/>
          <w:bCs/>
          <w:sz w:val="27"/>
          <w:szCs w:val="27"/>
        </w:rPr>
      </w:pPr>
      <w:r w:rsidRPr="00273695">
        <w:rPr>
          <w:b/>
          <w:bCs/>
          <w:sz w:val="27"/>
          <w:szCs w:val="27"/>
        </w:rPr>
        <w:lastRenderedPageBreak/>
        <w:t>TECHNICAL APPROACH — PIPELINE FLOW</w:t>
      </w:r>
    </w:p>
    <w:p w14:paraId="483A4444" w14:textId="77777777" w:rsidR="00273695" w:rsidRPr="00273695" w:rsidRDefault="00273695" w:rsidP="00273695">
      <w:pPr>
        <w:spacing w:before="100" w:beforeAutospacing="1" w:after="100" w:afterAutospacing="1"/>
      </w:pPr>
      <w:r w:rsidRPr="00273695">
        <w:rPr>
          <w:i/>
          <w:iCs/>
        </w:rPr>
        <w:t>(Describe as a 4-column architecture diagram, matching the sample's Frontend / App Logic / AI Agent Layer / Data Layer format)</w:t>
      </w:r>
    </w:p>
    <w:p w14:paraId="7E59C309" w14:textId="77777777" w:rsidR="00273695" w:rsidRPr="00273695" w:rsidRDefault="00273695" w:rsidP="00273695">
      <w:pPr>
        <w:spacing w:before="100" w:beforeAutospacing="1" w:after="100" w:afterAutospacing="1"/>
      </w:pPr>
      <w:r w:rsidRPr="00273695">
        <w:rPr>
          <w:b/>
          <w:bCs/>
        </w:rPr>
        <w:t>FRONTEND</w:t>
      </w:r>
    </w:p>
    <w:p w14:paraId="549C2468" w14:textId="77777777" w:rsidR="00273695" w:rsidRPr="00273695" w:rsidRDefault="00273695" w:rsidP="00273695">
      <w:pPr>
        <w:numPr>
          <w:ilvl w:val="0"/>
          <w:numId w:val="24"/>
        </w:numPr>
        <w:spacing w:before="100" w:beforeAutospacing="1" w:after="100" w:afterAutospacing="1"/>
      </w:pPr>
      <w:r w:rsidRPr="00273695">
        <w:t>Operations Dashboard (active wells, current risk status, recent alerts)</w:t>
      </w:r>
    </w:p>
    <w:p w14:paraId="052D9874" w14:textId="77777777" w:rsidR="00273695" w:rsidRPr="00273695" w:rsidRDefault="00273695" w:rsidP="00273695">
      <w:pPr>
        <w:numPr>
          <w:ilvl w:val="0"/>
          <w:numId w:val="24"/>
        </w:numPr>
        <w:spacing w:before="100" w:beforeAutospacing="1" w:after="100" w:afterAutospacing="1"/>
      </w:pPr>
      <w:r w:rsidRPr="00273695">
        <w:t>Offset Well Map (radius, field, formation, event-type filters)</w:t>
      </w:r>
    </w:p>
    <w:p w14:paraId="413E587B" w14:textId="77777777" w:rsidR="00273695" w:rsidRPr="00273695" w:rsidRDefault="00273695" w:rsidP="00273695">
      <w:pPr>
        <w:numPr>
          <w:ilvl w:val="0"/>
          <w:numId w:val="24"/>
        </w:numPr>
        <w:spacing w:before="100" w:beforeAutospacing="1" w:after="100" w:afterAutospacing="1"/>
      </w:pPr>
      <w:r w:rsidRPr="00273695">
        <w:t>Depth-Track Comparison View</w:t>
      </w:r>
    </w:p>
    <w:p w14:paraId="0FD54552" w14:textId="77777777" w:rsidR="00273695" w:rsidRPr="00273695" w:rsidRDefault="00273695" w:rsidP="00273695">
      <w:pPr>
        <w:numPr>
          <w:ilvl w:val="0"/>
          <w:numId w:val="24"/>
        </w:numPr>
        <w:spacing w:before="100" w:beforeAutospacing="1" w:after="100" w:afterAutospacing="1"/>
      </w:pPr>
      <w:r w:rsidRPr="00273695">
        <w:t>Evidence &amp; Reasoning Drill-Down</w:t>
      </w:r>
    </w:p>
    <w:p w14:paraId="03D11E14" w14:textId="77777777" w:rsidR="00273695" w:rsidRPr="00273695" w:rsidRDefault="00273695" w:rsidP="00273695">
      <w:pPr>
        <w:numPr>
          <w:ilvl w:val="0"/>
          <w:numId w:val="24"/>
        </w:numPr>
        <w:spacing w:before="100" w:beforeAutospacing="1" w:after="100" w:afterAutospacing="1"/>
      </w:pPr>
      <w:r w:rsidRPr="00273695">
        <w:t>Engineer Feedback Panel</w:t>
      </w:r>
    </w:p>
    <w:p w14:paraId="087B9D17" w14:textId="77777777" w:rsidR="00273695" w:rsidRPr="00273695" w:rsidRDefault="00273695" w:rsidP="00273695">
      <w:pPr>
        <w:spacing w:before="100" w:beforeAutospacing="1" w:after="100" w:afterAutospacing="1"/>
      </w:pPr>
      <w:r w:rsidRPr="00273695">
        <w:rPr>
          <w:b/>
          <w:bCs/>
        </w:rPr>
        <w:t>APP LOGIC</w:t>
      </w:r>
    </w:p>
    <w:p w14:paraId="09463B33" w14:textId="77777777" w:rsidR="00273695" w:rsidRPr="00273695" w:rsidRDefault="00273695" w:rsidP="00273695">
      <w:pPr>
        <w:numPr>
          <w:ilvl w:val="0"/>
          <w:numId w:val="25"/>
        </w:numPr>
        <w:spacing w:before="100" w:beforeAutospacing="1" w:after="100" w:afterAutospacing="1"/>
      </w:pPr>
      <w:r w:rsidRPr="00273695">
        <w:t>Hybrid Ingestion Router (structured-path vs. OCR-path, converging to common schema)</w:t>
      </w:r>
    </w:p>
    <w:p w14:paraId="6659BDB6" w14:textId="77777777" w:rsidR="00273695" w:rsidRPr="00273695" w:rsidRDefault="00273695" w:rsidP="00273695">
      <w:pPr>
        <w:numPr>
          <w:ilvl w:val="0"/>
          <w:numId w:val="25"/>
        </w:numPr>
        <w:spacing w:before="100" w:beforeAutospacing="1" w:after="100" w:afterAutospacing="1"/>
      </w:pPr>
      <w:r w:rsidRPr="00273695">
        <w:t>Similarity &amp; Correlation Engine (formation, depth, trajectory, operational-parameter scoring)</w:t>
      </w:r>
    </w:p>
    <w:p w14:paraId="1BCFD313" w14:textId="77777777" w:rsidR="00273695" w:rsidRPr="00273695" w:rsidRDefault="00273695" w:rsidP="00273695">
      <w:pPr>
        <w:numPr>
          <w:ilvl w:val="0"/>
          <w:numId w:val="25"/>
        </w:numPr>
        <w:spacing w:before="100" w:beforeAutospacing="1" w:after="100" w:afterAutospacing="1"/>
      </w:pPr>
      <w:r w:rsidRPr="00273695">
        <w:t>Risk-Corridor Generator (aggregates historical events into depth-interval risk zones)</w:t>
      </w:r>
    </w:p>
    <w:p w14:paraId="0EE13F38" w14:textId="77777777" w:rsidR="00273695" w:rsidRPr="00273695" w:rsidRDefault="00273695" w:rsidP="00273695">
      <w:pPr>
        <w:numPr>
          <w:ilvl w:val="0"/>
          <w:numId w:val="25"/>
        </w:numPr>
        <w:spacing w:before="100" w:beforeAutospacing="1" w:after="100" w:afterAutospacing="1"/>
      </w:pPr>
      <w:r w:rsidRPr="00273695">
        <w:t>Corridor-Watcher / Proactive Alert Engine (compares live state to corridors continuously)</w:t>
      </w:r>
    </w:p>
    <w:p w14:paraId="72430D79" w14:textId="77777777" w:rsidR="00273695" w:rsidRPr="00273695" w:rsidRDefault="00273695" w:rsidP="00273695">
      <w:pPr>
        <w:spacing w:before="100" w:beforeAutospacing="1" w:after="100" w:afterAutospacing="1"/>
      </w:pPr>
      <w:r w:rsidRPr="00273695">
        <w:rPr>
          <w:b/>
          <w:bCs/>
        </w:rPr>
        <w:t>AI AGENT LAYER</w:t>
      </w:r>
    </w:p>
    <w:p w14:paraId="1168DBC3" w14:textId="77777777" w:rsidR="00273695" w:rsidRPr="00273695" w:rsidRDefault="00273695" w:rsidP="00273695">
      <w:pPr>
        <w:numPr>
          <w:ilvl w:val="0"/>
          <w:numId w:val="26"/>
        </w:numPr>
        <w:spacing w:before="100" w:beforeAutospacing="1" w:after="100" w:afterAutospacing="1"/>
      </w:pPr>
      <w:r w:rsidRPr="00273695">
        <w:t>Document → OCR/Layout Extraction → Entity &amp; Event Extraction → Ontology Normalization → Confidence Scoring</w:t>
      </w:r>
    </w:p>
    <w:p w14:paraId="7EC3849A" w14:textId="77777777" w:rsidR="00273695" w:rsidRPr="00273695" w:rsidRDefault="00273695" w:rsidP="00273695">
      <w:pPr>
        <w:numPr>
          <w:ilvl w:val="0"/>
          <w:numId w:val="26"/>
        </w:numPr>
        <w:spacing w:before="100" w:beforeAutospacing="1" w:after="100" w:afterAutospacing="1"/>
      </w:pPr>
      <w:r w:rsidRPr="00273695">
        <w:t>LLM Orchestrator: query interpretation + evidence retrieval + natural-language explanation generation only (never computes risk scores itself)</w:t>
      </w:r>
    </w:p>
    <w:p w14:paraId="2DC31410" w14:textId="77777777" w:rsidR="00273695" w:rsidRPr="00273695" w:rsidRDefault="00273695" w:rsidP="00273695">
      <w:pPr>
        <w:spacing w:before="100" w:beforeAutospacing="1" w:after="100" w:afterAutospacing="1"/>
      </w:pPr>
      <w:r w:rsidRPr="00273695">
        <w:rPr>
          <w:b/>
          <w:bCs/>
        </w:rPr>
        <w:t>DATA LAYER</w:t>
      </w:r>
    </w:p>
    <w:p w14:paraId="2FE576EA" w14:textId="77777777" w:rsidR="00273695" w:rsidRPr="00273695" w:rsidRDefault="00273695" w:rsidP="00273695">
      <w:pPr>
        <w:numPr>
          <w:ilvl w:val="0"/>
          <w:numId w:val="27"/>
        </w:numPr>
        <w:spacing w:before="100" w:beforeAutospacing="1" w:after="100" w:afterAutospacing="1"/>
      </w:pPr>
      <w:r w:rsidRPr="00273695">
        <w:t>Structured well/event records (PostgreSQL + PostGIS)</w:t>
      </w:r>
    </w:p>
    <w:p w14:paraId="110FC554" w14:textId="77777777" w:rsidR="00273695" w:rsidRPr="00273695" w:rsidRDefault="00273695" w:rsidP="00273695">
      <w:pPr>
        <w:numPr>
          <w:ilvl w:val="0"/>
          <w:numId w:val="27"/>
        </w:numPr>
        <w:spacing w:before="100" w:beforeAutospacing="1" w:after="100" w:afterAutospacing="1"/>
      </w:pPr>
      <w:r w:rsidRPr="00273695">
        <w:t>Relationship graph (well–formation–event–mitigation)</w:t>
      </w:r>
    </w:p>
    <w:p w14:paraId="2511E496" w14:textId="77777777" w:rsidR="00273695" w:rsidRPr="00273695" w:rsidRDefault="00273695" w:rsidP="00273695">
      <w:pPr>
        <w:numPr>
          <w:ilvl w:val="0"/>
          <w:numId w:val="27"/>
        </w:numPr>
        <w:spacing w:before="100" w:beforeAutospacing="1" w:after="100" w:afterAutospacing="1"/>
      </w:pPr>
      <w:r w:rsidRPr="00273695">
        <w:t>Semantic vector index (report narratives)</w:t>
      </w:r>
    </w:p>
    <w:p w14:paraId="3A7B0364" w14:textId="77777777" w:rsidR="00273695" w:rsidRPr="00273695" w:rsidRDefault="00273695" w:rsidP="00273695">
      <w:pPr>
        <w:numPr>
          <w:ilvl w:val="0"/>
          <w:numId w:val="27"/>
        </w:numPr>
        <w:spacing w:before="100" w:beforeAutospacing="1" w:after="100" w:afterAutospacing="1"/>
      </w:pPr>
      <w:r w:rsidRPr="00273695">
        <w:t>Audit logs, source-document evidence store, eRTMAC live/replay feed</w:t>
      </w:r>
    </w:p>
    <w:p w14:paraId="6AC45AE2" w14:textId="77777777" w:rsidR="00273695" w:rsidRPr="00273695" w:rsidRDefault="00F30DF6" w:rsidP="00273695">
      <w:pPr>
        <w:rPr>
          <w:rFonts w:ascii="Calibri" w:hAnsi="Calibri" w:cs="Calibri"/>
        </w:rPr>
      </w:pPr>
      <w:r>
        <w:pict w14:anchorId="67C2B1BF">
          <v:rect id="Horizontal Line 10" o:spid="_x0000_s1029"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DF71A9" w14:textId="77777777" w:rsidR="00273695" w:rsidRPr="00273695" w:rsidRDefault="00273695" w:rsidP="00273695">
      <w:pPr>
        <w:spacing w:before="100" w:beforeAutospacing="1" w:after="100" w:afterAutospacing="1"/>
        <w:outlineLvl w:val="1"/>
        <w:rPr>
          <w:rFonts w:ascii="Calibri" w:hAnsi="Calibri" w:cs="Calibri"/>
          <w:b/>
          <w:bCs/>
          <w:sz w:val="36"/>
          <w:szCs w:val="36"/>
        </w:rPr>
      </w:pPr>
      <w:r w:rsidRPr="00273695">
        <w:rPr>
          <w:rFonts w:ascii="Calibri" w:hAnsi="Calibri" w:cs="Calibri"/>
          <w:b/>
          <w:bCs/>
          <w:sz w:val="36"/>
          <w:szCs w:val="36"/>
        </w:rPr>
        <w:t>SLIDE 4 — FEASIBILITY AND VIABILITY (EXPANDED — pick your best 4)</w:t>
      </w:r>
    </w:p>
    <w:p w14:paraId="5C1826E7"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rPr>
        <w:t xml:space="preserve">The sample deck used exactly 4 feasibility + 4 viability boxes around two central circles. Below are </w:t>
      </w:r>
      <w:r w:rsidRPr="00273695">
        <w:rPr>
          <w:rFonts w:ascii="Calibri" w:hAnsi="Calibri" w:cs="Calibri"/>
          <w:b/>
          <w:bCs/>
        </w:rPr>
        <w:t>more than 4 of each</w:t>
      </w:r>
      <w:r w:rsidRPr="00273695">
        <w:rPr>
          <w:rFonts w:ascii="Calibri" w:hAnsi="Calibri" w:cs="Calibri"/>
        </w:rPr>
        <w:t>, grouped by theme, plus two headings most competing teams won't think to include. Choose the 4+4 (or restructure into two rows of 3) that tell the strongest story for your specific team and build progress.</w:t>
      </w:r>
    </w:p>
    <w:p w14:paraId="259942D6"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FEASIBILITY — options</w:t>
      </w:r>
    </w:p>
    <w:p w14:paraId="03A5DA32"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A. Technical Feasibility</w:t>
      </w:r>
      <w:r w:rsidRPr="00273695">
        <w:rPr>
          <w:rFonts w:ascii="Calibri" w:hAnsi="Calibri" w:cs="Calibri"/>
        </w:rPr>
        <w:t xml:space="preserve"> Built on an architecture pattern already demonstrated on a real, public drilling dataset (a dual-store, tool-orchestrated agent parsing 1,759 real drilling reports with zero errors) — this isn't a theoretical design, it's a validated pattern being adapted to OIL's data.</w:t>
      </w:r>
    </w:p>
    <w:p w14:paraId="0CB06A76"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B. Data Feasibility</w:t>
      </w:r>
      <w:r w:rsidRPr="00273695">
        <w:rPr>
          <w:rFonts w:ascii="Calibri" w:hAnsi="Calibri" w:cs="Calibri"/>
        </w:rPr>
        <w:t xml:space="preserve"> OIL India has already agreed to share sample data and hold a technical scoping call — the hybrid ingestion pipeline is deliberately built to handle whatever format arrives (structured export or scanned legacy PDF) without redesign.</w:t>
      </w:r>
    </w:p>
    <w:p w14:paraId="66F0F07B"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lastRenderedPageBreak/>
        <w:t>C. Operational Feasibility</w:t>
      </w:r>
      <w:r w:rsidRPr="00273695">
        <w:rPr>
          <w:rFonts w:ascii="Calibri" w:hAnsi="Calibri" w:cs="Calibri"/>
        </w:rPr>
        <w:t xml:space="preserve"> A strictly one-way, read-only integration with eRTMAC means NWIS can be piloted on a single well or field with zero risk to existing safety-critical live-monitoring systems — no approval bottleneck around modifying a system already in safety-critical use.</w:t>
      </w:r>
    </w:p>
    <w:p w14:paraId="444680B1"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D. Organizational Feasibility</w:t>
      </w:r>
      <w:r w:rsidRPr="00273695">
        <w:rPr>
          <w:rFonts w:ascii="Calibri" w:hAnsi="Calibri" w:cs="Calibri"/>
        </w:rPr>
        <w:t xml:space="preserve"> Aligns directly with OIL's own stated digitization and modernization trajectory as a Maharatna-status PSU actively investing in digital transformation of its upstream operations — this isn't an external idea being pushed onto OIL, it extends a direction OIL has already committed to.</w:t>
      </w:r>
    </w:p>
    <w:p w14:paraId="5FC3D041"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E. Regulatory &amp; Compliance Feasibility</w:t>
      </w:r>
      <w:r w:rsidRPr="00273695">
        <w:rPr>
          <w:rFonts w:ascii="Calibri" w:hAnsi="Calibri" w:cs="Calibri"/>
        </w:rPr>
        <w:t xml:space="preserve"> The explainability-by-design approach (fact vs. estimate vs. recommendation, full source-document traceability) is built to align with the auditability that safety-case documentation and regulatory oversight of drilling operations already require in India.</w:t>
      </w:r>
    </w:p>
    <w:p w14:paraId="7619322A"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F. Team/Execution Feasibility</w:t>
      </w:r>
      <w:r w:rsidRPr="00273695">
        <w:rPr>
          <w:rFonts w:ascii="Calibri" w:hAnsi="Calibri" w:cs="Calibri"/>
        </w:rPr>
        <w:t xml:space="preserve"> </w:t>
      </w:r>
      <w:r w:rsidRPr="00273695">
        <w:rPr>
          <w:rFonts w:ascii="Calibri" w:hAnsi="Calibri" w:cs="Calibri"/>
          <w:i/>
          <w:iCs/>
        </w:rPr>
        <w:t>(fill in with your team's actual relevant skills/experience — judges do weight this, and it's an easy box to add if your team has any relevant coursework, prior projects, or domain exposure.)</w:t>
      </w:r>
    </w:p>
    <w:p w14:paraId="3FA66C52"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VIABILITY — options</w:t>
      </w:r>
    </w:p>
    <w:p w14:paraId="6E965164"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G. Financial Viability</w:t>
      </w:r>
      <w:r w:rsidRPr="00273695">
        <w:rPr>
          <w:rFonts w:ascii="Calibri" w:hAnsi="Calibri" w:cs="Calibri"/>
        </w:rPr>
        <w:t xml:space="preserve"> Framed as cost-avoidance (reduced NPT, fewer repeat incidents), not new discretionary spend — the value proposition is unlocking data OIL already owns, not paying for new data collection.</w:t>
      </w:r>
    </w:p>
    <w:p w14:paraId="17BD4DBC"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H. Market Viability / Market Opportunity</w:t>
      </w:r>
      <w:r w:rsidRPr="00273695">
        <w:rPr>
          <w:rFonts w:ascii="Calibri" w:hAnsi="Calibri" w:cs="Calibri"/>
        </w:rPr>
        <w:t xml:space="preserve"> </w:t>
      </w:r>
      <w:r w:rsidRPr="00273695">
        <w:rPr>
          <w:rFonts w:ascii="Apple Color Emoji" w:hAnsi="Apple Color Emoji" w:cs="Apple Color Emoji"/>
        </w:rPr>
        <w:t>⭐</w:t>
      </w:r>
      <w:r w:rsidRPr="00273695">
        <w:rPr>
          <w:rFonts w:ascii="Calibri" w:hAnsi="Calibri" w:cs="Calibri"/>
        </w:rPr>
        <w:t xml:space="preserve"> </w:t>
      </w:r>
      <w:r w:rsidRPr="00273695">
        <w:rPr>
          <w:rFonts w:ascii="Calibri" w:hAnsi="Calibri" w:cs="Calibri"/>
          <w:i/>
          <w:iCs/>
        </w:rPr>
        <w:t>(this is where the market research fits — see box below)</w:t>
      </w:r>
    </w:p>
    <w:p w14:paraId="545BE80F"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I. Scalability Viability</w:t>
      </w:r>
      <w:r w:rsidRPr="00273695">
        <w:rPr>
          <w:rFonts w:ascii="Calibri" w:hAnsi="Calibri" w:cs="Calibri"/>
        </w:rPr>
        <w:t xml:space="preserve"> The correlation engine is basin-agnostic at the architecture level: proven first on the Naga Thrust Belt / Assam-Arakan basin, but directly extensible to OIL's other operating areas, and longer-term to other Indian E&amp;P PSUs such as ONGC.</w:t>
      </w:r>
    </w:p>
    <w:p w14:paraId="64E25B38"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J. Adoption Viability</w:t>
      </w:r>
      <w:r w:rsidRPr="00273695">
        <w:rPr>
          <w:rFonts w:ascii="Calibri" w:hAnsi="Calibri" w:cs="Calibri"/>
        </w:rPr>
        <w:t xml:space="preserve"> Designed to slot into engineers' existing eRTMAC-centered workflow rather than requiring a new tool and new habit — alerts appear where engineers already look, and the chatbot layer is a secondary, optional interface, not the primary UX.</w:t>
      </w:r>
    </w:p>
    <w:p w14:paraId="5AD25007"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K. Long-Term Sustainability Viability</w:t>
      </w:r>
      <w:r w:rsidRPr="00273695">
        <w:rPr>
          <w:rFonts w:ascii="Calibri" w:hAnsi="Calibri" w:cs="Calibri"/>
        </w:rPr>
        <w:t xml:space="preserve"> The engineer-feedback loop (acknowledge/reject/correct) continuously improves extraction accuracy and risk calibration over time without vendor lock-in — the underlying data and event ontology remain OIL's owned asset independent of any single AI model or vendor.</w:t>
      </w:r>
    </w:p>
    <w:p w14:paraId="515510D5"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New headings most competitors won't include — worth strongly considering</w:t>
      </w:r>
    </w:p>
    <w:p w14:paraId="4773919F"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"Risk Mitigation Matrix" (Feasibility of the Feasibility)</w:t>
      </w:r>
      <w:r w:rsidRPr="00273695">
        <w:rPr>
          <w:rFonts w:ascii="Calibri" w:hAnsi="Calibri" w:cs="Calibri"/>
        </w:rPr>
        <w:t xml:space="preserve"> Explicitly naming what could go wrong and how you're addressing it is rare in hackathon decks and reads as genuine engineering maturity to experienced judges: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7265"/>
      </w:tblGrid>
      <w:tr w:rsidR="00273695" w:rsidRPr="00273695" w14:paraId="06DBDBF7" w14:textId="77777777">
        <w:trPr>
          <w:tblHeader/>
          <w:tblCellSpacing w:w="15" w:type="dxa"/>
        </w:trPr>
        <w:tc>
          <w:tcPr>
            <w:tcW w:w="0" w:type="auto"/>
            <w:vAlign w:val="center"/>
            <w:hideMark/>
          </w:tcPr>
          <w:p w14:paraId="37A65D39" w14:textId="77777777" w:rsidR="00273695" w:rsidRPr="00273695" w:rsidRDefault="00273695" w:rsidP="00273695">
            <w:pPr>
              <w:jc w:val="center"/>
              <w:rPr>
                <w:rFonts w:ascii="Calibri" w:hAnsi="Calibri" w:cs="Calibri"/>
                <w:b/>
                <w:bCs/>
              </w:rPr>
            </w:pPr>
            <w:r w:rsidRPr="00273695">
              <w:rPr>
                <w:rFonts w:ascii="Calibri" w:hAnsi="Calibri" w:cs="Calibri"/>
                <w:b/>
                <w:bCs/>
              </w:rPr>
              <w:t>Risk</w:t>
            </w:r>
          </w:p>
        </w:tc>
        <w:tc>
          <w:tcPr>
            <w:tcW w:w="0" w:type="auto"/>
            <w:vAlign w:val="center"/>
            <w:hideMark/>
          </w:tcPr>
          <w:p w14:paraId="04533318" w14:textId="77777777" w:rsidR="00273695" w:rsidRPr="00273695" w:rsidRDefault="00273695" w:rsidP="00273695">
            <w:pPr>
              <w:jc w:val="center"/>
              <w:rPr>
                <w:rFonts w:ascii="Calibri" w:hAnsi="Calibri" w:cs="Calibri"/>
                <w:b/>
                <w:bCs/>
              </w:rPr>
            </w:pPr>
            <w:r w:rsidRPr="00273695">
              <w:rPr>
                <w:rFonts w:ascii="Calibri" w:hAnsi="Calibri" w:cs="Calibri"/>
                <w:b/>
                <w:bCs/>
              </w:rPr>
              <w:t>Mitigation</w:t>
            </w:r>
          </w:p>
        </w:tc>
      </w:tr>
      <w:tr w:rsidR="00273695" w:rsidRPr="00273695" w14:paraId="218E134D" w14:textId="77777777">
        <w:trPr>
          <w:tblCellSpacing w:w="15" w:type="dxa"/>
        </w:trPr>
        <w:tc>
          <w:tcPr>
            <w:tcW w:w="0" w:type="auto"/>
            <w:vAlign w:val="center"/>
            <w:hideMark/>
          </w:tcPr>
          <w:p w14:paraId="3B9247B5" w14:textId="77777777" w:rsidR="00273695" w:rsidRPr="00273695" w:rsidRDefault="00273695" w:rsidP="00273695">
            <w:pPr>
              <w:rPr>
                <w:rFonts w:ascii="Calibri" w:hAnsi="Calibri" w:cs="Calibri"/>
              </w:rPr>
            </w:pPr>
            <w:r w:rsidRPr="00273695">
              <w:rPr>
                <w:rFonts w:ascii="Calibri" w:hAnsi="Calibri" w:cs="Calibri"/>
              </w:rPr>
              <w:t>OCR errors on legacy scanned reports</w:t>
            </w:r>
          </w:p>
        </w:tc>
        <w:tc>
          <w:tcPr>
            <w:tcW w:w="0" w:type="auto"/>
            <w:vAlign w:val="center"/>
            <w:hideMark/>
          </w:tcPr>
          <w:p w14:paraId="75D5AE56" w14:textId="77777777" w:rsidR="00273695" w:rsidRPr="00273695" w:rsidRDefault="00273695" w:rsidP="00273695">
            <w:pPr>
              <w:rPr>
                <w:rFonts w:ascii="Calibri" w:hAnsi="Calibri" w:cs="Calibri"/>
              </w:rPr>
            </w:pPr>
            <w:r w:rsidRPr="00273695">
              <w:rPr>
                <w:rFonts w:ascii="Calibri" w:hAnsi="Calibri" w:cs="Calibri"/>
              </w:rPr>
              <w:t>Confidence-tagged records; low-confidence data can never trigger a high-severity alert alone</w:t>
            </w:r>
          </w:p>
        </w:tc>
      </w:tr>
      <w:tr w:rsidR="00273695" w:rsidRPr="00273695" w14:paraId="329F8417" w14:textId="77777777">
        <w:trPr>
          <w:tblCellSpacing w:w="15" w:type="dxa"/>
        </w:trPr>
        <w:tc>
          <w:tcPr>
            <w:tcW w:w="0" w:type="auto"/>
            <w:vAlign w:val="center"/>
            <w:hideMark/>
          </w:tcPr>
          <w:p w14:paraId="628746C4" w14:textId="77777777" w:rsidR="00273695" w:rsidRPr="00273695" w:rsidRDefault="00273695" w:rsidP="00273695">
            <w:pPr>
              <w:rPr>
                <w:rFonts w:ascii="Calibri" w:hAnsi="Calibri" w:cs="Calibri"/>
              </w:rPr>
            </w:pPr>
            <w:r w:rsidRPr="00273695">
              <w:rPr>
                <w:rFonts w:ascii="Calibri" w:hAnsi="Calibri" w:cs="Calibri"/>
              </w:rPr>
              <w:t>Insufficient labeled outcome data for ML classifiers</w:t>
            </w:r>
          </w:p>
        </w:tc>
        <w:tc>
          <w:tcPr>
            <w:tcW w:w="0" w:type="auto"/>
            <w:vAlign w:val="center"/>
            <w:hideMark/>
          </w:tcPr>
          <w:p w14:paraId="7AB2A637" w14:textId="77777777" w:rsidR="00273695" w:rsidRPr="00273695" w:rsidRDefault="00273695" w:rsidP="00273695">
            <w:pPr>
              <w:rPr>
                <w:rFonts w:ascii="Calibri" w:hAnsi="Calibri" w:cs="Calibri"/>
              </w:rPr>
            </w:pPr>
            <w:r w:rsidRPr="00273695">
              <w:rPr>
                <w:rFonts w:ascii="Calibri" w:hAnsi="Calibri" w:cs="Calibri"/>
              </w:rPr>
              <w:t>Rule-based/similarity risk-corridor scoring as the default; trained classifiers only where enough labeled data exists</w:t>
            </w:r>
          </w:p>
        </w:tc>
      </w:tr>
      <w:tr w:rsidR="00273695" w:rsidRPr="00273695" w14:paraId="41A14483" w14:textId="77777777">
        <w:trPr>
          <w:tblCellSpacing w:w="15" w:type="dxa"/>
        </w:trPr>
        <w:tc>
          <w:tcPr>
            <w:tcW w:w="0" w:type="auto"/>
            <w:vAlign w:val="center"/>
            <w:hideMark/>
          </w:tcPr>
          <w:p w14:paraId="2C9B46CA" w14:textId="77777777" w:rsidR="00273695" w:rsidRPr="00273695" w:rsidRDefault="00273695" w:rsidP="00273695">
            <w:pPr>
              <w:rPr>
                <w:rFonts w:ascii="Calibri" w:hAnsi="Calibri" w:cs="Calibri"/>
              </w:rPr>
            </w:pPr>
            <w:r w:rsidRPr="00273695">
              <w:rPr>
                <w:rFonts w:ascii="Calibri" w:hAnsi="Calibri" w:cs="Calibri"/>
              </w:rPr>
              <w:t>Engineer distrust of a new "black-box" system</w:t>
            </w:r>
          </w:p>
        </w:tc>
        <w:tc>
          <w:tcPr>
            <w:tcW w:w="0" w:type="auto"/>
            <w:vAlign w:val="center"/>
            <w:hideMark/>
          </w:tcPr>
          <w:p w14:paraId="5BF78474" w14:textId="77777777" w:rsidR="00273695" w:rsidRPr="00273695" w:rsidRDefault="00273695" w:rsidP="00273695">
            <w:pPr>
              <w:rPr>
                <w:rFonts w:ascii="Calibri" w:hAnsi="Calibri" w:cs="Calibri"/>
              </w:rPr>
            </w:pPr>
            <w:r w:rsidRPr="00273695">
              <w:rPr>
                <w:rFonts w:ascii="Calibri" w:hAnsi="Calibri" w:cs="Calibri"/>
              </w:rPr>
              <w:t>Every alert shows fact vs. estimate vs. recommendation with a source-document link — nothing is asserted without evidence</w:t>
            </w:r>
          </w:p>
        </w:tc>
      </w:tr>
      <w:tr w:rsidR="00273695" w:rsidRPr="00273695" w14:paraId="635E1B0F" w14:textId="77777777">
        <w:trPr>
          <w:tblCellSpacing w:w="15" w:type="dxa"/>
        </w:trPr>
        <w:tc>
          <w:tcPr>
            <w:tcW w:w="0" w:type="auto"/>
            <w:vAlign w:val="center"/>
            <w:hideMark/>
          </w:tcPr>
          <w:p w14:paraId="62CE1E6B" w14:textId="77777777" w:rsidR="00273695" w:rsidRPr="00273695" w:rsidRDefault="00273695" w:rsidP="00273695">
            <w:pPr>
              <w:rPr>
                <w:rFonts w:ascii="Calibri" w:hAnsi="Calibri" w:cs="Calibri"/>
              </w:rPr>
            </w:pPr>
            <w:r w:rsidRPr="00273695">
              <w:rPr>
                <w:rFonts w:ascii="Calibri" w:hAnsi="Calibri" w:cs="Calibri"/>
              </w:rPr>
              <w:lastRenderedPageBreak/>
              <w:t>Integration friction with eRTMAC's live systems</w:t>
            </w:r>
          </w:p>
        </w:tc>
        <w:tc>
          <w:tcPr>
            <w:tcW w:w="0" w:type="auto"/>
            <w:vAlign w:val="center"/>
            <w:hideMark/>
          </w:tcPr>
          <w:p w14:paraId="1871DDFE" w14:textId="77777777" w:rsidR="00273695" w:rsidRPr="00273695" w:rsidRDefault="00273695" w:rsidP="00273695">
            <w:pPr>
              <w:rPr>
                <w:rFonts w:ascii="Calibri" w:hAnsi="Calibri" w:cs="Calibri"/>
              </w:rPr>
            </w:pPr>
            <w:r w:rsidRPr="00273695">
              <w:rPr>
                <w:rFonts w:ascii="Calibri" w:hAnsi="Calibri" w:cs="Calibri"/>
              </w:rPr>
              <w:t>Strict one-way, read-only contract — no write access, no safety-boundary risk</w:t>
            </w:r>
          </w:p>
        </w:tc>
      </w:tr>
    </w:tbl>
    <w:p w14:paraId="2C40FAB9"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"Why Now" (Timing Argument)</w:t>
      </w:r>
      <w:r w:rsidRPr="00273695">
        <w:rPr>
          <w:rFonts w:ascii="Calibri" w:hAnsi="Calibri" w:cs="Calibri"/>
        </w:rPr>
        <w:t xml:space="preserve"> A short, punchy addition: eRTMAC already provides the real-time foundation; OCR/NLP/LLM tooling has matured enough in the last 1-2 years to make document-scale extraction practically feasible; and OIL's own digitization push means the data this system needs is increasingly becoming available rather than staying locked in paper archives. This answers the unspoken judge question "why hasn't this been built already" directly.</w:t>
      </w:r>
    </w:p>
    <w:p w14:paraId="53DF50BD" w14:textId="77777777" w:rsidR="00273695" w:rsidRPr="00273695" w:rsidRDefault="00F30DF6" w:rsidP="00273695">
      <w:pPr>
        <w:rPr>
          <w:rFonts w:ascii="Calibri" w:hAnsi="Calibri" w:cs="Calibri"/>
        </w:rPr>
      </w:pPr>
      <w:r>
        <w:pict w14:anchorId="681EBFC5">
          <v:rect id="Horizontal Line 11" o:spid="_x0000_s1028"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295214" w14:textId="77777777" w:rsidR="00273695" w:rsidRPr="00273695" w:rsidRDefault="00273695" w:rsidP="00273695">
      <w:pPr>
        <w:spacing w:before="100" w:beforeAutospacing="1" w:after="100" w:afterAutospacing="1"/>
        <w:outlineLvl w:val="1"/>
        <w:rPr>
          <w:rFonts w:ascii="Calibri" w:hAnsi="Calibri" w:cs="Calibri"/>
          <w:b/>
          <w:bCs/>
          <w:sz w:val="36"/>
          <w:szCs w:val="36"/>
        </w:rPr>
      </w:pPr>
      <w:r w:rsidRPr="00273695">
        <w:rPr>
          <w:rFonts w:ascii="Calibri" w:hAnsi="Calibri" w:cs="Calibri"/>
          <w:b/>
          <w:bCs/>
          <w:sz w:val="36"/>
          <w:szCs w:val="36"/>
        </w:rPr>
        <w:t>SLIDE 5 — IMPACT AND BENEFITS (EXPANDED — pick your best 4+4)</w:t>
      </w:r>
    </w:p>
    <w:p w14:paraId="013EA6EE"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rPr>
        <w:t>The sample used a 4-box Impact circle and a 4-box Benefits circle. Below are more options across several dimensions, including some that are much stronger and more specific to OIL/India than generic "saves time and money" framing.</w:t>
      </w:r>
    </w:p>
    <w:p w14:paraId="5B96ADE2"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IMPACT — options</w:t>
      </w:r>
    </w:p>
    <w:p w14:paraId="3E99A480"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A. Operational Impact</w:t>
      </w:r>
      <w:r w:rsidRPr="00273695">
        <w:rPr>
          <w:rFonts w:ascii="Calibri" w:hAnsi="Calibri" w:cs="Calibri"/>
        </w:rPr>
        <w:t xml:space="preserve"> Reduced Non-Productive Time (NPT) from fewer repeat mud-loss, stuck-pipe, and overpressure incidents; faster engineering decision cycles during active drilling.</w:t>
      </w:r>
    </w:p>
    <w:p w14:paraId="274888EF"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B. Safety Impact</w:t>
      </w:r>
      <w:r w:rsidRPr="00273695">
        <w:rPr>
          <w:rFonts w:ascii="Calibri" w:hAnsi="Calibri" w:cs="Calibri"/>
        </w:rPr>
        <w:t xml:space="preserve"> </w:t>
      </w:r>
      <w:r w:rsidRPr="00273695">
        <w:rPr>
          <w:rFonts w:ascii="Apple Color Emoji" w:hAnsi="Apple Color Emoji" w:cs="Apple Color Emoji"/>
        </w:rPr>
        <w:t>⭐</w:t>
      </w:r>
      <w:r w:rsidRPr="00273695">
        <w:rPr>
          <w:rFonts w:ascii="Calibri" w:hAnsi="Calibri" w:cs="Calibri"/>
        </w:rPr>
        <w:t xml:space="preserve"> </w:t>
      </w:r>
      <w:r w:rsidRPr="00273695">
        <w:rPr>
          <w:rFonts w:ascii="Calibri" w:hAnsi="Calibri" w:cs="Calibri"/>
          <w:i/>
          <w:iCs/>
        </w:rPr>
        <w:t>(strongest, most India/OIL-specific option — consider leading with this)</w:t>
      </w:r>
      <w:r w:rsidRPr="00273695">
        <w:rPr>
          <w:rFonts w:ascii="Calibri" w:hAnsi="Calibri" w:cs="Calibri"/>
        </w:rPr>
        <w:t xml:space="preserve"> Drilling risk events like uncontrolled overpressure and well-control failures are not abstract — Assam has seen real, high-profile incidents at OIL's own fields (e.g., the widely reported 2020 Baghjan well blowout and prolonged gas leak in Tinsukia district, which led to evacuations and sustained environmental damage). This system directly targets the class of risk precursors — overpressure zones, formation-specific instability — that this kind of incident underscores the cost of missing. Frame carefully: don't claim NWIS would have single-handedly prevented a specific past incident; frame it as "illustrating why proactive, formation-specific risk correlation matters in this exact operating region."</w:t>
      </w:r>
    </w:p>
    <w:p w14:paraId="24BA08C6"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C. Environmental Impact</w:t>
      </w:r>
      <w:r w:rsidRPr="00273695">
        <w:rPr>
          <w:rFonts w:ascii="Calibri" w:hAnsi="Calibri" w:cs="Calibri"/>
        </w:rPr>
        <w:t xml:space="preserve"> Fewer blowouts, spills, and uncontrolled events mean reduced ecological risk in ecologically sensitive parts of Assam's operating areas (some OIL fields operate near protected/eco-sensitive zones) — a genuinely underused framing most teams solving a "drilling efficiency" problem will miss entirely.</w:t>
      </w:r>
    </w:p>
    <w:p w14:paraId="0FEF6681"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D. Knowledge &amp; Workforce Impact</w:t>
      </w:r>
      <w:r w:rsidRPr="00273695">
        <w:rPr>
          <w:rFonts w:ascii="Calibri" w:hAnsi="Calibri" w:cs="Calibri"/>
        </w:rPr>
        <w:t xml:space="preserve"> Captures retiring engineers' field experience into a structured, permanent system asset — directly solving the stated "individual experience &amp; memory" bottleneck, and shortening the ramp-up time for newer engineers rotating onto unfamiliar fields.</w:t>
      </w:r>
    </w:p>
    <w:p w14:paraId="6E3C1CC8"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E. Strategic / National Impact</w:t>
      </w:r>
      <w:r w:rsidRPr="00273695">
        <w:rPr>
          <w:rFonts w:ascii="Calibri" w:hAnsi="Calibri" w:cs="Calibri"/>
        </w:rPr>
        <w:t xml:space="preserve"> An indigenous, PSU-owned decision-support system reduces long-term dependence on expensive international drilling-software vendors (whose tools are typically tuned to Western basin geology, not Assam's thrust-belt-specific challenges) — supporting data sovereignty and self-reliance in a strategically important sector.</w:t>
      </w:r>
    </w:p>
    <w:p w14:paraId="13290E29"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F. Economic Impact</w:t>
      </w:r>
      <w:r w:rsidRPr="00273695">
        <w:rPr>
          <w:rFonts w:ascii="Calibri" w:hAnsi="Calibri" w:cs="Calibri"/>
        </w:rPr>
        <w:t xml:space="preserve"> More efficient, lower-NPT drilling operations support India's broader energy self-reliance goals by improving the efficiency of domestic crude and gas production — a modest but real contribution to reducing import dependence over time.</w:t>
      </w:r>
    </w:p>
    <w:p w14:paraId="2910E4C8" w14:textId="77777777" w:rsidR="00273695" w:rsidRPr="00273695" w:rsidRDefault="00273695" w:rsidP="00273695">
      <w:pPr>
        <w:spacing w:before="100" w:beforeAutospacing="1" w:after="100" w:afterAutospacing="1"/>
        <w:outlineLvl w:val="2"/>
        <w:rPr>
          <w:rFonts w:ascii="Calibri" w:hAnsi="Calibri" w:cs="Calibri"/>
          <w:b/>
          <w:bCs/>
          <w:sz w:val="27"/>
          <w:szCs w:val="27"/>
        </w:rPr>
      </w:pPr>
      <w:r w:rsidRPr="00273695">
        <w:rPr>
          <w:rFonts w:ascii="Calibri" w:hAnsi="Calibri" w:cs="Calibri"/>
          <w:b/>
          <w:bCs/>
          <w:sz w:val="27"/>
          <w:szCs w:val="27"/>
        </w:rPr>
        <w:t>BENEFITS — options</w:t>
      </w:r>
    </w:p>
    <w:p w14:paraId="082594BE"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lastRenderedPageBreak/>
        <w:t>G. Stakeholder-Segmented Benefits</w:t>
      </w:r>
      <w:r w:rsidRPr="00273695">
        <w:rPr>
          <w:rFonts w:ascii="Calibri" w:hAnsi="Calibri" w:cs="Calibri"/>
        </w:rPr>
        <w:t xml:space="preserve"> </w:t>
      </w:r>
      <w:r w:rsidRPr="00273695">
        <w:rPr>
          <w:rFonts w:ascii="Apple Color Emoji" w:hAnsi="Apple Color Emoji" w:cs="Apple Color Emoji"/>
        </w:rPr>
        <w:t>⭐</w:t>
      </w:r>
      <w:r w:rsidRPr="00273695">
        <w:rPr>
          <w:rFonts w:ascii="Calibri" w:hAnsi="Calibri" w:cs="Calibri"/>
        </w:rPr>
        <w:t xml:space="preserve"> </w:t>
      </w:r>
      <w:r w:rsidRPr="00273695">
        <w:rPr>
          <w:rFonts w:ascii="Calibri" w:hAnsi="Calibri" w:cs="Calibri"/>
          <w:i/>
          <w:iCs/>
        </w:rPr>
        <w:t>(new structure most competitors won't use — replaces generic bullet benefits with "who gains what")</w:t>
      </w:r>
    </w:p>
    <w:p w14:paraId="24C7E676" w14:textId="77777777" w:rsidR="00273695" w:rsidRPr="00273695" w:rsidRDefault="00273695" w:rsidP="00273695">
      <w:pPr>
        <w:numPr>
          <w:ilvl w:val="0"/>
          <w:numId w:val="4"/>
        </w:numPr>
        <w:spacing w:before="100" w:beforeAutospacing="1" w:after="100" w:afterAutospacing="1"/>
        <w:rPr>
          <w:rFonts w:ascii="Calibri" w:hAnsi="Calibri" w:cs="Calibri"/>
        </w:rPr>
      </w:pPr>
      <w:r w:rsidRPr="00273695">
        <w:rPr>
          <w:rFonts w:ascii="Calibri" w:hAnsi="Calibri" w:cs="Calibri"/>
          <w:b/>
          <w:bCs/>
        </w:rPr>
        <w:t>For Field Engineers:</w:t>
      </w:r>
      <w:r w:rsidRPr="00273695">
        <w:rPr>
          <w:rFonts w:ascii="Calibri" w:hAnsi="Calibri" w:cs="Calibri"/>
        </w:rPr>
        <w:t xml:space="preserve"> Instant, evidence-backed answers to "has this happened nearby before, and what worked?" — without leaving their existing eRTMAC workflow.</w:t>
      </w:r>
    </w:p>
    <w:p w14:paraId="23E10181" w14:textId="77777777" w:rsidR="00273695" w:rsidRPr="00273695" w:rsidRDefault="00273695" w:rsidP="00273695">
      <w:pPr>
        <w:numPr>
          <w:ilvl w:val="0"/>
          <w:numId w:val="4"/>
        </w:numPr>
        <w:spacing w:before="100" w:beforeAutospacing="1" w:after="100" w:afterAutospacing="1"/>
        <w:rPr>
          <w:rFonts w:ascii="Calibri" w:hAnsi="Calibri" w:cs="Calibri"/>
        </w:rPr>
      </w:pPr>
      <w:r w:rsidRPr="00273695">
        <w:rPr>
          <w:rFonts w:ascii="Calibri" w:hAnsi="Calibri" w:cs="Calibri"/>
          <w:b/>
          <w:bCs/>
        </w:rPr>
        <w:t>For Operations Managers:</w:t>
      </w:r>
      <w:r w:rsidRPr="00273695">
        <w:rPr>
          <w:rFonts w:ascii="Calibri" w:hAnsi="Calibri" w:cs="Calibri"/>
        </w:rPr>
        <w:t xml:space="preserve"> A single dashboard view of risk exposure across all active wells, with drill-down evidence for shift handovers and management reviews.</w:t>
      </w:r>
    </w:p>
    <w:p w14:paraId="0A037407" w14:textId="77777777" w:rsidR="00273695" w:rsidRPr="00273695" w:rsidRDefault="00273695" w:rsidP="00273695">
      <w:pPr>
        <w:numPr>
          <w:ilvl w:val="0"/>
          <w:numId w:val="4"/>
        </w:numPr>
        <w:spacing w:before="100" w:beforeAutospacing="1" w:after="100" w:afterAutospacing="1"/>
        <w:rPr>
          <w:rFonts w:ascii="Calibri" w:hAnsi="Calibri" w:cs="Calibri"/>
        </w:rPr>
      </w:pPr>
      <w:r w:rsidRPr="00273695">
        <w:rPr>
          <w:rFonts w:ascii="Calibri" w:hAnsi="Calibri" w:cs="Calibri"/>
          <w:b/>
          <w:bCs/>
        </w:rPr>
        <w:t>For OIL as an Organization:</w:t>
      </w:r>
      <w:r w:rsidRPr="00273695">
        <w:rPr>
          <w:rFonts w:ascii="Calibri" w:hAnsi="Calibri" w:cs="Calibri"/>
        </w:rPr>
        <w:t xml:space="preserve"> A permanent, growing knowledge asset that survives staff turnover and reduces reliance on any single individual's memory.</w:t>
      </w:r>
    </w:p>
    <w:p w14:paraId="4186F2EE" w14:textId="77777777" w:rsidR="00273695" w:rsidRPr="00273695" w:rsidRDefault="00273695" w:rsidP="00273695">
      <w:pPr>
        <w:numPr>
          <w:ilvl w:val="0"/>
          <w:numId w:val="4"/>
        </w:numPr>
        <w:spacing w:before="100" w:beforeAutospacing="1" w:after="100" w:afterAutospacing="1"/>
        <w:rPr>
          <w:rFonts w:ascii="Calibri" w:hAnsi="Calibri" w:cs="Calibri"/>
        </w:rPr>
      </w:pPr>
      <w:r w:rsidRPr="00273695">
        <w:rPr>
          <w:rFonts w:ascii="Calibri" w:hAnsi="Calibri" w:cs="Calibri"/>
          <w:b/>
          <w:bCs/>
        </w:rPr>
        <w:t>For India:</w:t>
      </w:r>
      <w:r w:rsidRPr="00273695">
        <w:rPr>
          <w:rFonts w:ascii="Calibri" w:hAnsi="Calibri" w:cs="Calibri"/>
        </w:rPr>
        <w:t xml:space="preserve"> Safer, more efficient domestic drilling operations at a strategically important Maharatna PSU, with a system architecture that's extensible to other national oil companies.</w:t>
      </w:r>
    </w:p>
    <w:p w14:paraId="71226BC0"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H. Quick/Direct Decision Support</w:t>
      </w:r>
      <w:r w:rsidRPr="00273695">
        <w:rPr>
          <w:rFonts w:ascii="Calibri" w:hAnsi="Calibri" w:cs="Calibri"/>
        </w:rPr>
        <w:t xml:space="preserve"> Risk-relevant historical evidence reaches the engineer at the moment of the drilling decision, not days later in a post-well review — mirroring "funds reach victims faster without middlemen" but for information instead of money: </w:t>
      </w:r>
      <w:r w:rsidRPr="00273695">
        <w:rPr>
          <w:rFonts w:ascii="Calibri" w:hAnsi="Calibri" w:cs="Calibri"/>
          <w:i/>
          <w:iCs/>
        </w:rPr>
        <w:t>"insight reaches the engineer faster, without manual archive-digging."</w:t>
      </w:r>
    </w:p>
    <w:p w14:paraId="508C960A"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I. Prevents Repeat Mistakes</w:t>
      </w:r>
      <w:r w:rsidRPr="00273695">
        <w:rPr>
          <w:rFonts w:ascii="Calibri" w:hAnsi="Calibri" w:cs="Calibri"/>
        </w:rPr>
        <w:t xml:space="preserve"> Historical mitigation evidence (e.g., what actually worked for mud loss in a specific formation at a specific field) is surfaced automatically instead of being rediscovered by trial and error on every new well.</w:t>
      </w:r>
    </w:p>
    <w:p w14:paraId="3C64F00D"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J. Improves Transparency &amp; Auditability</w:t>
      </w:r>
      <w:r w:rsidRPr="00273695">
        <w:rPr>
          <w:rFonts w:ascii="Calibri" w:hAnsi="Calibri" w:cs="Calibri"/>
        </w:rPr>
        <w:t xml:space="preserve"> Every alert is traceable to its original source document and separates fact from estimate from recommendation — supporting safety-case documentation and internal compliance review.</w:t>
      </w:r>
    </w:p>
    <w:p w14:paraId="0759E437" w14:textId="77777777" w:rsidR="00273695" w:rsidRPr="00273695" w:rsidRDefault="00273695" w:rsidP="00273695">
      <w:pPr>
        <w:spacing w:before="100" w:beforeAutospacing="1" w:after="100" w:afterAutospacing="1"/>
        <w:rPr>
          <w:rFonts w:ascii="Calibri" w:hAnsi="Calibri" w:cs="Calibri"/>
        </w:rPr>
      </w:pPr>
      <w:r w:rsidRPr="00273695">
        <w:rPr>
          <w:rFonts w:ascii="Calibri" w:hAnsi="Calibri" w:cs="Calibri"/>
          <w:b/>
          <w:bCs/>
        </w:rPr>
        <w:t>K. Market Opportunity &amp; Strategic Relevance</w:t>
      </w:r>
      <w:r w:rsidRPr="00273695">
        <w:rPr>
          <w:rFonts w:ascii="Calibri" w:hAnsi="Calibri" w:cs="Calibri"/>
        </w:rPr>
        <w:t xml:space="preserve"> </w:t>
      </w:r>
      <w:r w:rsidRPr="00273695">
        <w:rPr>
          <w:rFonts w:ascii="Apple Color Emoji" w:hAnsi="Apple Color Emoji" w:cs="Apple Color Emoji"/>
        </w:rPr>
        <w:t>⭐</w:t>
      </w:r>
      <w:r w:rsidRPr="00273695">
        <w:rPr>
          <w:rFonts w:ascii="Calibri" w:hAnsi="Calibri" w:cs="Calibri"/>
        </w:rPr>
        <w:t xml:space="preserve"> </w:t>
      </w:r>
      <w:r w:rsidRPr="00273695">
        <w:rPr>
          <w:rFonts w:ascii="Calibri" w:hAnsi="Calibri" w:cs="Calibri"/>
          <w:i/>
          <w:iCs/>
        </w:rPr>
        <w:t>(this is the natural home for market research if you don't want a separate slide)</w:t>
      </w:r>
    </w:p>
    <w:p w14:paraId="1E94BC05" w14:textId="77777777" w:rsidR="00273695" w:rsidRPr="00273695" w:rsidRDefault="00273695" w:rsidP="00273695">
      <w:pPr>
        <w:numPr>
          <w:ilvl w:val="0"/>
          <w:numId w:val="5"/>
        </w:numPr>
        <w:spacing w:before="100" w:beforeAutospacing="1" w:after="100" w:afterAutospacing="1"/>
        <w:rPr>
          <w:rFonts w:ascii="Calibri" w:hAnsi="Calibri" w:cs="Calibri"/>
        </w:rPr>
      </w:pPr>
      <w:r w:rsidRPr="00273695">
        <w:rPr>
          <w:rFonts w:ascii="Calibri" w:hAnsi="Calibri" w:cs="Calibri"/>
        </w:rPr>
        <w:t>The global oil &amp; gas data management software market is estimated at roughly USD 17–27 billion (2024/2025), growing at a 13–15% CAGR, driven by exactly the problem this system solves: increasing data volume and the need for real-time, predictive decision support.</w:t>
      </w:r>
    </w:p>
    <w:p w14:paraId="4AFDBB78" w14:textId="77777777" w:rsidR="00273695" w:rsidRPr="00273695" w:rsidRDefault="00273695" w:rsidP="00273695">
      <w:pPr>
        <w:numPr>
          <w:ilvl w:val="0"/>
          <w:numId w:val="5"/>
        </w:numPr>
        <w:spacing w:before="100" w:beforeAutospacing="1" w:after="100" w:afterAutospacing="1"/>
        <w:rPr>
          <w:rFonts w:ascii="Calibri" w:hAnsi="Calibri" w:cs="Calibri"/>
        </w:rPr>
      </w:pPr>
      <w:r w:rsidRPr="00273695">
        <w:rPr>
          <w:rFonts w:ascii="Calibri" w:hAnsi="Calibri" w:cs="Calibri"/>
        </w:rPr>
        <w:t>The narrower drilling software market specifically is estimated at roughly USD 3–4 billion (2025/2026), growing at 7–8% CAGR, with well-planning and risk-engineering tools called out as a leading, high-growth segment.</w:t>
      </w:r>
    </w:p>
    <w:p w14:paraId="030DD885" w14:textId="77777777" w:rsidR="00273695" w:rsidRPr="00273695" w:rsidRDefault="00273695" w:rsidP="00273695">
      <w:pPr>
        <w:numPr>
          <w:ilvl w:val="0"/>
          <w:numId w:val="5"/>
        </w:numPr>
        <w:spacing w:before="100" w:beforeAutospacing="1" w:after="100" w:afterAutospacing="1"/>
        <w:rPr>
          <w:rFonts w:ascii="Calibri" w:hAnsi="Calibri" w:cs="Calibri"/>
        </w:rPr>
      </w:pPr>
      <w:r w:rsidRPr="00273695">
        <w:rPr>
          <w:rFonts w:ascii="Calibri" w:hAnsi="Calibri" w:cs="Calibri"/>
        </w:rPr>
        <w:t>Existing offset-well/decision-support tooling in this category is dominated by large international vendors built for Western basin geology — leaving a real, underserved gap for a PSU-owned, thrust-belt-specific, eRTMAC-integrated system tuned to Assam's actual operating conditions.</w:t>
      </w:r>
    </w:p>
    <w:p w14:paraId="45380556" w14:textId="77777777" w:rsidR="00273695" w:rsidRPr="00273695" w:rsidRDefault="00273695" w:rsidP="00273695">
      <w:pPr>
        <w:numPr>
          <w:ilvl w:val="0"/>
          <w:numId w:val="5"/>
        </w:numPr>
        <w:spacing w:before="100" w:beforeAutospacing="1" w:after="100" w:afterAutospacing="1"/>
        <w:rPr>
          <w:rFonts w:ascii="Calibri" w:hAnsi="Calibri" w:cs="Calibri"/>
        </w:rPr>
      </w:pPr>
      <w:r w:rsidRPr="00273695">
        <w:rPr>
          <w:rFonts w:ascii="Calibri" w:hAnsi="Calibri" w:cs="Calibri"/>
          <w:i/>
          <w:iCs/>
        </w:rPr>
        <w:t>(Note on presenting market numbers to judges: different analyst firms give different figures for adjacent market categories — cite a range rather than a single cherry-picked number, and say so; this reads as more credible, not less.)</w:t>
      </w:r>
    </w:p>
    <w:p w14:paraId="113195BB" w14:textId="77777777" w:rsidR="00273695" w:rsidRPr="00273695" w:rsidRDefault="00F30DF6" w:rsidP="00273695">
      <w:pPr>
        <w:rPr>
          <w:rFonts w:ascii="Calibri" w:hAnsi="Calibri" w:cs="Calibri"/>
        </w:rPr>
      </w:pPr>
      <w:r>
        <w:pict w14:anchorId="388FDAAF">
          <v:rect id="Horizontal Line 12" o:spid="_x0000_s1027"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CE4582" w14:textId="363C322D" w:rsidR="00273695" w:rsidRPr="00E21C5D" w:rsidRDefault="00273695" w:rsidP="00E21C5D">
      <w:pPr>
        <w:spacing w:before="100" w:beforeAutospacing="1" w:after="100" w:afterAutospacing="1"/>
        <w:outlineLvl w:val="1"/>
        <w:rPr>
          <w:rFonts w:ascii="Calibri" w:hAnsi="Calibri" w:cs="Calibri"/>
          <w:b/>
          <w:bCs/>
          <w:sz w:val="36"/>
          <w:szCs w:val="36"/>
        </w:rPr>
      </w:pPr>
      <w:r w:rsidRPr="00273695">
        <w:rPr>
          <w:rFonts w:ascii="Calibri" w:hAnsi="Calibri" w:cs="Calibri"/>
          <w:b/>
          <w:bCs/>
          <w:sz w:val="36"/>
          <w:szCs w:val="36"/>
        </w:rPr>
        <w:t>SLIDE 6 — RESEARCH AND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4214"/>
        <w:gridCol w:w="3742"/>
      </w:tblGrid>
      <w:tr w:rsidR="00273695" w:rsidRPr="00273695" w14:paraId="06EAC468" w14:textId="77777777">
        <w:trPr>
          <w:tblHeader/>
          <w:tblCellSpacing w:w="15" w:type="dxa"/>
        </w:trPr>
        <w:tc>
          <w:tcPr>
            <w:tcW w:w="0" w:type="auto"/>
            <w:vAlign w:val="center"/>
            <w:hideMark/>
          </w:tcPr>
          <w:p w14:paraId="094D5B21" w14:textId="77777777" w:rsidR="00273695" w:rsidRPr="00273695" w:rsidRDefault="00273695" w:rsidP="00273695">
            <w:pPr>
              <w:jc w:val="center"/>
              <w:rPr>
                <w:rFonts w:ascii="Calibri" w:hAnsi="Calibri" w:cs="Calibri"/>
                <w:b/>
                <w:bCs/>
              </w:rPr>
            </w:pPr>
            <w:r w:rsidRPr="00273695">
              <w:rPr>
                <w:rFonts w:ascii="Calibri" w:hAnsi="Calibri" w:cs="Calibri"/>
                <w:b/>
                <w:bCs/>
              </w:rPr>
              <w:t>Name</w:t>
            </w:r>
          </w:p>
        </w:tc>
        <w:tc>
          <w:tcPr>
            <w:tcW w:w="0" w:type="auto"/>
            <w:vAlign w:val="center"/>
            <w:hideMark/>
          </w:tcPr>
          <w:p w14:paraId="77ADBEBA" w14:textId="77777777" w:rsidR="00273695" w:rsidRPr="00273695" w:rsidRDefault="00273695" w:rsidP="00273695">
            <w:pPr>
              <w:jc w:val="center"/>
              <w:rPr>
                <w:rFonts w:ascii="Calibri" w:hAnsi="Calibri" w:cs="Calibri"/>
                <w:b/>
                <w:bCs/>
              </w:rPr>
            </w:pPr>
            <w:r w:rsidRPr="00273695">
              <w:rPr>
                <w:rFonts w:ascii="Calibri" w:hAnsi="Calibri" w:cs="Calibri"/>
                <w:b/>
                <w:bCs/>
              </w:rPr>
              <w:t>Summary</w:t>
            </w:r>
          </w:p>
        </w:tc>
        <w:tc>
          <w:tcPr>
            <w:tcW w:w="0" w:type="auto"/>
            <w:vAlign w:val="center"/>
            <w:hideMark/>
          </w:tcPr>
          <w:p w14:paraId="5F7AD92F" w14:textId="77777777" w:rsidR="00273695" w:rsidRPr="00273695" w:rsidRDefault="00273695" w:rsidP="00273695">
            <w:pPr>
              <w:jc w:val="center"/>
              <w:rPr>
                <w:rFonts w:ascii="Calibri" w:hAnsi="Calibri" w:cs="Calibri"/>
                <w:b/>
                <w:bCs/>
              </w:rPr>
            </w:pPr>
            <w:r w:rsidRPr="00273695">
              <w:rPr>
                <w:rFonts w:ascii="Calibri" w:hAnsi="Calibri" w:cs="Calibri"/>
                <w:b/>
                <w:bCs/>
              </w:rPr>
              <w:t>Our Solution</w:t>
            </w:r>
          </w:p>
        </w:tc>
      </w:tr>
      <w:tr w:rsidR="00273695" w:rsidRPr="00273695" w14:paraId="78FBE444" w14:textId="77777777">
        <w:trPr>
          <w:tblCellSpacing w:w="15" w:type="dxa"/>
        </w:trPr>
        <w:tc>
          <w:tcPr>
            <w:tcW w:w="0" w:type="auto"/>
            <w:vAlign w:val="center"/>
            <w:hideMark/>
          </w:tcPr>
          <w:p w14:paraId="777D8592" w14:textId="77777777" w:rsidR="00273695" w:rsidRPr="00273695" w:rsidRDefault="00273695" w:rsidP="00273695">
            <w:pPr>
              <w:rPr>
                <w:rFonts w:ascii="Calibri" w:hAnsi="Calibri" w:cs="Calibri"/>
              </w:rPr>
            </w:pPr>
            <w:r w:rsidRPr="00273695">
              <w:rPr>
                <w:rFonts w:ascii="Calibri" w:hAnsi="Calibri" w:cs="Calibri"/>
                <w:b/>
                <w:bCs/>
              </w:rPr>
              <w:t>Geomechanical &amp; Seismic-Imaging Studies of the Naga Thrust and Fold Belt</w:t>
            </w:r>
          </w:p>
        </w:tc>
        <w:tc>
          <w:tcPr>
            <w:tcW w:w="0" w:type="auto"/>
            <w:vAlign w:val="center"/>
            <w:hideMark/>
          </w:tcPr>
          <w:p w14:paraId="257A304C" w14:textId="77777777" w:rsidR="00273695" w:rsidRPr="00273695" w:rsidRDefault="00273695" w:rsidP="00273695">
            <w:pPr>
              <w:rPr>
                <w:rFonts w:ascii="Calibri" w:hAnsi="Calibri" w:cs="Calibri"/>
              </w:rPr>
            </w:pPr>
            <w:r w:rsidRPr="00273695">
              <w:rPr>
                <w:rFonts w:ascii="Calibri" w:hAnsi="Calibri" w:cs="Calibri"/>
              </w:rPr>
              <w:t xml:space="preserve">Documents that seismic imaging in OIL's thrust-belt operating area is degraded by rough topography, steep dips, and high noise, and identifies specific field-level </w:t>
            </w:r>
            <w:r w:rsidRPr="00273695">
              <w:rPr>
                <w:rFonts w:ascii="Calibri" w:hAnsi="Calibri" w:cs="Calibri"/>
              </w:rPr>
              <w:lastRenderedPageBreak/>
              <w:t>overpressure zones (e.g., Kharsang, Pengri-Bardumsha).</w:t>
            </w:r>
          </w:p>
        </w:tc>
        <w:tc>
          <w:tcPr>
            <w:tcW w:w="0" w:type="auto"/>
            <w:vAlign w:val="center"/>
            <w:hideMark/>
          </w:tcPr>
          <w:p w14:paraId="5B9B89A2" w14:textId="77777777" w:rsidR="00273695" w:rsidRPr="00273695" w:rsidRDefault="00273695" w:rsidP="00273695">
            <w:pPr>
              <w:rPr>
                <w:rFonts w:ascii="Calibri" w:hAnsi="Calibri" w:cs="Calibri"/>
              </w:rPr>
            </w:pPr>
            <w:r w:rsidRPr="00273695">
              <w:rPr>
                <w:rFonts w:ascii="Calibri" w:hAnsi="Calibri" w:cs="Calibri"/>
              </w:rPr>
              <w:lastRenderedPageBreak/>
              <w:t xml:space="preserve">Our correlation engine is explicitly weighted for formation-specific overpressure risk and treats offset-well empirical data as a primary </w:t>
            </w:r>
            <w:r w:rsidRPr="00273695">
              <w:rPr>
                <w:rFonts w:ascii="Calibri" w:hAnsi="Calibri" w:cs="Calibri"/>
              </w:rPr>
              <w:lastRenderedPageBreak/>
              <w:t>signal precisely where seismic prediction is weakest.</w:t>
            </w:r>
          </w:p>
        </w:tc>
      </w:tr>
      <w:tr w:rsidR="00273695" w:rsidRPr="00273695" w14:paraId="565E5907" w14:textId="77777777">
        <w:trPr>
          <w:tblCellSpacing w:w="15" w:type="dxa"/>
        </w:trPr>
        <w:tc>
          <w:tcPr>
            <w:tcW w:w="0" w:type="auto"/>
            <w:vAlign w:val="center"/>
            <w:hideMark/>
          </w:tcPr>
          <w:p w14:paraId="7270EB6D" w14:textId="77777777" w:rsidR="00273695" w:rsidRPr="00273695" w:rsidRDefault="00273695" w:rsidP="00273695">
            <w:pPr>
              <w:rPr>
                <w:rFonts w:ascii="Calibri" w:hAnsi="Calibri" w:cs="Calibri"/>
              </w:rPr>
            </w:pPr>
            <w:r w:rsidRPr="00273695">
              <w:rPr>
                <w:rFonts w:ascii="Calibri" w:hAnsi="Calibri" w:cs="Calibri"/>
                <w:b/>
                <w:bCs/>
              </w:rPr>
              <w:lastRenderedPageBreak/>
              <w:t>Drilling Fluid &amp; Formation-Risk Studies (e.g., Geleki Tipam Sand fluid-loss behavior)</w:t>
            </w:r>
          </w:p>
        </w:tc>
        <w:tc>
          <w:tcPr>
            <w:tcW w:w="0" w:type="auto"/>
            <w:vAlign w:val="center"/>
            <w:hideMark/>
          </w:tcPr>
          <w:p w14:paraId="7104B5FF" w14:textId="77777777" w:rsidR="00273695" w:rsidRPr="00273695" w:rsidRDefault="00273695" w:rsidP="00273695">
            <w:pPr>
              <w:rPr>
                <w:rFonts w:ascii="Calibri" w:hAnsi="Calibri" w:cs="Calibri"/>
              </w:rPr>
            </w:pPr>
            <w:r w:rsidRPr="00273695">
              <w:rPr>
                <w:rFonts w:ascii="Calibri" w:hAnsi="Calibri" w:cs="Calibri"/>
              </w:rPr>
              <w:t>Reports formation-specific drilling challenges — e.g., high porosity/permeability zones prone to severe, continuous fluid loss with conventional mud systems.</w:t>
            </w:r>
          </w:p>
        </w:tc>
        <w:tc>
          <w:tcPr>
            <w:tcW w:w="0" w:type="auto"/>
            <w:vAlign w:val="center"/>
            <w:hideMark/>
          </w:tcPr>
          <w:p w14:paraId="5CC6EC26" w14:textId="77777777" w:rsidR="00273695" w:rsidRPr="00273695" w:rsidRDefault="00273695" w:rsidP="00273695">
            <w:pPr>
              <w:rPr>
                <w:rFonts w:ascii="Calibri" w:hAnsi="Calibri" w:cs="Calibri"/>
              </w:rPr>
            </w:pPr>
            <w:r w:rsidRPr="00273695">
              <w:rPr>
                <w:rFonts w:ascii="Calibri" w:hAnsi="Calibri" w:cs="Calibri"/>
              </w:rPr>
              <w:t>Our system tags these formation-specific risk signatures directly into the risk-corridor engine, enabling automatic "you are approaching a known-risk formation" alerts.</w:t>
            </w:r>
          </w:p>
        </w:tc>
      </w:tr>
      <w:tr w:rsidR="00273695" w:rsidRPr="00273695" w14:paraId="53063CE2" w14:textId="77777777">
        <w:trPr>
          <w:tblCellSpacing w:w="15" w:type="dxa"/>
        </w:trPr>
        <w:tc>
          <w:tcPr>
            <w:tcW w:w="0" w:type="auto"/>
            <w:vAlign w:val="center"/>
            <w:hideMark/>
          </w:tcPr>
          <w:p w14:paraId="7C8A389B" w14:textId="77777777" w:rsidR="00273695" w:rsidRPr="00273695" w:rsidRDefault="00273695" w:rsidP="00273695">
            <w:pPr>
              <w:rPr>
                <w:rFonts w:ascii="Calibri" w:hAnsi="Calibri" w:cs="Calibri"/>
              </w:rPr>
            </w:pPr>
            <w:r w:rsidRPr="00273695">
              <w:rPr>
                <w:rFonts w:ascii="Calibri" w:hAnsi="Calibri" w:cs="Calibri"/>
                <w:b/>
                <w:bCs/>
              </w:rPr>
              <w:t>TADI: Tool-Augmented Drilling Intelligence (agentic LLM + dual-store architecture over a real 1,759-report drilling dataset)</w:t>
            </w:r>
          </w:p>
        </w:tc>
        <w:tc>
          <w:tcPr>
            <w:tcW w:w="0" w:type="auto"/>
            <w:vAlign w:val="center"/>
            <w:hideMark/>
          </w:tcPr>
          <w:p w14:paraId="5DAA950F" w14:textId="77777777" w:rsidR="00273695" w:rsidRPr="00273695" w:rsidRDefault="00273695" w:rsidP="00273695">
            <w:pPr>
              <w:rPr>
                <w:rFonts w:ascii="Calibri" w:hAnsi="Calibri" w:cs="Calibri"/>
              </w:rPr>
            </w:pPr>
            <w:r w:rsidRPr="00273695">
              <w:rPr>
                <w:rFonts w:ascii="Calibri" w:hAnsi="Calibri" w:cs="Calibri"/>
              </w:rPr>
              <w:t>Demonstrates that a structured database + semantic search, orchestrated by a domain-tool-driven LLM agent, produces reliable, evidence-grounded answers over real drilling operational data at scale.</w:t>
            </w:r>
          </w:p>
        </w:tc>
        <w:tc>
          <w:tcPr>
            <w:tcW w:w="0" w:type="auto"/>
            <w:vAlign w:val="center"/>
            <w:hideMark/>
          </w:tcPr>
          <w:p w14:paraId="742538F0" w14:textId="77777777" w:rsidR="00273695" w:rsidRPr="00273695" w:rsidRDefault="00273695" w:rsidP="00273695">
            <w:pPr>
              <w:rPr>
                <w:rFonts w:ascii="Calibri" w:hAnsi="Calibri" w:cs="Calibri"/>
              </w:rPr>
            </w:pPr>
            <w:r w:rsidRPr="00273695">
              <w:rPr>
                <w:rFonts w:ascii="Calibri" w:hAnsi="Calibri" w:cs="Calibri"/>
              </w:rPr>
              <w:t>We adopt the same dual-store, tool-orchestrated pattern — proven feasible on real drilling data — as the backbone of our hybrid ingestion and correlation engine.</w:t>
            </w:r>
          </w:p>
        </w:tc>
      </w:tr>
      <w:tr w:rsidR="00273695" w:rsidRPr="00273695" w14:paraId="0BBC8F46" w14:textId="77777777">
        <w:trPr>
          <w:tblCellSpacing w:w="15" w:type="dxa"/>
        </w:trPr>
        <w:tc>
          <w:tcPr>
            <w:tcW w:w="0" w:type="auto"/>
            <w:vAlign w:val="center"/>
            <w:hideMark/>
          </w:tcPr>
          <w:p w14:paraId="315A80F2" w14:textId="77777777" w:rsidR="00273695" w:rsidRPr="00273695" w:rsidRDefault="00273695" w:rsidP="00273695">
            <w:pPr>
              <w:rPr>
                <w:rFonts w:ascii="Calibri" w:hAnsi="Calibri" w:cs="Calibri"/>
              </w:rPr>
            </w:pPr>
            <w:r w:rsidRPr="00273695">
              <w:rPr>
                <w:rFonts w:ascii="Calibri" w:hAnsi="Calibri" w:cs="Calibri"/>
                <w:b/>
                <w:bCs/>
              </w:rPr>
              <w:t>eRTMAC-NWIS Problem Statement (SIH26121, Oil India Limited)</w:t>
            </w:r>
          </w:p>
        </w:tc>
        <w:tc>
          <w:tcPr>
            <w:tcW w:w="0" w:type="auto"/>
            <w:vAlign w:val="center"/>
            <w:hideMark/>
          </w:tcPr>
          <w:p w14:paraId="78118B64" w14:textId="77777777" w:rsidR="00273695" w:rsidRPr="00273695" w:rsidRDefault="00273695" w:rsidP="00273695">
            <w:pPr>
              <w:rPr>
                <w:rFonts w:ascii="Calibri" w:hAnsi="Calibri" w:cs="Calibri"/>
              </w:rPr>
            </w:pPr>
            <w:r w:rsidRPr="00273695">
              <w:rPr>
                <w:rFonts w:ascii="Calibri" w:hAnsi="Calibri" w:cs="Calibri"/>
              </w:rPr>
              <w:t>States that historical drilling knowledge is fragmented across WCRs, DDRs, and individual memory, causing delayed and reactive risk decisions.</w:t>
            </w:r>
          </w:p>
        </w:tc>
        <w:tc>
          <w:tcPr>
            <w:tcW w:w="0" w:type="auto"/>
            <w:vAlign w:val="center"/>
            <w:hideMark/>
          </w:tcPr>
          <w:p w14:paraId="541D8678" w14:textId="77777777" w:rsidR="00273695" w:rsidRPr="00273695" w:rsidRDefault="00273695" w:rsidP="00273695">
            <w:pPr>
              <w:rPr>
                <w:rFonts w:ascii="Calibri" w:hAnsi="Calibri" w:cs="Calibri"/>
              </w:rPr>
            </w:pPr>
            <w:r w:rsidRPr="00273695">
              <w:rPr>
                <w:rFonts w:ascii="Calibri" w:hAnsi="Calibri" w:cs="Calibri"/>
              </w:rPr>
              <w:t>Our platform delivers exactly the four required capabilities — geospatial offset-well mapping, searchable historical knowledge, cross-well correlation, and proactive depth/formation-based alerting — as a layer alongside, not a replacement for, eRTMAC.</w:t>
            </w:r>
          </w:p>
        </w:tc>
      </w:tr>
      <w:tr w:rsidR="00273695" w:rsidRPr="00273695" w14:paraId="32C2319F" w14:textId="77777777">
        <w:trPr>
          <w:tblCellSpacing w:w="15" w:type="dxa"/>
        </w:trPr>
        <w:tc>
          <w:tcPr>
            <w:tcW w:w="0" w:type="auto"/>
            <w:vAlign w:val="center"/>
            <w:hideMark/>
          </w:tcPr>
          <w:p w14:paraId="5BD13690" w14:textId="77777777" w:rsidR="00273695" w:rsidRPr="00273695" w:rsidRDefault="00273695" w:rsidP="00273695">
            <w:pPr>
              <w:rPr>
                <w:rFonts w:ascii="Calibri" w:hAnsi="Calibri" w:cs="Calibri"/>
              </w:rPr>
            </w:pPr>
            <w:r w:rsidRPr="00273695">
              <w:rPr>
                <w:rFonts w:ascii="Calibri" w:hAnsi="Calibri" w:cs="Calibri"/>
                <w:b/>
                <w:bCs/>
              </w:rPr>
              <w:t>Global &amp; Indian Oil and Gas Software Market Analyses (multiple industry analyst reports, 2024–2026)</w:t>
            </w:r>
          </w:p>
        </w:tc>
        <w:tc>
          <w:tcPr>
            <w:tcW w:w="0" w:type="auto"/>
            <w:vAlign w:val="center"/>
            <w:hideMark/>
          </w:tcPr>
          <w:p w14:paraId="04270CC1" w14:textId="77777777" w:rsidR="00273695" w:rsidRPr="00273695" w:rsidRDefault="00273695" w:rsidP="00273695">
            <w:pPr>
              <w:rPr>
                <w:rFonts w:ascii="Calibri" w:hAnsi="Calibri" w:cs="Calibri"/>
              </w:rPr>
            </w:pPr>
            <w:r w:rsidRPr="00273695">
              <w:rPr>
                <w:rFonts w:ascii="Calibri" w:hAnsi="Calibri" w:cs="Calibri"/>
              </w:rPr>
              <w:t>Independent market analyses consistently show the oil &amp; gas data-management and drilling-software categories as large and fast-growing (double-digit CAGR), driven by the same data-fragmentation and predictive-decision-support problem this statement describes.</w:t>
            </w:r>
          </w:p>
        </w:tc>
        <w:tc>
          <w:tcPr>
            <w:tcW w:w="0" w:type="auto"/>
            <w:vAlign w:val="center"/>
            <w:hideMark/>
          </w:tcPr>
          <w:p w14:paraId="692104CE" w14:textId="77777777" w:rsidR="00273695" w:rsidRPr="00273695" w:rsidRDefault="00273695" w:rsidP="00273695">
            <w:pPr>
              <w:rPr>
                <w:rFonts w:ascii="Calibri" w:hAnsi="Calibri" w:cs="Calibri"/>
              </w:rPr>
            </w:pPr>
            <w:r w:rsidRPr="00273695">
              <w:rPr>
                <w:rFonts w:ascii="Calibri" w:hAnsi="Calibri" w:cs="Calibri"/>
              </w:rPr>
              <w:t>Positions NWIS within a real, well-funded market trend, while targeting a specific gap — PSU-owned, basin-tuned, eRTMAC-integrated tooling — that large international vendors don't currently serve.</w:t>
            </w:r>
          </w:p>
        </w:tc>
      </w:tr>
    </w:tbl>
    <w:p w14:paraId="5EF671FC" w14:textId="77777777" w:rsidR="00273695" w:rsidRPr="00273695" w:rsidRDefault="00F30DF6" w:rsidP="00273695">
      <w:pPr>
        <w:rPr>
          <w:rFonts w:ascii="Calibri" w:hAnsi="Calibri" w:cs="Calibri"/>
        </w:rPr>
      </w:pPr>
      <w:r>
        <w:pict w14:anchorId="5402C6AF">
          <v:rect id="Horizontal Line 13" o:spid="_x0000_s1026" alt="" style="width:523.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7FA67E" w14:textId="77777777" w:rsidR="00273695" w:rsidRPr="00273695" w:rsidRDefault="00273695" w:rsidP="00273695">
      <w:pPr>
        <w:spacing w:before="100" w:beforeAutospacing="1" w:after="100" w:afterAutospacing="1"/>
        <w:outlineLvl w:val="1"/>
        <w:rPr>
          <w:rFonts w:ascii="Calibri" w:hAnsi="Calibri" w:cs="Calibri"/>
          <w:b/>
          <w:bCs/>
          <w:sz w:val="36"/>
          <w:szCs w:val="36"/>
        </w:rPr>
      </w:pPr>
      <w:r w:rsidRPr="00273695">
        <w:rPr>
          <w:rFonts w:ascii="Calibri" w:hAnsi="Calibri" w:cs="Calibri"/>
          <w:b/>
          <w:bCs/>
          <w:sz w:val="36"/>
          <w:szCs w:val="36"/>
        </w:rPr>
        <w:t>NOTES FOR YOUR TEAM'S FILTERING PROCESS</w:t>
      </w:r>
    </w:p>
    <w:p w14:paraId="4F22F05C" w14:textId="77777777" w:rsidR="00273695" w:rsidRPr="00273695" w:rsidRDefault="00273695" w:rsidP="00273695">
      <w:pPr>
        <w:numPr>
          <w:ilvl w:val="0"/>
          <w:numId w:val="6"/>
        </w:numPr>
        <w:spacing w:before="100" w:beforeAutospacing="1" w:after="100" w:afterAutospacing="1"/>
        <w:rPr>
          <w:rFonts w:ascii="Calibri" w:hAnsi="Calibri" w:cs="Calibri"/>
        </w:rPr>
      </w:pPr>
      <w:r w:rsidRPr="00273695">
        <w:rPr>
          <w:rFonts w:ascii="Calibri" w:hAnsi="Calibri" w:cs="Calibri"/>
          <w:b/>
          <w:bCs/>
        </w:rPr>
        <w:t>Slide 2:</w:t>
      </w:r>
      <w:r w:rsidRPr="00273695">
        <w:rPr>
          <w:rFonts w:ascii="Calibri" w:hAnsi="Calibri" w:cs="Calibri"/>
        </w:rPr>
        <w:t xml:space="preserve"> the "What Problem Does It Solve" quadrant is the one genuinely new addition — it was missing before and the sample deck treats it as essential, so keep it even if you trim other sections.</w:t>
      </w:r>
    </w:p>
    <w:p w14:paraId="0A6BE94B" w14:textId="77777777" w:rsidR="00273695" w:rsidRPr="00273695" w:rsidRDefault="00273695" w:rsidP="00273695">
      <w:pPr>
        <w:numPr>
          <w:ilvl w:val="0"/>
          <w:numId w:val="6"/>
        </w:numPr>
        <w:spacing w:before="100" w:beforeAutospacing="1" w:after="100" w:afterAutospacing="1"/>
        <w:rPr>
          <w:rFonts w:ascii="Calibri" w:hAnsi="Calibri" w:cs="Calibri"/>
        </w:rPr>
      </w:pPr>
      <w:r w:rsidRPr="00273695">
        <w:rPr>
          <w:rFonts w:ascii="Calibri" w:hAnsi="Calibri" w:cs="Calibri"/>
          <w:b/>
          <w:bCs/>
        </w:rPr>
        <w:t>Slide 4 &amp; 5:</w:t>
      </w:r>
      <w:r w:rsidRPr="00273695">
        <w:rPr>
          <w:rFonts w:ascii="Calibri" w:hAnsi="Calibri" w:cs="Calibri"/>
        </w:rPr>
        <w:t xml:space="preserve"> these are intentionally over-supplied. A typical slide can hold about 4 boxes per circle (8 total) comfortably — pick the strongest 4+4 for the </w:t>
      </w:r>
      <w:r w:rsidRPr="00273695">
        <w:rPr>
          <w:rFonts w:ascii="Calibri" w:hAnsi="Calibri" w:cs="Calibri"/>
          <w:i/>
          <w:iCs/>
        </w:rPr>
        <w:t>main</w:t>
      </w:r>
      <w:r w:rsidRPr="00273695">
        <w:rPr>
          <w:rFonts w:ascii="Calibri" w:hAnsi="Calibri" w:cs="Calibri"/>
        </w:rPr>
        <w:t xml:space="preserve"> slide, and consider putting the "Risk Mitigation Matrix" and/or "Stakeholder-Segmented Benefits" on a </w:t>
      </w:r>
      <w:r w:rsidRPr="00273695">
        <w:rPr>
          <w:rFonts w:ascii="Calibri" w:hAnsi="Calibri" w:cs="Calibri"/>
          <w:i/>
          <w:iCs/>
        </w:rPr>
        <w:t>follow-up/backup slide</w:t>
      </w:r>
      <w:r w:rsidRPr="00273695">
        <w:rPr>
          <w:rFonts w:ascii="Calibri" w:hAnsi="Calibri" w:cs="Calibri"/>
        </w:rPr>
        <w:t xml:space="preserve"> for Q&amp;A, since both are strong differentiators but may not fit the primary layout.</w:t>
      </w:r>
    </w:p>
    <w:p w14:paraId="68E19CFD" w14:textId="77777777" w:rsidR="00273695" w:rsidRPr="00273695" w:rsidRDefault="00273695" w:rsidP="00273695">
      <w:pPr>
        <w:numPr>
          <w:ilvl w:val="0"/>
          <w:numId w:val="6"/>
        </w:numPr>
        <w:spacing w:before="100" w:beforeAutospacing="1" w:after="100" w:afterAutospacing="1"/>
        <w:rPr>
          <w:rFonts w:ascii="Calibri" w:hAnsi="Calibri" w:cs="Calibri"/>
        </w:rPr>
      </w:pPr>
      <w:r w:rsidRPr="00273695">
        <w:rPr>
          <w:rFonts w:ascii="Calibri" w:hAnsi="Calibri" w:cs="Calibri"/>
          <w:b/>
          <w:bCs/>
        </w:rPr>
        <w:t>Market research placement:</w:t>
      </w:r>
      <w:r w:rsidRPr="00273695">
        <w:rPr>
          <w:rFonts w:ascii="Calibri" w:hAnsi="Calibri" w:cs="Calibri"/>
        </w:rPr>
        <w:t xml:space="preserve"> it's written into Slide 5 (Option K) and Slide 6 (new reference row) so you have two natural homes for it without needing a dedicated slide — use whichever fits your slide count and layout better, or both.</w:t>
      </w:r>
    </w:p>
    <w:p w14:paraId="32507F56" w14:textId="353AC78D" w:rsidR="005220D3" w:rsidRPr="0020406A" w:rsidRDefault="00273695" w:rsidP="005220D3">
      <w:pPr>
        <w:numPr>
          <w:ilvl w:val="0"/>
          <w:numId w:val="6"/>
        </w:numPr>
        <w:spacing w:before="100" w:beforeAutospacing="1" w:after="100" w:afterAutospacing="1"/>
        <w:rPr>
          <w:rFonts w:ascii="Calibri" w:hAnsi="Calibri" w:cs="Calibri"/>
          <w:color w:val="000000" w:themeColor="text1"/>
          <w:sz w:val="18"/>
          <w:szCs w:val="18"/>
          <w:lang w:val="en-US"/>
        </w:rPr>
      </w:pPr>
      <w:r w:rsidRPr="00273695">
        <w:rPr>
          <w:rFonts w:ascii="Calibri" w:hAnsi="Calibri" w:cs="Calibri"/>
          <w:b/>
          <w:bCs/>
        </w:rPr>
        <w:t>Safety/environmental framing (Slide 5, Options B &amp; C):</w:t>
      </w:r>
      <w:r w:rsidRPr="00273695">
        <w:rPr>
          <w:rFonts w:ascii="Calibri" w:hAnsi="Calibri" w:cs="Calibri"/>
        </w:rPr>
        <w:t xml:space="preserve"> these are your most emotionally resonant and most differentiated points — almost no competing team solving this exact problem will bring in real, specific regional stakes like this. Handle the Baghjan reference carefully in wording (illustrative of the risk category, not a direct causal claim) but don't drop it — it's a strong, true, and rare point </w:t>
      </w:r>
      <w:r w:rsidRPr="001F6AD7">
        <w:rPr>
          <w:rFonts w:ascii="Calibri" w:hAnsi="Calibri" w:cs="Calibri"/>
          <w:color w:val="000000" w:themeColor="text1"/>
        </w:rPr>
        <w:t>of specificity.</w:t>
      </w:r>
    </w:p>
    <w:p w14:paraId="0E4F122F" w14:textId="6BFAAEE7" w:rsidR="00224253" w:rsidRPr="0020406A" w:rsidRDefault="00224253" w:rsidP="001F6AD7">
      <w:pPr>
        <w:rPr>
          <w:rFonts w:ascii="Calibri" w:hAnsi="Calibri" w:cs="Calibri"/>
          <w:color w:val="000000" w:themeColor="text1"/>
          <w:sz w:val="18"/>
          <w:szCs w:val="18"/>
          <w:lang w:val="en-US"/>
        </w:rPr>
      </w:pPr>
    </w:p>
    <w:sectPr w:rsidR="00224253" w:rsidRPr="0020406A" w:rsidSect="00273695">
      <w:pgSz w:w="11906" w:h="16838"/>
      <w:pgMar w:top="720" w:right="720" w:bottom="720" w:left="720" w:header="142"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31BCA9" w14:textId="77777777" w:rsidR="00F30DF6" w:rsidRDefault="00F30DF6" w:rsidP="00273695">
      <w:r>
        <w:separator/>
      </w:r>
    </w:p>
  </w:endnote>
  <w:endnote w:type="continuationSeparator" w:id="0">
    <w:p w14:paraId="3AE72601" w14:textId="77777777" w:rsidR="00F30DF6" w:rsidRDefault="00F30DF6" w:rsidP="00273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613604" w14:textId="77777777" w:rsidR="00F30DF6" w:rsidRDefault="00F30DF6" w:rsidP="00273695">
      <w:r>
        <w:separator/>
      </w:r>
    </w:p>
  </w:footnote>
  <w:footnote w:type="continuationSeparator" w:id="0">
    <w:p w14:paraId="3F9D6EAC" w14:textId="77777777" w:rsidR="00F30DF6" w:rsidRDefault="00F30DF6" w:rsidP="00273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10934"/>
    <w:multiLevelType w:val="multilevel"/>
    <w:tmpl w:val="975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445F1"/>
    <w:multiLevelType w:val="multilevel"/>
    <w:tmpl w:val="F82C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D67EC"/>
    <w:multiLevelType w:val="multilevel"/>
    <w:tmpl w:val="1D62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B2967"/>
    <w:multiLevelType w:val="multilevel"/>
    <w:tmpl w:val="0652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E2369"/>
    <w:multiLevelType w:val="multilevel"/>
    <w:tmpl w:val="706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B0762"/>
    <w:multiLevelType w:val="multilevel"/>
    <w:tmpl w:val="B46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47CC1"/>
    <w:multiLevelType w:val="multilevel"/>
    <w:tmpl w:val="A7AA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80451"/>
    <w:multiLevelType w:val="multilevel"/>
    <w:tmpl w:val="A9B0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A4C2F"/>
    <w:multiLevelType w:val="multilevel"/>
    <w:tmpl w:val="EE1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12849"/>
    <w:multiLevelType w:val="multilevel"/>
    <w:tmpl w:val="880A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CC0E1D"/>
    <w:multiLevelType w:val="multilevel"/>
    <w:tmpl w:val="3C1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020A3"/>
    <w:multiLevelType w:val="multilevel"/>
    <w:tmpl w:val="880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27A6D"/>
    <w:multiLevelType w:val="multilevel"/>
    <w:tmpl w:val="F8F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31CB6"/>
    <w:multiLevelType w:val="multilevel"/>
    <w:tmpl w:val="6FB6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B38C1"/>
    <w:multiLevelType w:val="multilevel"/>
    <w:tmpl w:val="284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E4EB0"/>
    <w:multiLevelType w:val="multilevel"/>
    <w:tmpl w:val="FC68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B68FA"/>
    <w:multiLevelType w:val="multilevel"/>
    <w:tmpl w:val="F6A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F2345"/>
    <w:multiLevelType w:val="multilevel"/>
    <w:tmpl w:val="6FB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6374D"/>
    <w:multiLevelType w:val="multilevel"/>
    <w:tmpl w:val="6626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D61833"/>
    <w:multiLevelType w:val="multilevel"/>
    <w:tmpl w:val="052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31EE9"/>
    <w:multiLevelType w:val="multilevel"/>
    <w:tmpl w:val="357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E019A"/>
    <w:multiLevelType w:val="multilevel"/>
    <w:tmpl w:val="3CA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75718"/>
    <w:multiLevelType w:val="multilevel"/>
    <w:tmpl w:val="0C8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D019D"/>
    <w:multiLevelType w:val="multilevel"/>
    <w:tmpl w:val="0FD0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C6D10"/>
    <w:multiLevelType w:val="multilevel"/>
    <w:tmpl w:val="7D50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30441"/>
    <w:multiLevelType w:val="multilevel"/>
    <w:tmpl w:val="DE64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4A666B"/>
    <w:multiLevelType w:val="multilevel"/>
    <w:tmpl w:val="AD3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46048">
    <w:abstractNumId w:val="16"/>
  </w:num>
  <w:num w:numId="2" w16cid:durableId="741103072">
    <w:abstractNumId w:val="23"/>
  </w:num>
  <w:num w:numId="3" w16cid:durableId="1737044375">
    <w:abstractNumId w:val="4"/>
  </w:num>
  <w:num w:numId="4" w16cid:durableId="518616803">
    <w:abstractNumId w:val="17"/>
  </w:num>
  <w:num w:numId="5" w16cid:durableId="2040618413">
    <w:abstractNumId w:val="7"/>
  </w:num>
  <w:num w:numId="6" w16cid:durableId="1778595059">
    <w:abstractNumId w:val="2"/>
  </w:num>
  <w:num w:numId="7" w16cid:durableId="1318804391">
    <w:abstractNumId w:val="11"/>
  </w:num>
  <w:num w:numId="8" w16cid:durableId="966547818">
    <w:abstractNumId w:val="5"/>
  </w:num>
  <w:num w:numId="9" w16cid:durableId="2126656970">
    <w:abstractNumId w:val="24"/>
  </w:num>
  <w:num w:numId="10" w16cid:durableId="1603412710">
    <w:abstractNumId w:val="3"/>
  </w:num>
  <w:num w:numId="11" w16cid:durableId="397825324">
    <w:abstractNumId w:val="1"/>
  </w:num>
  <w:num w:numId="12" w16cid:durableId="1942880937">
    <w:abstractNumId w:val="14"/>
  </w:num>
  <w:num w:numId="13" w16cid:durableId="2058891270">
    <w:abstractNumId w:val="19"/>
  </w:num>
  <w:num w:numId="14" w16cid:durableId="2027704457">
    <w:abstractNumId w:val="6"/>
  </w:num>
  <w:num w:numId="15" w16cid:durableId="75638072">
    <w:abstractNumId w:val="20"/>
  </w:num>
  <w:num w:numId="16" w16cid:durableId="963079620">
    <w:abstractNumId w:val="26"/>
  </w:num>
  <w:num w:numId="17" w16cid:durableId="587620548">
    <w:abstractNumId w:val="18"/>
  </w:num>
  <w:num w:numId="18" w16cid:durableId="1809779030">
    <w:abstractNumId w:val="0"/>
  </w:num>
  <w:num w:numId="19" w16cid:durableId="2133207414">
    <w:abstractNumId w:val="22"/>
  </w:num>
  <w:num w:numId="20" w16cid:durableId="1950116580">
    <w:abstractNumId w:val="15"/>
  </w:num>
  <w:num w:numId="21" w16cid:durableId="130099934">
    <w:abstractNumId w:val="25"/>
  </w:num>
  <w:num w:numId="22" w16cid:durableId="869100825">
    <w:abstractNumId w:val="9"/>
  </w:num>
  <w:num w:numId="23" w16cid:durableId="1601110180">
    <w:abstractNumId w:val="10"/>
  </w:num>
  <w:num w:numId="24" w16cid:durableId="1129593224">
    <w:abstractNumId w:val="8"/>
  </w:num>
  <w:num w:numId="25" w16cid:durableId="627008087">
    <w:abstractNumId w:val="13"/>
  </w:num>
  <w:num w:numId="26" w16cid:durableId="1433357692">
    <w:abstractNumId w:val="21"/>
  </w:num>
  <w:num w:numId="27" w16cid:durableId="1648440340">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695"/>
    <w:rsid w:val="00005802"/>
    <w:rsid w:val="000A25AE"/>
    <w:rsid w:val="000B7356"/>
    <w:rsid w:val="000F08A9"/>
    <w:rsid w:val="001F6AD7"/>
    <w:rsid w:val="0020406A"/>
    <w:rsid w:val="00224253"/>
    <w:rsid w:val="00253894"/>
    <w:rsid w:val="00273695"/>
    <w:rsid w:val="004672D6"/>
    <w:rsid w:val="00475D40"/>
    <w:rsid w:val="005220D3"/>
    <w:rsid w:val="006719F9"/>
    <w:rsid w:val="006E0E50"/>
    <w:rsid w:val="00793051"/>
    <w:rsid w:val="007B1F7D"/>
    <w:rsid w:val="008B4B94"/>
    <w:rsid w:val="0092188C"/>
    <w:rsid w:val="00965590"/>
    <w:rsid w:val="00DC2CEB"/>
    <w:rsid w:val="00E21C5D"/>
    <w:rsid w:val="00F30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D8AF217"/>
  <w15:chartTrackingRefBased/>
  <w15:docId w15:val="{D9935F14-B7CE-174A-98B3-D5E5007CD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69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73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6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6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6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6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3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273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695"/>
    <w:rPr>
      <w:rFonts w:eastAsiaTheme="majorEastAsia" w:cstheme="majorBidi"/>
      <w:color w:val="272727" w:themeColor="text1" w:themeTint="D8"/>
    </w:rPr>
  </w:style>
  <w:style w:type="paragraph" w:styleId="Title">
    <w:name w:val="Title"/>
    <w:basedOn w:val="Normal"/>
    <w:next w:val="Normal"/>
    <w:link w:val="TitleChar"/>
    <w:uiPriority w:val="10"/>
    <w:qFormat/>
    <w:rsid w:val="002736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695"/>
    <w:pPr>
      <w:spacing w:before="160"/>
      <w:jc w:val="center"/>
    </w:pPr>
    <w:rPr>
      <w:i/>
      <w:iCs/>
      <w:color w:val="404040" w:themeColor="text1" w:themeTint="BF"/>
    </w:rPr>
  </w:style>
  <w:style w:type="character" w:customStyle="1" w:styleId="QuoteChar">
    <w:name w:val="Quote Char"/>
    <w:basedOn w:val="DefaultParagraphFont"/>
    <w:link w:val="Quote"/>
    <w:uiPriority w:val="29"/>
    <w:rsid w:val="00273695"/>
    <w:rPr>
      <w:i/>
      <w:iCs/>
      <w:color w:val="404040" w:themeColor="text1" w:themeTint="BF"/>
    </w:rPr>
  </w:style>
  <w:style w:type="paragraph" w:styleId="ListParagraph">
    <w:name w:val="List Paragraph"/>
    <w:basedOn w:val="Normal"/>
    <w:uiPriority w:val="34"/>
    <w:qFormat/>
    <w:rsid w:val="00273695"/>
    <w:pPr>
      <w:ind w:left="720"/>
      <w:contextualSpacing/>
    </w:pPr>
  </w:style>
  <w:style w:type="character" w:styleId="IntenseEmphasis">
    <w:name w:val="Intense Emphasis"/>
    <w:basedOn w:val="DefaultParagraphFont"/>
    <w:uiPriority w:val="21"/>
    <w:qFormat/>
    <w:rsid w:val="00273695"/>
    <w:rPr>
      <w:i/>
      <w:iCs/>
      <w:color w:val="0F4761" w:themeColor="accent1" w:themeShade="BF"/>
    </w:rPr>
  </w:style>
  <w:style w:type="paragraph" w:styleId="IntenseQuote">
    <w:name w:val="Intense Quote"/>
    <w:basedOn w:val="Normal"/>
    <w:next w:val="Normal"/>
    <w:link w:val="IntenseQuoteChar"/>
    <w:uiPriority w:val="30"/>
    <w:qFormat/>
    <w:rsid w:val="00273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695"/>
    <w:rPr>
      <w:i/>
      <w:iCs/>
      <w:color w:val="0F4761" w:themeColor="accent1" w:themeShade="BF"/>
    </w:rPr>
  </w:style>
  <w:style w:type="character" w:styleId="IntenseReference">
    <w:name w:val="Intense Reference"/>
    <w:basedOn w:val="DefaultParagraphFont"/>
    <w:uiPriority w:val="32"/>
    <w:qFormat/>
    <w:rsid w:val="00273695"/>
    <w:rPr>
      <w:b/>
      <w:bCs/>
      <w:smallCaps/>
      <w:color w:val="0F4761" w:themeColor="accent1" w:themeShade="BF"/>
      <w:spacing w:val="5"/>
    </w:rPr>
  </w:style>
  <w:style w:type="paragraph" w:styleId="NormalWeb">
    <w:name w:val="Normal (Web)"/>
    <w:basedOn w:val="Normal"/>
    <w:uiPriority w:val="99"/>
    <w:unhideWhenUsed/>
    <w:rsid w:val="00273695"/>
    <w:pPr>
      <w:spacing w:before="100" w:beforeAutospacing="1" w:after="100" w:afterAutospacing="1"/>
    </w:pPr>
  </w:style>
  <w:style w:type="character" w:styleId="Emphasis">
    <w:name w:val="Emphasis"/>
    <w:basedOn w:val="DefaultParagraphFont"/>
    <w:uiPriority w:val="20"/>
    <w:qFormat/>
    <w:rsid w:val="00273695"/>
    <w:rPr>
      <w:i/>
      <w:iCs/>
    </w:rPr>
  </w:style>
  <w:style w:type="character" w:styleId="Strong">
    <w:name w:val="Strong"/>
    <w:basedOn w:val="DefaultParagraphFont"/>
    <w:uiPriority w:val="22"/>
    <w:qFormat/>
    <w:rsid w:val="00273695"/>
    <w:rPr>
      <w:b/>
      <w:bCs/>
    </w:rPr>
  </w:style>
  <w:style w:type="paragraph" w:styleId="Header">
    <w:name w:val="header"/>
    <w:basedOn w:val="Normal"/>
    <w:link w:val="HeaderChar"/>
    <w:uiPriority w:val="99"/>
    <w:unhideWhenUsed/>
    <w:rsid w:val="00273695"/>
    <w:pPr>
      <w:tabs>
        <w:tab w:val="center" w:pos="4513"/>
        <w:tab w:val="right" w:pos="9026"/>
      </w:tabs>
    </w:pPr>
  </w:style>
  <w:style w:type="character" w:customStyle="1" w:styleId="HeaderChar">
    <w:name w:val="Header Char"/>
    <w:basedOn w:val="DefaultParagraphFont"/>
    <w:link w:val="Header"/>
    <w:uiPriority w:val="99"/>
    <w:rsid w:val="00273695"/>
  </w:style>
  <w:style w:type="paragraph" w:styleId="Footer">
    <w:name w:val="footer"/>
    <w:basedOn w:val="Normal"/>
    <w:link w:val="FooterChar"/>
    <w:uiPriority w:val="99"/>
    <w:unhideWhenUsed/>
    <w:rsid w:val="00273695"/>
    <w:pPr>
      <w:tabs>
        <w:tab w:val="center" w:pos="4513"/>
        <w:tab w:val="right" w:pos="9026"/>
      </w:tabs>
    </w:pPr>
  </w:style>
  <w:style w:type="character" w:customStyle="1" w:styleId="FooterChar">
    <w:name w:val="Footer Char"/>
    <w:basedOn w:val="DefaultParagraphFont"/>
    <w:link w:val="Footer"/>
    <w:uiPriority w:val="99"/>
    <w:rsid w:val="00273695"/>
  </w:style>
  <w:style w:type="character" w:styleId="HTMLCode">
    <w:name w:val="HTML Code"/>
    <w:basedOn w:val="DefaultParagraphFont"/>
    <w:uiPriority w:val="99"/>
    <w:semiHidden/>
    <w:unhideWhenUsed/>
    <w:rsid w:val="002736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73695"/>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A8D6A-EFB2-4A4E-8313-AC11DC379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7950</Words>
  <Characters>45315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Chaurasia INT</dc:creator>
  <cp:keywords/>
  <dc:description/>
  <cp:lastModifiedBy>Krishna Chaurasia INT</cp:lastModifiedBy>
  <cp:revision>20</cp:revision>
  <dcterms:created xsi:type="dcterms:W3CDTF">2026-09-13T13:40:00Z</dcterms:created>
  <dcterms:modified xsi:type="dcterms:W3CDTF">2026-09-14T17:46:00Z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2026-09-13T13:53:06Z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84a78f13-1d23-4fb2-888f-1803501a5dd1</vt:lpwstr>
  </property>
  <property fmtid="{D5CDD505-2E9C-101B-9397-08002B2CF9AE}" pid="7" name="MSIP_Label_defa4170-0d19-0005-0004-bc88714345d2_ActionId">
    <vt:lpwstr>915a3937-10f8-431d-bbaf-181f194def28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