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in the scope of sim-to-real transfer, domain randomization and domain adaptation, neural scene reconstruction from real data (such as 3D Gaussian Splatting) and deep learning for robot navigation and manipulation.</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Extending theoretical knowledge, including machine learning theory and learning under distribution shift, necessary for further work on the PhD thesis.</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Initial pilot experiments on reconstructing real scenes with 3D Gaussian Splatting and importing them into a navigation simulator, with regard to the gaps identified during the literature review.</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the Doctoral School courses.</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Preparation of the research environment for robot navigation, including real scene captures, 3D reconstruction, a navigation simulator built from the reconstructions, a dataset-based proxy measuring the reconstruction-fidelity gap, and computing resources.</w:t>
            </w:r>
          </w:p>
          <w:p>
            <w:pPr>
              <w:spacing w:after="40" w:line="240" w:lineRule="auto"/>
              <w:jc w:val="left"/>
            </w:pPr>
            <w:r>
              <w:rPr>
                <w:rFonts w:cstheme="minorHAnsi"/>
                <w:lang w:val="en-US"/>
              </w:rPr>
              <w:t xml:space="preserve">3. Conducting research on which reconstruction errors of a digital twin, varying across a scene, determine the generalization of navigation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harmful reconstruction errors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(regarding the reconstruction errors that determine generalization), planned for submission to NeurIPS 2027 (200 points).</w:t>
            </w:r>
          </w:p>
          <w:p>
            <w:pPr>
              <w:spacing w:after="40" w:line="240" w:lineRule="auto"/>
              <w:jc w:val="left"/>
            </w:pPr>
            <w:r>
              <w:rPr>
                <w:rFonts w:cstheme="minorHAnsi"/>
                <w:lang w:val="en-US"/>
              </w:rPr>
              <w:t xml:space="preserve">4. Starting the research on localizing the sim-to-real gap inside the model,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localizing the sim-to-real gap inside the model and on aligning representations at that stage.</w:t>
            </w:r>
          </w:p>
          <w:p>
            <w:pPr>
              <w:spacing w:after="40" w:line="240" w:lineRule="auto"/>
              <w:jc w:val="left"/>
            </w:pPr>
            <w:r>
              <w:rPr>
                <w:rFonts w:cstheme="minorHAnsi"/>
                <w:lang w:val="en-US"/>
              </w:rPr>
              <w:t xml:space="preserve">3. Writing a scientific article for a conference from the ministerial list (regarding the localization of the sim-to-real gap inside deep models), planned for submission to ICML 2028 or CVPR 2028 (200 points).</w:t>
            </w:r>
          </w:p>
          <w:p>
            <w:pPr>
              <w:spacing w:after="40" w:line="240" w:lineRule="auto"/>
              <w:jc w:val="left"/>
            </w:pPr>
            <w:r>
              <w:rPr>
                <w:rFonts w:cstheme="minorHAnsi"/>
                <w:lang w:val="en-US"/>
              </w:rPr>
              <w:t xml:space="preserve">4. Carrying out research on selecting real data under a limited budget to correct both the digital twin and the model.</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selection of real data, and research on predicting whether the improvements transfer to unseen environments, confirmed on robotic manipulation in a controlled sim-to-sim setting with hidden physical parameters.</w:t>
            </w:r>
          </w:p>
          <w:p>
            <w:pPr>
              <w:spacing w:after="40" w:line="240" w:lineRule="auto"/>
              <w:jc w:val="left"/>
            </w:pPr>
            <w:r>
              <w:rPr>
                <w:rFonts w:cstheme="minorHAnsi"/>
                <w:lang w:val="en-US"/>
              </w:rPr>
              <w:t xml:space="preserve">3. Writing a scientific article for a conference from the ministerial list (regarding the selection of real data under a limited budget and the prediction of transfer), planned for submission to NeurIPS 2028 (200 points).</w:t>
            </w:r>
          </w:p>
          <w:p>
            <w:pPr>
              <w:spacing w:after="40" w:line="240" w:lineRule="auto"/>
              <w:jc w:val="left"/>
            </w:pPr>
            <w:r>
              <w:rPr>
                <w:rFonts w:cstheme="minorHAnsi"/>
                <w:lang w:val="en-US"/>
              </w:rPr>
              <w:t xml:space="preserve">4. Validation of the developed navigation methods on a real mobile robot, in cooperation with a robotics laboratory of Wrocław University of Science and Technology.</w:t>
            </w:r>
          </w:p>
          <w:p>
            <w:pPr>
              <w:spacing w:after="40" w:line="240" w:lineRule="auto"/>
              <w:jc w:val="left"/>
            </w:pPr>
            <w:r>
              <w:rPr>
                <w:rFonts w:cstheme="minorHAnsi"/>
                <w:lang w:val="en-US"/>
              </w:rPr>
              <w:t xml:space="preserve">5. Research internship at a foreign research group working on robot learning and sim-to-real transfer.</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validation of the developed navigation methods on a real mobile robot.</w:t>
            </w:r>
          </w:p>
          <w:p>
            <w:pPr>
              <w:spacing w:after="40" w:line="240" w:lineRule="auto"/>
              <w:jc w:val="left"/>
            </w:pPr>
            <w:r>
              <w:rPr>
                <w:rFonts w:cstheme="minorHAnsi"/>
                <w:lang w:val="en-US"/>
              </w:rPr>
              <w:t xml:space="preserve">3. Writing a journal article from the ministerial list summarizing the results on the generalization of the developed methods across environments, tasks and the real robot.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sketch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1. Completing and submitting the journal article.</w:t>
            </w:r>
          </w:p>
          <w:p>
            <w:pPr>
              <w:spacing w:after="40" w:line="240" w:lineRule="auto"/>
              <w:jc w:val="left"/>
            </w:pPr>
            <w:r>
              <w:rPr>
                <w:rFonts w:cstheme="minorHAnsi"/>
                <w:lang w:val="en-US"/>
              </w:rPr>
              <w:t xml:space="preserve">2. Editing the doctoral dissertation, preparation of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brought remarkable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Therefore, such models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This forms a real-to-sim-to-real loop, in which real data are turned into a simulation, a model is trained there, and the model is transferred back to reality.</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called the sim-to-real gap, is caused by the shift between the distributions of simulated and real data, which makes it a particular case of learning under distribution shift and a central obstacle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serve to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sim-to-real gap arises. The research shall focus on understanding which reconstruction errors of a digital twin are harmful to generalization, on localizing where inside a model the gap arises and reducing it there, on choosing the small amount of real data that corrects both the digital twin and the model most efficiently, and on verifying whether the obtained improvements carry over to unseen environments and to another physical task, and which properties of the shift explain when they do. Robot navigation shall serve as the main task, and robotic manipulation, in a controlled simulated setting, as a confirmation test. Most experiments shall use public recordings of real scenes, in which a second, independent capture measures the reconstruction-fidelity gap, while a real robot shall provide the main evidence for differences in actuation and sensors. Beyond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have potential applications in service, logistics and assistive robotics, where a robot could be trained in a digital copy of a new warehouse, hospital or home and operate there reliably after little real-world adaptation. More broadly, they concern any domain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Yet performance in simulation can poorly predict real-world performance unless the simulator is carefully tuned [1]. The sim-to-real gap is an instance of learning under distribution shift: domain adaptation theory bounds the error of a model on the target domain by its error on the source domain, the discrepancy between the two distributions, and the joint error of the best single model on both domains [2]. Used as motivation only, the bound suggests three levers: a training distribution that covers reality, a model insensitive to the remaining discrepancy, and, since invariance cannot reduce the joint error, a simulation corrected towards reality.</w:t>
      </w:r>
    </w:p>
    <w:p>
      <w:pPr>
        <w:spacing w:after="120" w:line="240" w:lineRule="auto"/>
        <w:jc w:val="both"/>
      </w:pPr>
      <w:r>
        <w:rPr>
          <w:rFonts w:cstheme="minorHAnsi"/>
          <w:lang w:val="en-US"/>
        </w:rPr>
        <w:t xml:space="preserve">The first lever is exploited by domain randomization, which varies simulator parameters such as textures so that reality appears as one more variation [3]. Since overly wide randomization leads to conservative behaviour, later works shape its distribution: they fit it to a few real rollouts [4] or maximize its entropy while preserving task success [5]. Yet they act on a few global parameters of a synthetic simulator, not on errors that vary across a scene.</w:t>
      </w:r>
    </w:p>
    <w:p>
      <w:pPr>
        <w:spacing w:after="120" w:line="240" w:lineRule="auto"/>
        <w:jc w:val="both"/>
      </w:pPr>
      <w:r>
        <w:rPr>
          <w:rFonts w:cstheme="minorHAnsi"/>
          <w:lang w:val="en-US"/>
        </w:rPr>
        <w:t xml:space="preserve">The second lever is invariance.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sim-and-real co-training aligns the two domains while keeping them distinguishable [9], so domain separability alone does not show where the gap harms the task. Moreover, invariance is usually enforced at a fixed location, the input or the final features.</w:t>
      </w:r>
    </w:p>
    <w:p>
      <w:pPr>
        <w:spacing w:after="120" w:line="240" w:lineRule="auto"/>
        <w:jc w:val="both"/>
      </w:pPr>
      <w:r>
        <w:rPr>
          <w:rFonts w:cstheme="minorHAnsi"/>
          <w:lang w:val="en-US"/>
        </w:rPr>
        <w:t xml:space="preserve">A recent development is building digital twins. 3D Gaussian Splatting [10] reconstructs photorealistic scenes from ordinary images, and twins have been used to train manipulation policies from a scan of the target scene [11] and navigation policies from a phone capture of a room [12]. In twins, uncertainty has so far been modelled mainly for physical parameters [13]. Which simulation factors matter has been studied mainly globally: a large real-world manipulation study compared randomization, photorealistic rendering and physics realism [14], and in robotic ultrasound, the fidelity of task-relevant feature changes predicted transfer better than single-frame realism [15]. It remains open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Manipulation encoders degrade under lighting and texture shifts [16]. Probing, i.e., reading out information from hidden states with simple classifiers, showed that action fine-tuning degrades the visual representations of robot policies [17], and the best layers to adapt depend on the type of shift [18]. However, the stage at which task information available in simulation stops being recoverable from real inputs has not been located in models trained in twins.</w:t>
      </w:r>
    </w:p>
    <w:p>
      <w:pPr>
        <w:spacing w:after="120" w:line="240" w:lineRule="auto"/>
        <w:jc w:val="both"/>
      </w:pPr>
      <w:r>
        <w:rPr>
          <w:rFonts w:cstheme="minorHAnsi"/>
          <w:lang w:val="en-US"/>
        </w:rPr>
        <w:t xml:space="preserve">The remaining gap is usually reduced with little real data. Co-training with a small real set yields large gains [19], and active system identification collects the real trajectories most informative about physics [20]. In vision, selecting images to label by domain discrepancy and uncertainty beats random selection [21]. The closest work uses a twin to find failure-prone configurations for real rollouts [22]. However, these methods correct either the model or the simulation; correcting both from the same selected data, guided by the twin's reconstruction uncertainty, has, to our knowledge,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However, it is rarely tested whether measurements taken before a method is applied predict, better than simple indicators such as the size of the gap, whether its benefit carries over to a new scene or task.</w:t>
      </w:r>
    </w:p>
    <w:p>
      <w:pPr>
        <w:spacing w:after="120" w:line="240" w:lineRule="auto"/>
        <w:jc w:val="both"/>
      </w:pPr>
      <w:r>
        <w:rPr>
          <w:rFonts w:cstheme="minorHAnsi"/>
          <w:lang w:val="en-US"/>
        </w:rPr>
        <w:t xml:space="preserve">These open problems motivate the research questions in Section 7.</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[13] Wang, M., et al. (2026). Phys2Real: Fusing VLM priors with interactive online adaptation for uncertainty-aware sim-to-real manipulation. ICRA.</w:t>
      </w:r>
    </w:p>
    <w:p>
      <w:pPr>
        <w:spacing w:after="0" w:line="240" w:lineRule="auto"/>
        <w:ind w:left="397" w:hanging="397"/>
        <w:jc w:val="left"/>
      </w:pPr>
      <w:r>
        <w:rPr>
          <w:rFonts w:cstheme="minorHAnsi"/>
          <w:lang w:val="en-US"/>
        </w:rPr>
        <w:t xml:space="preserve">[14]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[15]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[16] Burns, K., et al. (2024). What makes pre-trained visual representations successful for robust manipulation? CoRL.</w:t>
      </w:r>
    </w:p>
    <w:p>
      <w:pPr>
        <w:spacing w:after="0" w:line="240" w:lineRule="auto"/>
        <w:ind w:left="397" w:hanging="397"/>
        <w:jc w:val="left"/>
      </w:pPr>
      <w:r>
        <w:rPr>
          <w:rFonts w:cstheme="minorHAnsi"/>
          <w:lang w:val="en-US"/>
        </w:rPr>
        <w:t xml:space="preserve">[17] Kachaev, N., et al. (2026). Don't blind your VLA: Aligning visual representations for OOD generalization. AAMAS.</w:t>
      </w:r>
    </w:p>
    <w:p>
      <w:pPr>
        <w:spacing w:after="0" w:line="240" w:lineRule="auto"/>
        <w:ind w:left="397" w:hanging="397"/>
        <w:jc w:val="left"/>
      </w:pPr>
      <w:r>
        <w:rPr>
          <w:rFonts w:cstheme="minorHAnsi"/>
          <w:lang w:val="en-US"/>
        </w:rPr>
        <w:t xml:space="preserve">[18] Lee, Y., et al. (2023). Surgical fine-tuning improves adaptation to distribution shifts. ICLR.</w:t>
      </w:r>
    </w:p>
    <w:p>
      <w:pPr>
        <w:spacing w:after="0" w:line="240" w:lineRule="auto"/>
        <w:ind w:left="397" w:hanging="397"/>
        <w:jc w:val="left"/>
      </w:pPr>
      <w:r>
        <w:rPr>
          <w:rFonts w:cstheme="minorHAnsi"/>
          <w:lang w:val="en-US"/>
        </w:rPr>
        <w:t xml:space="preserve">[19] Maddukuri, A., et al. (2025). Sim-and-real co-training: A simple recipe for vision-based robotic manipulation. RSS.</w:t>
      </w:r>
    </w:p>
    <w:p>
      <w:pPr>
        <w:spacing w:after="0" w:line="240" w:lineRule="auto"/>
        <w:ind w:left="397" w:hanging="397"/>
        <w:jc w:val="left"/>
      </w:pPr>
      <w:r>
        <w:rPr>
          <w:rFonts w:cstheme="minorHAnsi"/>
          <w:lang w:val="en-US"/>
        </w:rPr>
        <w:t xml:space="preserve">[20] Memmel, M., et al. (2024). ASID: Active exploration for system identification in robotic manipulation. ICLR.</w:t>
      </w:r>
    </w:p>
    <w:p>
      <w:pPr>
        <w:spacing w:after="0" w:line="240" w:lineRule="auto"/>
        <w:ind w:left="397" w:hanging="397"/>
        <w:jc w:val="left"/>
      </w:pPr>
      <w:r>
        <w:rPr>
          <w:rFonts w:cstheme="minorHAnsi"/>
          <w:lang w:val="en-US"/>
        </w:rPr>
        <w:t xml:space="preserve">[21] Su, J.-C., et al. (2020). Active adversarial domain adaptation. WACV.</w:t>
      </w:r>
    </w:p>
    <w:p>
      <w:pPr>
        <w:spacing w:after="0" w:line="240" w:lineRule="auto"/>
        <w:ind w:left="397" w:hanging="397"/>
        <w:jc w:val="left"/>
      </w:pPr>
      <w:r>
        <w:rPr>
          <w:rFonts w:cstheme="minorHAnsi"/>
          <w:lang w:val="en-US"/>
        </w:rPr>
        <w:t xml:space="preserve">[22]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sim-to-real gap arise, and can aligning representations at that stage reduce it?</w:t>
      </w:r>
      <w:r>
        <w:rPr>
          <w:rFonts w:cstheme="minorHAnsi"/>
          <w:lang w:val="en-US"/>
        </w:rPr>
        <w:t xml:space="preserve"> Models trained in simulation can rely on features absent in reality, such as reconstruction artifacts. Simulated and real inputs remain distinguishable even in models that transfer well, so the gap should be localized by what the model loses about the task, not by whether the domains can be told apart. </w:t>
      </w:r>
      <w:r>
        <w:rPr>
          <w:rFonts w:cstheme="minorHAnsi"/>
          <w:i/>
          <w:lang w:val="en-US"/>
        </w:rPr>
        <w:t xml:space="preserve">Hypothesis:</w:t>
      </w:r>
      <w:r>
        <w:rPr>
          <w:rFonts w:cstheme="minorHAnsi"/>
          <w:lang w:val="en-US"/>
        </w:rPr>
        <w:t xml:space="preserve">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The research will use probing of hidden states to find this stage before intervening.</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However, the joint error term cannot be reduced by invariance, only by making the simulation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This disagreement can be estimated from the reconstruction uncertainty, the representation distance between simulated and real views, and the sensitivity of the predicted action. Such selection is expected to beat random and failure-driven selection. The research will compare selection rules at equal budgets, counting unlabelled real images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to another physical task, and which properties of the shift explain when they do?</w:t>
      </w:r>
      <w:r>
        <w:rPr>
          <w:rFonts w:cstheme="minorHAnsi"/>
          <w:lang w:val="en-US"/>
        </w:rPr>
        <w:t xml:space="preserve"> A valuable method should not be tied to a single scene or task. Therefore, the developed methods shall be applied with unchanged settings to many navigation scenes held out from training, and to robotic manipulation as a confirmation test in a controlled sim-to-sim setting with hidden physical parameters.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setting before a method is applied. These measurements predict whether the improvement transfers. They predict it better than simple indicators, such as the raw size of the gap or the image-level discrepancy. The research will test this prediction across held-out scenes and confirm it on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introduce several contributions to the development of the scientific discipline. The central scientific problem addressed is explaining and reducing the sim-to-real gap caused by the distribution shift between a digital twin and reality; poor generalization of models trained in simulation remains one of the main obstacles to applying machine learning in physical AI. The central claim of the dissertation is that this gap is concentrated in a small set of task-relevant discrepancies, which can be identified among the reconstruction errors of the digital twin, localized at the stage of the model where task information is lost, and reduced by correcting both the digital twin and the model from the same small set of real data. Addressing them there is expected to yield better generalization than uniform randomization, alignment at a fixed location of the model, or real data chosen at random or at the model's failures. Research questions 1-3 test the three parts of this claim, and question 4 tests whether it holds across environments and tasks; the methods derived from it are intended to be general, i.e., not tied to a particular robot, scene or task, and will be examined mainly on robot navigation, with robotic manipulation as a controlled confirmation test.</w:t>
      </w:r>
    </w:p>
    <w:p>
      <w:pPr>
        <w:spacing w:after="120" w:line="240" w:lineRule="auto"/>
        <w:jc w:val="both"/>
      </w:pPr>
      <w:r>
        <w:rPr>
          <w:rFonts w:cstheme="minorHAnsi"/>
          <w:lang w:val="en-US"/>
        </w:rPr>
        <w:t xml:space="preserve">Furthermore, the research is expected to deliver new methods and findings that do not exist at present: an attribution of the sim-to-real gap to reconstruction errors that vary across a scene, with a principle for randomizing each region of a digital twin according to its reconstruction uncertainty and task relevance; a method for localizing the gap as the first stage of a deep model at which task information is lost on real inputs, and for aligning representations only there; a rule for selecting real data that corrects the digital twin and the model at the same time; and an empirical account of whether properties of the shift, measured before a method is applied, predict better than simple indicators when these improvements carry over across environments and tasks. Such knowledge could complement the currently dominant randomization heuristics with more principled and interpretable approaches, and could introduce new perspectives for the design of simulations and of training procedures.</w:t>
      </w:r>
    </w:p>
    <w:p>
      <w:pPr>
        <w:spacing w:after="120" w:line="240" w:lineRule="auto"/>
        <w:jc w:val="both"/>
      </w:pPr>
      <w:r>
        <w:rPr>
          <w:rFonts w:cstheme="minorHAnsi"/>
          <w:lang w:val="en-US"/>
        </w:rPr>
        <w:t xml:space="preserve">Since transfer from simulation to reality is an instance of learning under distribution shift, the findings are also expected to be relevant to machine learning in general. The analysis of which errors in the training distribution are harmful concerns domain adaptation; the localization of the sim-to-real gap inside a model extends probing methods developed for language and vision models and contributes to representation learning; and the selection of informative data under a budget concerns active learning and the adaptation of pretrained foundation models to new domains from a few examples.</w:t>
      </w:r>
    </w:p>
    <w:p>
      <w:pPr>
        <w:spacing w:after="0" w:line="240" w:lineRule="auto"/>
        <w:jc w:val="both"/>
      </w:pPr>
      <w:r>
        <w:rPr>
          <w:rFonts w:cstheme="minorHAnsi"/>
          <w:lang w:val="en-US"/>
        </w:rPr>
        <w:t xml:space="preserve">Finally, the developed methods could reduce the amount of real data, and thus the cost, needed to deploy learning-based robots in new environments. The source code and the experimental setups are planned to be released, which could facilitate further research in the field and attract other researchers. Apart from purely scientific results, the methods could be used in real-world applications such as service, logistics and inspection robotics, as well as in other domains where models are trained in simulation, e.g., autonomous driving.</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research will be mainly empirical. Domain adaptation theory, which relates the error of a model in reality to its error in simulation, the discrepancy between the two distributions and a joint error term, will serve as motivation, and the properties of the proposed methods will be analysed theoretically whenever possible. Numbers in brackets refer to the references listed in Section 6.</w:t>
      </w:r>
    </w:p>
    <w:p>
      <w:pPr>
        <w:spacing w:after="120" w:line="240" w:lineRule="auto"/>
        <w:jc w:val="both"/>
      </w:pPr>
      <w:r>
        <w:rPr>
          <w:rFonts w:cstheme="minorHAnsi"/>
          <w:lang w:val="en-US"/>
        </w:rPr>
        <w:t xml:space="preserve">Digital twins will be built from real captures of indoor scenes, using structure-from-motion for camera poses and neural scene reconstruction, such as 3D Gaussian Splatting, for appearance and geometry, and then coupled with a navigation simulator, e.g., Habitat, with geometry for collisions and appearance rendered from the reconstruction. Reconstruction uncertainty will be estimated per region, e.g., from view coverage and the disagreement of an ensemble of reconstructions. Models for goal-directed indoor navigation (e.g., point-goal or image-goal) will be trained with reinforcement and imitation learning, starting from pretrained models when possible.</w:t>
      </w:r>
    </w:p>
    <w:p>
      <w:pPr>
        <w:spacing w:after="120" w:line="240" w:lineRule="auto"/>
        <w:jc w:val="both"/>
      </w:pPr>
      <w:r>
        <w:rPr>
          <w:rFonts w:cstheme="minorHAnsi"/>
          <w:lang w:val="en-US"/>
        </w:rPr>
        <w:t xml:space="preserve">Experiments will be conducted mainly on public datasets of real scenes, such as ScanNet++ and MuSHRoom, which contain separate captures of the same scenes made with different devices. This allows building the digital twin from one capture and using another, independent capture as a reference. Real frames of the independent capture will serve for open-loop evaluation, in which the model does not act, measuring the discrepancy between representations of paired simulated and real views, the agreement of predicted actions, and probing accuracy. A reference simulation built from the independent, higher-fidelity capture (e.g., the laser scan and DSLR images in ScanNet++) will serve for closed-loop evaluation, in which the model's actions determine what it observes next. The difference between the two simulations measures the reconstruction-fidelity gap on many scenes without a robot, but not differences in actuation and sensors.</w:t>
      </w:r>
    </w:p>
    <w:p>
      <w:pPr>
        <w:spacing w:after="120" w:line="240" w:lineRule="auto"/>
        <w:jc w:val="both"/>
      </w:pPr>
      <w:r>
        <w:rPr>
          <w:rFonts w:cstheme="minorHAnsi"/>
          <w:lang w:val="en-US"/>
        </w:rPr>
        <w:t xml:space="preserve">For the first question, variants of the digital twin will be built in which one component of a region, i.e., its appearance, geometry or lighting, is replaced by its counterpart from the reference reconstruction, and the resulting change of the gap will attribute it to types of reconstruction error. The harm of each error will be related to two predictors: its magnitude in the image or geometry, and the change it induces in the representation of a fixed reference model, e.g., a pretrained visual encoder, on held-out paired views. If harm follows error magnitude, this attribution will be reported as a result, and the third question will then use only reconstruction uncertainty and action sensitivity. As a separate claim, the training distribution will be shaped by randomizing appearance (colour and opacity of Gaussians), geometry and, where the representation allows relighting, lighting per region in proportion to its reconstruction uncertainty and task relevance, the latter estimated from the sensitivity of the model's actions to the region, e.g., by occluding it. This will be compared with uniform randomization, randomization fitted to real rollouts [4] and entropy-maximizing randomization [5].</w:t>
      </w:r>
    </w:p>
    <w:p>
      <w:pPr>
        <w:spacing w:after="120" w:line="240" w:lineRule="auto"/>
        <w:jc w:val="both"/>
      </w:pPr>
      <w:r>
        <w:rPr>
          <w:rFonts w:cstheme="minorHAnsi"/>
          <w:lang w:val="en-US"/>
        </w:rPr>
        <w:t xml:space="preserve">For the second question, probes, i.e., simple classifiers, will be trained at each layer on simulated hidden states to decode task variables, such as the direction and distance to the goal or the presence of obstacles, and tested on the paired real views. The first stage at which task information decodable in simulation can no longer be decoded from real inputs will localize the gap. Unlike the separability of the two domains, which can remain high even in models that transfer well [9], this criterion refers to the task. An alignment loss (e.g., distribution-discrepancy or contrastive) will then be applied at that stage to a few paired simulated and real views at the same camera poses, and compared with alignment at the input, domain-adversarial alignment of the final features [6], alignment at all layers and full fine-tuning.</w:t>
      </w:r>
    </w:p>
    <w:p>
      <w:pPr>
        <w:spacing w:after="120" w:line="240" w:lineRule="auto"/>
        <w:jc w:val="both"/>
      </w:pPr>
      <w:r>
        <w:rPr>
          <w:rFonts w:cstheme="minorHAnsi"/>
          <w:lang w:val="en-US"/>
        </w:rPr>
        <w:t xml:space="preserve">For the third question, the budget will count all real data: unlabelled real images as well as interaction data, such as robot trials or demonstrations. On the dataset-based proxy, a unit of interaction data will be an expert or policy episode executed in the reference simulation, paired with the real frames at the visited poses; on the physical robot, a real trial or demonstration. Real data will be selected by scores combining reconstruction uncertainty, the distance between representations of simulated and real views, and the sensitivity of the predicted action. The same selected data will be used to refine the digital twin, by re-optimizing the reconstruction in uncertain regions, and to adapt the model, by fine-tuning or co-training on simulated and real data. This will be compared with random and failure-driven selection [22], with the same score without task relevance, and with correcting only the model or only the digital twin, at equal real-data budgets. Data used for final evaluation will be disjoint from those available for selection.</w:t>
      </w:r>
    </w:p>
    <w:p>
      <w:pPr>
        <w:spacing w:after="120" w:line="240" w:lineRule="auto"/>
        <w:jc w:val="both"/>
      </w:pPr>
      <w:r>
        <w:rPr>
          <w:rFonts w:cstheme="minorHAnsi"/>
          <w:lang w:val="en-US"/>
        </w:rPr>
        <w:t xml:space="preserve">For the fourth question, the methods will be applied with unchanged settings to many held-out navigation scenes. The attribution and localization measured in each scene before a method is applied will be related to the size of the improvement there, e.g., by rank correlation, and compared with simple predictors: the raw size of the gap and the image-level discrepancy between simulated and real views. The relation will then be confirmed on tabletop manipulation in a controlled sim-to-sim setting, e.g., in ManiSkill3, in which a simulation whose visual and physical parameters are hidden from the learner stands in for reality.</w:t>
      </w:r>
    </w:p>
    <w:p>
      <w:pPr>
        <w:spacing w:after="120" w:line="240" w:lineRule="auto"/>
        <w:jc w:val="both"/>
      </w:pPr>
      <w:r>
        <w:rPr>
          <w:rFonts w:cstheme="minorHAnsi"/>
          <w:lang w:val="en-US"/>
        </w:rPr>
        <w:t xml:space="preserve">The quantitative evaluation will rely on standard metrics for embodied tasks, such as success rate and success weighted by path length (SPL), and on the sim-to-real gap, defined at two levels: on the dataset-based proxy, as the difference between the performance in the digital twin and in the reference simulation, complemented by the open-loop measures on real frames; and on the physical robot, as the difference between the closed-loop performance in simulation and in reality. The agreement between the two levels will be reported as a result, e.g., by the rank correlation of model scores. All methods will be compared with baselines under equal training effort and an equal amount of real data. Statistical methods will be leveraged to provide reliable outcomes, including repeated experiments with different random seeds and scenes, confidence intervals, and statistical tests for comparisons with baseline methods. According to accepted standards, the data used for training, model selection and final evaluation will be kept separate.</w:t>
      </w:r>
    </w:p>
    <w:p>
      <w:pPr>
        <w:spacing w:after="120" w:line="240" w:lineRule="auto"/>
        <w:jc w:val="both"/>
      </w:pPr>
      <w:r>
        <w:rPr>
          <w:rFonts w:cstheme="minorHAnsi"/>
          <w:lang w:val="en-US"/>
        </w:rPr>
        <w:t xml:space="preserve">The navigation results will be validated in one block in semesters 6-7 on a wheeled mobile robot with an RGB-D camera, in cooperation with a robotics laboratory of the university. The validation will measure closed-loop success rate and SPL in reality and provide the main evidence for differences in actuation and sensors. Should robot access be limited, the conclusions will rest on the dataset-based proxy and a reduced set of real trials.</w:t>
      </w:r>
    </w:p>
    <w:p>
      <w:pPr>
        <w:spacing w:after="120" w:line="240" w:lineRule="auto"/>
        <w:jc w:val="both"/>
      </w:pPr>
      <w:r>
        <w:rPr>
          <w:rFonts w:cstheme="minorHAnsi"/>
          <w:lang w:val="en-US"/>
        </w:rPr>
        <w:t xml:space="preserve">Experiments will be implemented mainly in Python with the PyTorch deep learning library. Code, datasets, configurations and results will be versioned with Git and experiment tracking tools for reproducibility. Scene reconstruction and policy training will run on GPU clusters of the Department and on the Polish computing infrastructure (WCSS and PLGrid). Code and data will be made publicly available whenever possible, following open science standards and respecting the licences of the datasets used.</w:t>
      </w:r>
    </w:p>
    <w:p>
      <w:pPr>
        <w:spacing w:after="0" w:line="240" w:lineRule="auto"/>
        <w:jc w:val="both"/>
      </w:pPr>
      <w:r>
        <w:rPr>
          <w:rFonts w:cstheme="minorHAnsi"/>
          <w:lang w:val="en-US"/>
        </w:rPr>
        <w:t xml:space="preserve">The findings will be published at leading international machine learning, computer vision and robotics conferences, such as NeurIPS, ICML, ICLR, CVPR and RSS, and in journals from the ministerial list. Results will also be presented at smaller conferences and workshops, such as MLinPL, and at summer schools.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wychodzi poza ekrany komputerów i trafia do systemów fizycznych, takich jak roboty poruszające się po budynkach lub przenoszące przedmioty. Modele uczenia głębokiego sterujące takimi robotami potrzebują ogromnej liczby przykładów, których zebranie w prawdziwym świecie jest powolne, kosztowne, a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Pozostaje to jedną z głównych przeszkód na drodze do szerszego zastosowania fizycznej sztucznej inteligencji. Celem rozprawy jest poprawa zdolności generalizacji modeli uczenia głębokiego trenowanych w cyfrowych bliźniakach, czyli umiejętności poprawnego działania w warunkach innych niż te, w których je trenowano, a zwłaszcza w rzeczywistości. Badania w pierwszej kolejności pozwolą ustalić, które różnice między symulacją a rzeczywistością faktycznie szkodzą modelowi i na którym etapie przetwarzania w modelu przekształcają się one w błędy. Na tej podstawie zostaną opracowane metody, które nauczą model pomijać nieistotne różnice i więcej ćwiczyć tam, gdzie cyfrowy bliźniak jest najmniej dokładny, a także metody wyboru nielicznych rzeczywistych przykładów, które najlepiej poprawiają zarówno model, jak i cyfrowego bliźniaka. Metody zostaną sprawdzone przede wszystkim w zadaniu nawigacji robotów, w środowiskach, które nie były wykorzystywane podczas uczenia, i zweryfikowane na prawdziwym robocie mobilnym. Zostaną też przetestowane w symulowanym zadaniu manipulacji robotycznej. Oczekuje się, że rozprawa przyniesie lepsze zrozumienie przyczyn, dla których modele uczone w symulacji zawodzą w rzeczywistości, a także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moving beyond computer screens into physical systems, such as robots that move around buildings or carry objects. Deep learning models that control such robots need a huge number of examples, which are slow, costly and sometimes unsafe to collect in the real world. Therefore, such models are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remains one of the main obstacles to the wider use of physical artificial intelligence. The goal of the dissertation is to improve the generalization of deep learning models trained in digital twins, i.e., their ability to work correctly in conditions different from those they were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together with methods that choose the few real examples that best correct both the model and the digital twin. The methods will be examined mainly on robot navigation, in environments that were not used during training, and verified on a real mobile robot. They will also be tested on a simulated robotic manipulation task. The dissertation is expected to bring a better understanding of why models trained in simulation fail in reality, as well as methods that allow robots to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 (planned submission to the NeurIPS 2027 conference, 200 points on the ministerial list).</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