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Reprezentacje wewnętrzne jako miara i predyktor przenoszenia do świata rzeczywistego polityk agentów ucieleśnionych uczonych w cyfrowych bliźniakach z neuronowej rekonstrukcji scen, przy ograniczonym budżecie danych rzeczywistych</w:t>
      </w:r>
      <w:bookmarkStart w:id="0" w:name="_Hlk95566638"/>
    </w:p>
    <w:p>
      <w:pPr>
        <w:spacing w:after="0" w:line="240" w:lineRule="auto"/>
        <w:jc w:val="both"/>
      </w:pPr>
      <w:r>
        <w:rPr>
          <w:rFonts w:cstheme="minorHAnsi"/>
          <w:b/>
          <w:lang w:val="en-US"/>
        </w:rPr>
        <w:t xml:space="preserve">EN:</w:t>
      </w:r>
      <w:r>
        <w:rPr>
          <w:rFonts w:cstheme="minorHAnsi"/>
          <w:lang w:val="en-US"/>
        </w:rPr>
        <w:t xml:space="preserve"> Internal representations as a measure and predictor of the real-world transfer of embodied policies learned in neural-reconstruction digital twins under a limited real-data budget</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representation-level thesis, research questions RQ1–RQ4 (measure, predict, use, generalize)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paired-frame benchmark (RQ1, H1).</w:t>
            </w:r>
          </w:p>
          <w:p>
            <w:pPr>
              <w:spacing w:after="40" w:line="240" w:lineRule="auto"/>
              <w:jc w:val="left"/>
            </w:pPr>
            <w:r>
              <w:rPr>
                <w:rFonts w:cstheme="minorHAnsi"/>
                <w:b/>
                <w:lang w:val="en-US"/>
              </w:rPr>
              <w:t xml:space="preserve">T3.1</w:t>
            </w:r>
            <w:r>
              <w:rPr>
                <w:rFonts w:cstheme="minorHAnsi"/>
                <w:lang w:val="en-US"/>
              </w:rPr>
              <w:t xml:space="preserve"> Final choice of ≥ 10 public scenes with real captures and reference scans, simulator and existing 3DGS pipeline from the T2.2 shortlist; twins built at ≥ 4 capture budgets; paired real/twin frames of the same pose with fidelity and cost logs; pre-registration of the evaluation protocol (§7). </w:t>
            </w:r>
            <w:r>
              <w:rPr>
                <w:rFonts w:cstheme="minorHAnsi"/>
                <w:i/>
                <w:lang w:val="en-US"/>
              </w:rPr>
              <w:t xml:space="preserve">D:</w:t>
            </w:r>
            <w:r>
              <w:rPr>
                <w:rFonts w:cstheme="minorHAnsi"/>
                <w:lang w:val="en-US"/>
              </w:rPr>
              <w:t xml:space="preserve"> benchmark v0 (data scripts, code) and protocol in the repository.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Layer-wise gap measurement (linear CKA, linear probes) for ≥ 10 frozen encoders; pilot of policy-zoo training that fixes the zoo size. </w:t>
            </w:r>
            <w:r>
              <w:rPr>
                <w:rFonts w:cstheme="minorHAnsi"/>
                <w:i/>
                <w:lang w:val="en-US"/>
              </w:rPr>
              <w:t xml:space="preserve">D:</w:t>
            </w:r>
            <w:r>
              <w:rPr>
                <w:rFonts w:cstheme="minorHAnsi"/>
                <w:lang w:val="en-US"/>
              </w:rPr>
              <w:t xml:space="preserve"> first H1 results (concentration, budget trend, encoder differences) and pilot report,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started (RQ1–RQ2, H1–H2).</w:t>
            </w:r>
          </w:p>
          <w:p>
            <w:pPr>
              <w:spacing w:after="40" w:line="240" w:lineRule="auto"/>
              <w:jc w:val="left"/>
            </w:pPr>
            <w:r>
              <w:rPr>
                <w:rFonts w:cstheme="minorHAnsi"/>
                <w:b/>
                <w:lang w:val="en-US"/>
              </w:rPr>
              <w:t xml:space="preserve">T4.1</w:t>
            </w:r>
            <w:r>
              <w:rPr>
                <w:rFonts w:cstheme="minorHAnsi"/>
                <w:lang w:val="en-US"/>
              </w:rPr>
              <w:t xml:space="preserve"> Navigation policies on each frozen encoder trained in the twins and tested in proxy reality (tier A); robustness ranking vs. twin→real success (first result for P1 </w:t>
            </w:r>
            <w:r>
              <w:rPr>
                <w:rFonts w:cstheme="minorHAnsi"/>
                <w:b/>
                <w:lang w:val="en-US"/>
              </w:rPr>
              <w:t xml:space="preserve">by Apr 2027</w:t>
            </w:r>
            <w:r>
              <w:rPr>
                <w:rFonts w:cstheme="minorHAnsi"/>
                <w:lang w:val="en-US"/>
              </w:rPr>
              <w:t xml:space="preserve">); gap localization inside twin-trained policies; generation of the policy zoo (≥ 200 navigation policies with twin and proxy-real labels). </w:t>
            </w:r>
            <w:r>
              <w:rPr>
                <w:rFonts w:cstheme="minorHAnsi"/>
                <w:i/>
                <w:lang w:val="en-US"/>
              </w:rPr>
              <w:t xml:space="preserve">D:</w:t>
            </w:r>
            <w:r>
              <w:rPr>
                <w:rFonts w:cstheme="minorHAnsi"/>
                <w:lang w:val="en-US"/>
              </w:rPr>
              <w:t xml:space="preserve"> </w:t>
            </w:r>
            <w:r>
              <w:rPr>
                <w:rFonts w:cstheme="minorHAnsi"/>
                <w:b/>
                <w:lang w:val="en-US"/>
              </w:rPr>
              <w:t xml:space="preserve">H1 completed on tier A</w:t>
            </w:r>
            <w:r>
              <w:rPr>
                <w:rFonts w:cstheme="minorHAnsi"/>
                <w:lang w:val="en-US"/>
              </w:rPr>
              <w:t xml:space="preserve">; zoo v1, </w:t>
            </w:r>
            <w:r>
              <w:rPr>
                <w:rFonts w:cstheme="minorHAnsi"/>
                <w:b/>
                <w:lang w:val="en-US"/>
              </w:rPr>
              <w:t xml:space="preserve">by Sep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(paired-frame benchmark and gap localization in frozen encoders, H1(a–c), with the first H1(d) result; RQ1; Datasets &amp; Benchmarks or main track).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 benchmark released with the paper.</w:t>
            </w:r>
          </w:p>
          <w:p>
            <w:pPr>
              <w:spacing w:after="40" w:line="240" w:lineRule="auto"/>
              <w:jc w:val="left"/>
            </w:pPr>
            <w:r>
              <w:rPr>
                <w:rFonts w:cstheme="minorHAnsi"/>
                <w:b/>
                <w:lang w:val="en-US"/>
              </w:rPr>
              <w:t xml:space="preserve">T4.3</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 – transfer forecasting (RQ2, H2).</w:t>
            </w:r>
          </w:p>
          <w:p>
            <w:pPr>
              <w:spacing w:after="40" w:line="240" w:lineRule="auto"/>
              <w:jc w:val="left"/>
            </w:pPr>
            <w:r>
              <w:rPr>
                <w:rFonts w:cstheme="minorHAnsi"/>
                <w:b/>
                <w:lang w:val="en-US"/>
              </w:rPr>
              <w:t xml:space="preserve">T5.1</w:t>
            </w:r>
            <w:r>
              <w:rPr>
                <w:rFonts w:cstheme="minorHAnsi"/>
                <w:lang w:val="en-US"/>
              </w:rPr>
              <w:t xml:space="preserve"> Transfer predictors on the zoo (graph neural network over layers, weight-space metanetwork) vs. baselines (twin SR, PSNR/LPIPS, simulator-level predictivity) on held-out scenes; hidden-state failure monitors calibrated conformally in the twin and tested in proxy reality (tier A); Stage III set-up (allocation levers implemented, Jan–Feb 2028). </w:t>
            </w:r>
            <w:r>
              <w:rPr>
                <w:rFonts w:cstheme="minorHAnsi"/>
                <w:i/>
                <w:lang w:val="en-US"/>
              </w:rPr>
              <w:t xml:space="preserve">D:</w:t>
            </w:r>
            <w:r>
              <w:rPr>
                <w:rFonts w:cstheme="minorHAnsi"/>
                <w:lang w:val="en-US"/>
              </w:rPr>
              <w:t xml:space="preserve"> </w:t>
            </w:r>
            <w:r>
              <w:rPr>
                <w:rFonts w:cstheme="minorHAnsi"/>
                <w:b/>
                <w:lang w:val="en-US"/>
              </w:rPr>
              <w:t xml:space="preserve">H2 completed</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8 zoo policies, 2 PWr environments): do forecasts rank real outcomes as on tier A? </w:t>
            </w:r>
            <w:r>
              <w:rPr>
                <w:rFonts w:cstheme="minorHAnsi"/>
                <w:i/>
                <w:lang w:val="en-US"/>
              </w:rPr>
              <w:t xml:space="preserve">D:</w:t>
            </w:r>
            <w:r>
              <w:rPr>
                <w:rFonts w:cstheme="minorHAnsi"/>
                <w:lang w:val="en-US"/>
              </w:rPr>
              <w:t xml:space="preserve"> validation report. Place: Denali. Without robot access, the campaign moves to sem. 7; H1–H2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(forecasting transfer and failure from internals) submitted to </w:t>
            </w:r>
            <w:r>
              <w:rPr>
                <w:rFonts w:cstheme="minorHAnsi"/>
                <w:b/>
                <w:lang w:val="en-US"/>
              </w:rPr>
              <w:t xml:space="preserve">CVPR 2028</w:t>
            </w:r>
            <w:r>
              <w:rPr>
                <w:rFonts w:cstheme="minorHAnsi"/>
                <w:lang w:val="en-US"/>
              </w:rPr>
              <w:t xml:space="preserve"> (~Nov 2027; ICLR 2028, ~late Sep 2027, if ready earlier).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Stages III–IV – using the forecasts; cross-task transfer (RQ3–RQ4, H3–H4).</w:t>
            </w:r>
          </w:p>
          <w:p>
            <w:pPr>
              <w:spacing w:after="40" w:line="240" w:lineRule="auto"/>
              <w:jc w:val="left"/>
            </w:pPr>
            <w:r>
              <w:rPr>
                <w:rFonts w:cstheme="minorHAnsi"/>
                <w:b/>
                <w:lang w:val="en-US"/>
              </w:rPr>
              <w:t xml:space="preserve">T6.1</w:t>
            </w:r>
            <w:r>
              <w:rPr>
                <w:rFonts w:cstheme="minorHAnsi"/>
                <w:lang w:val="en-US"/>
              </w:rPr>
              <w:t xml:space="preserve"> (a) </w:t>
            </w:r>
            <w:r>
              <w:rPr>
                <w:rFonts w:cstheme="minorHAnsi"/>
                <w:i/>
                <w:lang w:val="en-US"/>
              </w:rPr>
              <w:t xml:space="preserve">Budget allocation:</w:t>
            </w:r>
            <w:r>
              <w:rPr>
                <w:rFonts w:cstheme="minorHAnsi"/>
                <w:lang w:val="en-US"/>
              </w:rPr>
              <w:t xml:space="preserve"> forecast-guided weighting of twin data, capture selection and rollout selection vs. uniform and random allocation; budget–performance curves (capture minutes + real rollouts). (b) </w:t>
            </w:r>
            <w:r>
              <w:rPr>
                <w:rFonts w:cstheme="minorHAnsi"/>
                <w:i/>
                <w:lang w:val="en-US"/>
              </w:rPr>
              <w:t xml:space="preserve">Manipulation:</w:t>
            </w:r>
            <w:r>
              <w:rPr>
                <w:rFonts w:cstheme="minorHAnsi"/>
                <w:lang w:val="en-US"/>
              </w:rPr>
              <w:t xml:space="preserve"> public policies with published SIMPLER paired sim/real results (≥ 12 policy–task pairs); the navigation predictor applied without retraining, compared with generic-simulator SRCC and a frozen world-model evaluator.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(tier A, </w:t>
            </w:r>
            <w:r>
              <w:rPr>
                <w:rFonts w:cstheme="minorHAnsi"/>
                <w:b/>
                <w:lang w:val="en-US"/>
              </w:rPr>
              <w:t xml:space="preserve">by Apr 2028</w:t>
            </w:r>
            <w:r>
              <w:rPr>
                <w:rFonts w:cstheme="minorHAnsi"/>
                <w:lang w:val="en-US"/>
              </w:rPr>
              <w:t xml:space="preserve">), </w:t>
            </w:r>
            <w:r>
              <w:rPr>
                <w:rFonts w:cstheme="minorHAnsi"/>
                <w:b/>
                <w:lang w:val="en-US"/>
              </w:rPr>
              <w:t xml:space="preserve">H4 completed</w:t>
            </w:r>
            <w:r>
              <w:rPr>
                <w:rFonts w:cstheme="minorHAnsi"/>
                <w:lang w:val="en-US"/>
              </w:rPr>
              <w:t xml:space="preserve"> (tier B, </w:t>
            </w:r>
            <w:r>
              <w:rPr>
                <w:rFonts w:cstheme="minorHAnsi"/>
                <w:b/>
                <w:lang w:val="en-US"/>
              </w:rPr>
              <w:t xml:space="preserve">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(budget allocation with the first cross-task results)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forecasts and of guided rollout selection; final analysis of H1–H4 across tiers.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code, paired-frame benchmark and policy zoo.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Embodied agents (mobile robots, manipulators) learn strong behaviour only from very large amounts of experience. In the real world such data is slow, expensive and sometimes risky to collect, so a policy is usually trained in simulation and then deployed on real sensor data, where it often fails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 built by neural scene reconstruction</w:t>
      </w:r>
      <w:r>
        <w:rPr>
          <w:rFonts w:cstheme="minorHAnsi"/>
          <w:lang w:val="en-US"/>
        </w:rPr>
        <w:t xml:space="preserve"> (3D Gaussian Splatting, Neural Radiance Fields) turn a few minutes of real video into a photorealistic, interactive model of the target scene, in which a policy can be trained at scale. Building such twins has quickly become routine: dozens of papers a year and more than ten open-source twin simulators. The open question has moved from </w:t>
      </w:r>
      <w:r>
        <w:rPr>
          <w:rFonts w:cstheme="minorHAnsi"/>
          <w:i/>
          <w:lang w:val="en-US"/>
        </w:rPr>
        <w:t xml:space="preserve">how to build a twin</w:t>
      </w:r>
      <w:r>
        <w:rPr>
          <w:rFonts w:cstheme="minorHAnsi"/>
          <w:lang w:val="en-US"/>
        </w:rPr>
        <w:t xml:space="preserve"> to </w:t>
      </w:r>
      <w:r>
        <w:rPr>
          <w:rFonts w:cstheme="minorHAnsi"/>
          <w:i/>
          <w:lang w:val="en-US"/>
        </w:rPr>
        <w:t xml:space="preserve">when a policy trained in it can be trusted in reality</w:t>
      </w:r>
      <w:r>
        <w:rPr>
          <w:rFonts w:cstheme="minorHAnsi"/>
          <w:lang w:val="en-US"/>
        </w:rPr>
        <w:t xml:space="preserve">. Today this is answered in two unsatisfying ways: by running the policy in the real world (slow and costly, which is what the twin was meant to avoid) or by image-quality scores of the reconstruction, which need not track real performance (lower-fidelity simulation can even transfer better). Neither says </w:t>
      </w:r>
      <w:r>
        <w:rPr>
          <w:rFonts w:cstheme="minorHAnsi"/>
          <w:b/>
          <w:lang w:val="en-US"/>
        </w:rPr>
        <w:t xml:space="preserve">where</w:t>
      </w:r>
      <w:r>
        <w:rPr>
          <w:rFonts w:cstheme="minorHAnsi"/>
          <w:lang w:val="en-US"/>
        </w:rPr>
        <w:t xml:space="preserve"> the gap arises, and neither tells how to spend the few real observations one can afford.</w:t>
      </w:r>
    </w:p>
    <w:p>
      <w:pPr>
        <w:spacing w:after="120" w:line="240" w:lineRule="auto"/>
        <w:jc w:val="both"/>
      </w:pPr>
      <w:r>
        <w:rPr>
          <w:rFonts w:cstheme="minorHAnsi"/>
          <w:b/>
          <w:lang w:val="en-US"/>
        </w:rPr>
        <w:t xml:space="preserve">Why representations.</w:t>
      </w:r>
      <w:r>
        <w:rPr>
          <w:rFonts w:cstheme="minorHAnsi"/>
          <w:lang w:val="en-US"/>
        </w:rPr>
        <w:t xml:space="preserve"> Whatever a policy does, it does through its internal representations: the features its encoder and layers compute from an image. This is where reconstructed and real inputs either meet or diverge. Machine learning now has mature tools to read representations: layer-wise probing, representational similarity (e.g. centred kernel alignment), and learning on network weights (metanetworks over model populations). They have been used to predict the accuracy and generalization of image classifiers and other networks from their weights, but not the real-world transfer of policies trained in twins. The dissertation asks whether this transfer can be </w:t>
      </w:r>
      <w:r>
        <w:rPr>
          <w:rFonts w:cstheme="minorHAnsi"/>
          <w:b/>
          <w:lang w:val="en-US"/>
        </w:rPr>
        <w:t xml:space="preserve">measured, localized and predicted from representations</w:t>
      </w:r>
      <w:r>
        <w:rPr>
          <w:rFonts w:cstheme="minorHAnsi"/>
          <w:lang w:val="en-US"/>
        </w:rPr>
        <w:t xml:space="preserve"> without real rollouts, and whether such forecasts let a small real-data budget be spent where it matters: which twin data to weight, what to capture, and which real trials to run.</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learning and evaluation methodology, not a robot or a simulator, which places it in </w:t>
      </w:r>
      <w:r>
        <w:rPr>
          <w:rFonts w:cstheme="minorHAnsi"/>
          <w:i/>
          <w:lang w:val="en-US"/>
        </w:rPr>
        <w:t xml:space="preserve">information and communication technology</w:t>
      </w:r>
      <w:r>
        <w:rPr>
          <w:rFonts w:cstheme="minorHAnsi"/>
          <w:lang w:val="en-US"/>
        </w:rPr>
        <w:t xml:space="preserve"> (representation learning, learning under distribution shift, model analysis). The student uses existing twin pipelines and simulators and does not develop new ones. </w:t>
      </w:r>
      <w:r>
        <w:rPr>
          <w:rFonts w:cstheme="minorHAnsi"/>
          <w:b/>
          <w:lang w:val="en-US"/>
        </w:rPr>
        <w:t xml:space="preserve">Visual navigation</w:t>
      </w:r>
      <w:r>
        <w:rPr>
          <w:rFonts w:cstheme="minorHAnsi"/>
          <w:lang w:val="en-US"/>
        </w:rPr>
        <w:t xml:space="preserve"> is the primary testbed, because public scene datasets with real captures allow controlled, reproducible measurement without an own robot; </w:t>
      </w:r>
      <w:r>
        <w:rPr>
          <w:rFonts w:cstheme="minorHAnsi"/>
          <w:b/>
          <w:lang w:val="en-US"/>
        </w:rPr>
        <w:t xml:space="preserve">robotic manipulation</w:t>
      </w:r>
      <w:r>
        <w:rPr>
          <w:rFonts w:cstheme="minorHAnsi"/>
          <w:lang w:val="en-US"/>
        </w:rPr>
        <w:t xml:space="preserve"> tests that the findings carry over to another task. Trials on a real robot (planned cooperation with a PWr robotics laboratory) validate, but do not decide, the conclusions. The topic fits the Department of Artificial Intelligence (K46), whose research groups include representation learning on graphs and models in weight space. The computation runs on the GPU infrastructure available to PWr researchers (WCSS, PLGrid). A benchmark of paired real and reconstructed data and a measured answer to "which representations survive reconstruction" are useful whatever the hypotheses' outcome.</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robots in new buildings and workcells (service, assistive, warehouse and inspection robotics, flexible manipulation); pre-deployment screening of candidate policies and safety monitors that flag likely failures; choosing which visual foundation models to use in twin-based training; and, beyond robotics, any system trained on reconstructed or synthetic data and deployed on real sensor data (industrial digital twins, perception for autonomous systems).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Digital twins have become a commodity.</w:t>
      </w:r>
      <w:r>
        <w:rPr>
          <w:rFonts w:cstheme="minorHAnsi"/>
          <w:lang w:val="en-US"/>
        </w:rPr>
        <w:t xml:space="preserve"> Photorealistic simulators such as Habitat [1] and domain randomization [2] made large-scale training of embodied agents possible. 3D Gaussian Splatting (3DGS) [3] now turns a short phone or camera capture into a real-time, photorealistic </w:t>
      </w:r>
      <w:r>
        <w:rPr>
          <w:rFonts w:cstheme="minorHAnsi"/>
          <w:i/>
          <w:lang w:val="en-US"/>
        </w:rPr>
        <w:t xml:space="preserve">digital twin</w:t>
      </w:r>
      <w:r>
        <w:rPr>
          <w:rFonts w:cstheme="minorHAnsi"/>
          <w:lang w:val="en-US"/>
        </w:rPr>
        <w:t xml:space="preserve">. Twin-trained policies transfer to real robots in navigation (EmbodiedSplat [4], Vid2Sim [5], GaussGym [6]) and manipulation (RialTo [7], SplatSim [8]), and GPU simulators ship twin environments (ManiSkill3 [9]). Building twins is therefore no longer the bottleneck. The open question is </w:t>
      </w:r>
      <w:r>
        <w:rPr>
          <w:rFonts w:cstheme="minorHAnsi"/>
          <w:b/>
          <w:lang w:val="en-US"/>
        </w:rPr>
        <w:t xml:space="preserve">when a twin-trained policy will work in reality, and why</w:t>
      </w:r>
      <w:r>
        <w:rPr>
          <w:rFonts w:cstheme="minorHAnsi"/>
          <w:lang w:val="en-US"/>
        </w:rPr>
        <w:t xml:space="preserve">.</w:t>
      </w:r>
    </w:p>
    <w:p>
      <w:pPr>
        <w:spacing w:after="120" w:line="240" w:lineRule="auto"/>
        <w:jc w:val="both"/>
      </w:pPr>
      <w:r>
        <w:rPr>
          <w:rFonts w:cstheme="minorHAnsi"/>
          <w:b/>
          <w:lang w:val="en-US"/>
        </w:rPr>
        <w:t xml:space="preserve">Predicting real performance from simulation.</w:t>
      </w:r>
      <w:r>
        <w:rPr>
          <w:rFonts w:cstheme="minorHAnsi"/>
          <w:lang w:val="en-US"/>
        </w:rPr>
        <w:t xml:space="preserve"> Kadian et al. [10] introduced the Sim-vs-Real Correlation Coefficient (SRCC) and showed that simulation can poorly predict real navigation results. Truong et al. [11] found that lower-fidelity simulation can transfer better, so image fidelity is not the same as transfer. SIMPLER [12] reports strong sim-real correlation for manipulation evaluation, and pretrained visual representations rank similarly in simulation and reality [13]. All of these measure transfer at the level of </w:t>
      </w:r>
      <w:r>
        <w:rPr>
          <w:rFonts w:cstheme="minorHAnsi"/>
          <w:i/>
          <w:lang w:val="en-US"/>
        </w:rPr>
        <w:t xml:space="preserve">simulators</w:t>
      </w:r>
      <w:r>
        <w:rPr>
          <w:rFonts w:cstheme="minorHAnsi"/>
          <w:lang w:val="en-US"/>
        </w:rPr>
        <w:t xml:space="preserve"> and success rates, after deployment.</w:t>
      </w:r>
    </w:p>
    <w:p>
      <w:pPr>
        <w:spacing w:after="120" w:line="240" w:lineRule="auto"/>
        <w:jc w:val="both"/>
      </w:pPr>
      <w:r>
        <w:rPr>
          <w:rFonts w:cstheme="minorHAnsi"/>
          <w:b/>
          <w:lang w:val="en-US"/>
        </w:rPr>
        <w:t xml:space="preserve">The representation gap.</w:t>
      </w:r>
      <w:r>
        <w:rPr>
          <w:rFonts w:cstheme="minorHAnsi"/>
          <w:lang w:val="en-US"/>
        </w:rPr>
        <w:t xml:space="preserve"> Sim-and-real co-training works with few real demonstrations [14], domain adaptation aligns sim and real features [15], and a mechanistic analysis finds that "structured representation alignment" is the primary effect of co-training [16]. ScanNet++ [17] pairs real captures of rooms with reference scans. Linear probes [18] and centered kernel alignment (CKA) [19] measure what each layer encodes and how similar two representations are. Frozen image and video encoders (DINOv2 [20], V-JEPA 2 [21]) are common policy backbones, and probing of vision-language-action models shows that action fine-tuning degrades their visual representations [22]. However, </w:t>
      </w:r>
      <w:r>
        <w:rPr>
          <w:rFonts w:cstheme="minorHAnsi"/>
          <w:b/>
          <w:lang w:val="en-US"/>
        </w:rPr>
        <w:t xml:space="preserve">we found no study that measured, on paired real and twin-rendered frames of the same pose, where inside encoders and policies the twin-vs-real gap arises, or how it shrinks with the capture budget.</w:t>
      </w:r>
    </w:p>
    <w:p>
      <w:pPr>
        <w:spacing w:after="120" w:line="240" w:lineRule="auto"/>
        <w:jc w:val="both"/>
      </w:pPr>
      <w:r>
        <w:rPr>
          <w:rFonts w:cstheme="minorHAnsi"/>
          <w:b/>
          <w:lang w:val="en-US"/>
        </w:rPr>
        <w:t xml:space="preserve">Predicting performance from model internals.</w:t>
      </w:r>
      <w:r>
        <w:rPr>
          <w:rFonts w:cstheme="minorHAnsi"/>
          <w:lang w:val="en-US"/>
        </w:rPr>
        <w:t xml:space="preserve"> Accuracy under distribution shift can be estimated from unlabeled target data [23]. A network's accuracy can be predicted from its weights alone [24], and populations of trained models ("model zoos" [25]) are now inputs to weight-space learning: equivariant metanetworks [26] learn directly on weights, and graph neural networks over the computational graph [27] predict generalization. They have been tested on image classifiers and implicit neural representations, </w:t>
      </w:r>
      <w:r>
        <w:rPr>
          <w:rFonts w:cstheme="minorHAnsi"/>
          <w:b/>
          <w:lang w:val="en-US"/>
        </w:rPr>
        <w:t xml:space="preserve">not on embodied policies or twin-to-real transfer</w:t>
      </w:r>
      <w:r>
        <w:rPr>
          <w:rFonts w:cstheme="minorHAnsi"/>
          <w:lang w:val="en-US"/>
        </w:rPr>
        <w:t xml:space="preserve">.</w:t>
      </w:r>
    </w:p>
    <w:p>
      <w:pPr>
        <w:spacing w:after="120" w:line="240" w:lineRule="auto"/>
        <w:jc w:val="both"/>
      </w:pPr>
      <w:r>
        <w:rPr>
          <w:rFonts w:cstheme="minorHAnsi"/>
          <w:b/>
          <w:lang w:val="en-US"/>
        </w:rPr>
        <w:t xml:space="preserve">Failure prediction and calibrated monitoring.</w:t>
      </w:r>
      <w:r>
        <w:rPr>
          <w:rFonts w:cstheme="minorHAnsi"/>
          <w:lang w:val="en-US"/>
        </w:rPr>
        <w:t xml:space="preserve"> Conformal prediction [28] gives distribution-free guarantees. FAIL-Detect [29] detects failures of imitation policies without failure data and calibrates thresholds with conformal prediction, and SAFE [30] finds that the features of vision-language-action models encode task success and failure across tasks. These monitors are calibrated and tested in the </w:t>
      </w:r>
      <w:r>
        <w:rPr>
          <w:rFonts w:cstheme="minorHAnsi"/>
          <w:i/>
          <w:lang w:val="en-US"/>
        </w:rPr>
        <w:t xml:space="preserve">same</w:t>
      </w:r>
      <w:r>
        <w:rPr>
          <w:rFonts w:cstheme="minorHAnsi"/>
          <w:lang w:val="en-US"/>
        </w:rPr>
        <w:t xml:space="preserve"> domain. Whether a monitor calibrated in the twin keeps its coverage on real data has not been studied.</w:t>
      </w:r>
    </w:p>
    <w:p>
      <w:pPr>
        <w:spacing w:after="120" w:line="240" w:lineRule="auto"/>
        <w:jc w:val="both"/>
      </w:pPr>
      <w:r>
        <w:rPr>
          <w:rFonts w:cstheme="minorHAnsi"/>
          <w:b/>
          <w:lang w:val="en-US"/>
        </w:rPr>
        <w:t xml:space="preserve">Spending a small real-data budget.</w:t>
      </w:r>
      <w:r>
        <w:rPr>
          <w:rFonts w:cstheme="minorHAnsi"/>
          <w:lang w:val="en-US"/>
        </w:rPr>
        <w:t xml:space="preserve"> Data attribution estimates how training examples affect predictions [31], and CUPID [32] ranks robot demonstrations by their influence on closed-loop success. Prediction-powered inference [33] combines many cheap predictions with a few labels, and SureSim [34] uses it to correct simulated evaluation with a few paired real trials. Learned world models are also proposed as policy evaluators [35]. These tools treat the policy as a black box; none uses its internal representations to decide which twin data to weight, what to capture or which real rollouts to collect.</w:t>
      </w:r>
    </w:p>
    <w:p>
      <w:pPr>
        <w:spacing w:after="120" w:line="240" w:lineRule="auto"/>
        <w:jc w:val="both"/>
      </w:pPr>
      <w:r>
        <w:rPr>
          <w:rFonts w:cstheme="minorHAnsi"/>
          <w:b/>
          <w:lang w:val="en-US"/>
        </w:rPr>
        <w:t xml:space="preserve">Research gap.</w:t>
      </w:r>
      <w:r>
        <w:rPr>
          <w:rFonts w:cstheme="minorHAnsi"/>
          <w:lang w:val="en-US"/>
        </w:rPr>
        <w:t xml:space="preserve"> Twins are widely available, but there is </w:t>
      </w:r>
      <w:r>
        <w:rPr>
          <w:rFonts w:cstheme="minorHAnsi"/>
          <w:b/>
          <w:lang w:val="en-US"/>
        </w:rPr>
        <w:t xml:space="preserve">no representation-level account of how twin-trained policies transfer to reality</w:t>
      </w:r>
      <w:r>
        <w:rPr>
          <w:rFonts w:cstheme="minorHAnsi"/>
          <w:lang w:val="en-US"/>
        </w:rPr>
        <w:t xml:space="preserve">. Missing are (i) a paired real/twin benchmark that localizes the gap inside encoders and policies across capture budgets, (ii) predictors of real transfer and failure from policy internals (weights, hidden states) that beat simulator-level and image-fidelity baselines, (iii) methods that use such forecasts to spend a limited real-data budget, and (iv) evidence that these measures carry over from navigation to manipulation. This dissertation addresses that gap.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J. Tobin et al., "Domain Randomization for Transferring Deep Neural Networks…," IROS, 2017.</w:t>
      </w:r>
    </w:p>
    <w:p>
      <w:pPr>
        <w:spacing w:after="0" w:line="240" w:lineRule="auto"/>
        <w:ind w:left="397" w:hanging="397"/>
        <w:jc w:val="left"/>
      </w:pPr>
      <w:r>
        <w:rPr>
          <w:rFonts w:cstheme="minorHAnsi"/>
          <w:lang w:val="en-US"/>
        </w:rPr>
        <w:t xml:space="preserve">[3] B. Kerbl et al., "3D Gaussian Splatting," ACM TOG, 2023.</w:t>
      </w:r>
    </w:p>
    <w:p>
      <w:pPr>
        <w:spacing w:after="0" w:line="240" w:lineRule="auto"/>
        <w:ind w:left="397" w:hanging="397"/>
        <w:jc w:val="left"/>
      </w:pPr>
      <w:r>
        <w:rPr>
          <w:rFonts w:cstheme="minorHAnsi"/>
          <w:lang w:val="en-US"/>
        </w:rPr>
        <w:t xml:space="preserve">[4] G. Chhablani et al., "EmbodiedSplat," ICCV, 2025.</w:t>
      </w:r>
    </w:p>
    <w:p>
      <w:pPr>
        <w:spacing w:after="0" w:line="240" w:lineRule="auto"/>
        <w:ind w:left="397" w:hanging="397"/>
        <w:jc w:val="left"/>
      </w:pPr>
      <w:r>
        <w:rPr>
          <w:rFonts w:cstheme="minorHAnsi"/>
          <w:lang w:val="en-US"/>
        </w:rPr>
        <w:t xml:space="preserve">[5] Z. Xie et al., "Vid2Sim," CVPR, 2025.</w:t>
      </w:r>
    </w:p>
    <w:p>
      <w:pPr>
        <w:spacing w:after="0" w:line="240" w:lineRule="auto"/>
        <w:ind w:left="397" w:hanging="397"/>
        <w:jc w:val="left"/>
      </w:pPr>
      <w:r>
        <w:rPr>
          <w:rFonts w:cstheme="minorHAnsi"/>
          <w:lang w:val="en-US"/>
        </w:rPr>
        <w:t xml:space="preserve">[6] A. Escontrela et al., "GaussGym," arXiv:2510.15352, 2025.</w:t>
      </w:r>
    </w:p>
    <w:p>
      <w:pPr>
        <w:spacing w:after="0" w:line="240" w:lineRule="auto"/>
        <w:ind w:left="397" w:hanging="397"/>
        <w:jc w:val="left"/>
      </w:pPr>
      <w:r>
        <w:rPr>
          <w:rFonts w:cstheme="minorHAnsi"/>
          <w:lang w:val="en-US"/>
        </w:rPr>
        <w:t xml:space="preserve">[7] M. Torne et al., "Reconciling Reality through Simulation," RSS, 2024.</w:t>
      </w:r>
    </w:p>
    <w:p>
      <w:pPr>
        <w:spacing w:after="0" w:line="240" w:lineRule="auto"/>
        <w:ind w:left="397" w:hanging="397"/>
        <w:jc w:val="left"/>
      </w:pPr>
      <w:r>
        <w:rPr>
          <w:rFonts w:cstheme="minorHAnsi"/>
          <w:lang w:val="en-US"/>
        </w:rPr>
        <w:t xml:space="preserve">[8] M. N. Qureshi et al., "SplatSim," ICRA, 2025.</w:t>
      </w:r>
    </w:p>
    <w:p>
      <w:pPr>
        <w:spacing w:after="0" w:line="240" w:lineRule="auto"/>
        <w:ind w:left="397" w:hanging="397"/>
        <w:jc w:val="left"/>
      </w:pPr>
      <w:r>
        <w:rPr>
          <w:rFonts w:cstheme="minorHAnsi"/>
          <w:lang w:val="en-US"/>
        </w:rPr>
        <w:t xml:space="preserve">[9] S. Tao et al., "ManiSkill3," RSS, 2025.</w:t>
      </w:r>
    </w:p>
    <w:p>
      <w:pPr>
        <w:spacing w:after="0" w:line="240" w:lineRule="auto"/>
        <w:ind w:left="397" w:hanging="397"/>
        <w:jc w:val="left"/>
      </w:pPr>
      <w:r>
        <w:rPr>
          <w:rFonts w:cstheme="minorHAnsi"/>
          <w:lang w:val="en-US"/>
        </w:rPr>
        <w:t xml:space="preserve">[10] A. Kadian et al., "Sim2Real Predictivity," IEEE RA-L, 2020.</w:t>
      </w:r>
    </w:p>
    <w:p>
      <w:pPr>
        <w:spacing w:after="0" w:line="240" w:lineRule="auto"/>
        <w:ind w:left="397" w:hanging="397"/>
        <w:jc w:val="left"/>
      </w:pPr>
      <w:r>
        <w:rPr>
          <w:rFonts w:cstheme="minorHAnsi"/>
          <w:lang w:val="en-US"/>
        </w:rPr>
        <w:t xml:space="preserve">[11] J. Truong et al., "Rethinking Sim2Real," CoRL, 2022.</w:t>
      </w:r>
    </w:p>
    <w:p>
      <w:pPr>
        <w:spacing w:after="0" w:line="240" w:lineRule="auto"/>
        <w:ind w:left="397" w:hanging="397"/>
        <w:jc w:val="left"/>
      </w:pPr>
      <w:r>
        <w:rPr>
          <w:rFonts w:cstheme="minorHAnsi"/>
          <w:lang w:val="en-US"/>
        </w:rPr>
        <w:t xml:space="preserve">[12] X. Li et al., "Evaluating Real-World Robot Manipulation Policies…," CoRL, 2024.</w:t>
      </w:r>
    </w:p>
    <w:p>
      <w:pPr>
        <w:spacing w:after="0" w:line="240" w:lineRule="auto"/>
        <w:ind w:left="397" w:hanging="397"/>
        <w:jc w:val="left"/>
      </w:pPr>
      <w:r>
        <w:rPr>
          <w:rFonts w:cstheme="minorHAnsi"/>
          <w:lang w:val="en-US"/>
        </w:rPr>
        <w:t xml:space="preserve">[13] S. Silwal et al., "What Do We Learn from a Large-Scale Study of Pre-Trained Visual…," ICRA, 2024.</w:t>
      </w:r>
    </w:p>
    <w:p>
      <w:pPr>
        <w:spacing w:after="0" w:line="240" w:lineRule="auto"/>
        <w:ind w:left="397" w:hanging="397"/>
        <w:jc w:val="left"/>
      </w:pPr>
      <w:r>
        <w:rPr>
          <w:rFonts w:cstheme="minorHAnsi"/>
          <w:lang w:val="en-US"/>
        </w:rPr>
        <w:t xml:space="preserve">[14] A. Maddukuri et al., "Sim-and-Real Co-Training," RSS, 2025.</w:t>
      </w:r>
    </w:p>
    <w:p>
      <w:pPr>
        <w:spacing w:after="0" w:line="240" w:lineRule="auto"/>
        <w:ind w:left="397" w:hanging="397"/>
        <w:jc w:val="left"/>
      </w:pPr>
      <w:r>
        <w:rPr>
          <w:rFonts w:cstheme="minorHAnsi"/>
          <w:lang w:val="en-US"/>
        </w:rPr>
        <w:t xml:space="preserve">[15] S. Cheng et al., "Generalizable Domain Adaptation for Sim-and-Real…," NeurIPS, 2025.</w:t>
      </w:r>
    </w:p>
    <w:p>
      <w:pPr>
        <w:spacing w:after="0" w:line="240" w:lineRule="auto"/>
        <w:ind w:left="397" w:hanging="397"/>
        <w:jc w:val="left"/>
      </w:pPr>
      <w:r>
        <w:rPr>
          <w:rFonts w:cstheme="minorHAnsi"/>
          <w:lang w:val="en-US"/>
        </w:rPr>
        <w:t xml:space="preserve">[16] Y. Lei et al., "A Mechanistic Analysis of Sim-and-Real Co-Training…," arXiv:2604.13645, 2026.</w:t>
      </w:r>
    </w:p>
    <w:p>
      <w:pPr>
        <w:spacing w:after="0" w:line="240" w:lineRule="auto"/>
        <w:ind w:left="397" w:hanging="397"/>
        <w:jc w:val="left"/>
      </w:pPr>
      <w:r>
        <w:rPr>
          <w:rFonts w:cstheme="minorHAnsi"/>
          <w:lang w:val="en-US"/>
        </w:rPr>
        <w:t xml:space="preserve">[17] C. Yeshwanth et al., "ScanNet++," ICCV, 2023.</w:t>
      </w:r>
    </w:p>
    <w:p>
      <w:pPr>
        <w:spacing w:after="0" w:line="240" w:lineRule="auto"/>
        <w:ind w:left="397" w:hanging="397"/>
        <w:jc w:val="left"/>
      </w:pPr>
      <w:r>
        <w:rPr>
          <w:rFonts w:cstheme="minorHAnsi"/>
          <w:lang w:val="en-US"/>
        </w:rPr>
        <w:t xml:space="preserve">[18] G. Alain, Y. Bengio, "Understanding Intermediate Layers Using Linear…," arXiv:1610.01644, 2016.</w:t>
      </w:r>
    </w:p>
    <w:p>
      <w:pPr>
        <w:spacing w:after="0" w:line="240" w:lineRule="auto"/>
        <w:ind w:left="397" w:hanging="397"/>
        <w:jc w:val="left"/>
      </w:pPr>
      <w:r>
        <w:rPr>
          <w:rFonts w:cstheme="minorHAnsi"/>
          <w:lang w:val="en-US"/>
        </w:rPr>
        <w:t xml:space="preserve">[19] S. Kornblith et al., "Similarity of Neural Network Representations…," ICML, 2019.</w:t>
      </w:r>
    </w:p>
    <w:p>
      <w:pPr>
        <w:spacing w:after="0" w:line="240" w:lineRule="auto"/>
        <w:ind w:left="397" w:hanging="397"/>
        <w:jc w:val="left"/>
      </w:pPr>
      <w:r>
        <w:rPr>
          <w:rFonts w:cstheme="minorHAnsi"/>
          <w:lang w:val="en-US"/>
        </w:rPr>
        <w:t xml:space="preserve">[20] M. Oquab et al., "DINOv2," TMLR, 2024.</w:t>
      </w:r>
    </w:p>
    <w:p>
      <w:pPr>
        <w:spacing w:after="0" w:line="240" w:lineRule="auto"/>
        <w:ind w:left="397" w:hanging="397"/>
        <w:jc w:val="left"/>
      </w:pPr>
      <w:r>
        <w:rPr>
          <w:rFonts w:cstheme="minorHAnsi"/>
          <w:lang w:val="en-US"/>
        </w:rPr>
        <w:t xml:space="preserve">[21] M. Assran et al., "V-JEPA 2," arXiv:2506.09985, 2025.</w:t>
      </w:r>
    </w:p>
    <w:p>
      <w:pPr>
        <w:spacing w:after="0" w:line="240" w:lineRule="auto"/>
        <w:ind w:left="397" w:hanging="397"/>
        <w:jc w:val="left"/>
      </w:pPr>
      <w:r>
        <w:rPr>
          <w:rFonts w:cstheme="minorHAnsi"/>
          <w:lang w:val="en-US"/>
        </w:rPr>
        <w:t xml:space="preserve">[22] N. Kachaev et al., "Don't Blind Your VLA," arXiv:2510.25616, 2025.</w:t>
      </w:r>
    </w:p>
    <w:p>
      <w:pPr>
        <w:spacing w:after="0" w:line="240" w:lineRule="auto"/>
        <w:ind w:left="397" w:hanging="397"/>
        <w:jc w:val="left"/>
      </w:pPr>
      <w:r>
        <w:rPr>
          <w:rFonts w:cstheme="minorHAnsi"/>
          <w:lang w:val="en-US"/>
        </w:rPr>
        <w:t xml:space="preserve">[23] S. Garg et al., "Leveraging Unlabeled Data to Predict OOD Performance," ICLR, 2022.</w:t>
      </w:r>
    </w:p>
    <w:p>
      <w:pPr>
        <w:spacing w:after="0" w:line="240" w:lineRule="auto"/>
        <w:ind w:left="397" w:hanging="397"/>
        <w:jc w:val="left"/>
      </w:pPr>
      <w:r>
        <w:rPr>
          <w:rFonts w:cstheme="minorHAnsi"/>
          <w:lang w:val="en-US"/>
        </w:rPr>
        <w:t xml:space="preserve">[24] T. Unterthiner et al., "Predicting Neural Network Accuracy…," arXiv:2002.11448, 2020.</w:t>
      </w:r>
    </w:p>
    <w:p>
      <w:pPr>
        <w:spacing w:after="0" w:line="240" w:lineRule="auto"/>
        <w:ind w:left="397" w:hanging="397"/>
        <w:jc w:val="left"/>
      </w:pPr>
      <w:r>
        <w:rPr>
          <w:rFonts w:cstheme="minorHAnsi"/>
          <w:lang w:val="en-US"/>
        </w:rPr>
        <w:t xml:space="preserve">[25] K. Schürholt et al., "Model Zoos," NeurIPS Datasets and Benchmarks, 2022.</w:t>
      </w:r>
    </w:p>
    <w:p>
      <w:pPr>
        <w:spacing w:after="0" w:line="240" w:lineRule="auto"/>
        <w:ind w:left="397" w:hanging="397"/>
        <w:jc w:val="left"/>
      </w:pPr>
      <w:r>
        <w:rPr>
          <w:rFonts w:cstheme="minorHAnsi"/>
          <w:lang w:val="en-US"/>
        </w:rPr>
        <w:t xml:space="preserve">[26] A. Navon et al., "Equivariant Architectures for Deep Weight Spaces," ICML, 2023.</w:t>
      </w:r>
    </w:p>
    <w:p>
      <w:pPr>
        <w:spacing w:after="0" w:line="240" w:lineRule="auto"/>
        <w:ind w:left="397" w:hanging="397"/>
        <w:jc w:val="left"/>
      </w:pPr>
      <w:r>
        <w:rPr>
          <w:rFonts w:cstheme="minorHAnsi"/>
          <w:lang w:val="en-US"/>
        </w:rPr>
        <w:t xml:space="preserve">[27] M. Kofinas et al., "Graph Neural Networks for Learning Equivariant…," ICLR, 2024.</w:t>
      </w:r>
    </w:p>
    <w:p>
      <w:pPr>
        <w:spacing w:after="0" w:line="240" w:lineRule="auto"/>
        <w:ind w:left="397" w:hanging="397"/>
        <w:jc w:val="left"/>
      </w:pPr>
      <w:r>
        <w:rPr>
          <w:rFonts w:cstheme="minorHAnsi"/>
          <w:lang w:val="en-US"/>
        </w:rPr>
        <w:t xml:space="preserve">[28] A. N. Angelopoulos, S. Bates, "A Gentle Introduction to Conformal…," arXiv:2107.07511, 2021.</w:t>
      </w:r>
    </w:p>
    <w:p>
      <w:pPr>
        <w:spacing w:after="0" w:line="240" w:lineRule="auto"/>
        <w:ind w:left="397" w:hanging="397"/>
        <w:jc w:val="left"/>
      </w:pPr>
      <w:r>
        <w:rPr>
          <w:rFonts w:cstheme="minorHAnsi"/>
          <w:lang w:val="en-US"/>
        </w:rPr>
        <w:t xml:space="preserve">[29] C. Xu et al., "Can We Detect Failures Without Failure Data?," RSS, 2025.</w:t>
      </w:r>
    </w:p>
    <w:p>
      <w:pPr>
        <w:spacing w:after="0" w:line="240" w:lineRule="auto"/>
        <w:ind w:left="397" w:hanging="397"/>
        <w:jc w:val="left"/>
      </w:pPr>
      <w:r>
        <w:rPr>
          <w:rFonts w:cstheme="minorHAnsi"/>
          <w:lang w:val="en-US"/>
        </w:rPr>
        <w:t xml:space="preserve">[30] Q. Gu et al., "SAFE," NeurIPS, 2025.</w:t>
      </w:r>
    </w:p>
    <w:p>
      <w:pPr>
        <w:spacing w:after="0" w:line="240" w:lineRule="auto"/>
        <w:ind w:left="397" w:hanging="397"/>
        <w:jc w:val="left"/>
      </w:pPr>
      <w:r>
        <w:rPr>
          <w:rFonts w:cstheme="minorHAnsi"/>
          <w:lang w:val="en-US"/>
        </w:rPr>
        <w:t xml:space="preserve">[31] S. M. Park et al., "TRAK," ICML, 2023.</w:t>
      </w:r>
    </w:p>
    <w:p>
      <w:pPr>
        <w:spacing w:after="0" w:line="240" w:lineRule="auto"/>
        <w:ind w:left="397" w:hanging="397"/>
        <w:jc w:val="left"/>
      </w:pPr>
      <w:r>
        <w:rPr>
          <w:rFonts w:cstheme="minorHAnsi"/>
          <w:lang w:val="en-US"/>
        </w:rPr>
        <w:t xml:space="preserve">[32] C. Agia et al., "CUPID," arXiv:2506.19121, 2025.</w:t>
      </w:r>
    </w:p>
    <w:p>
      <w:pPr>
        <w:spacing w:after="0" w:line="240" w:lineRule="auto"/>
        <w:ind w:left="397" w:hanging="397"/>
        <w:jc w:val="left"/>
      </w:pPr>
      <w:r>
        <w:rPr>
          <w:rFonts w:cstheme="minorHAnsi"/>
          <w:lang w:val="en-US"/>
        </w:rPr>
        <w:t xml:space="preserve">[33] A. N. Angelopoulos et al., "Prediction-Powered Inference," Science, 2023.</w:t>
      </w:r>
    </w:p>
    <w:p>
      <w:pPr>
        <w:spacing w:after="0" w:line="240" w:lineRule="auto"/>
        <w:ind w:left="397" w:hanging="397"/>
        <w:jc w:val="left"/>
      </w:pPr>
      <w:r>
        <w:rPr>
          <w:rFonts w:cstheme="minorHAnsi"/>
          <w:lang w:val="en-US"/>
        </w:rPr>
        <w:t xml:space="preserve">[34] A. Badithela et al., "Reliable and Scalable Robot Policy Evaluation…," arXiv:2510.04354, 2025.</w:t>
      </w:r>
    </w:p>
    <w:p>
      <w:pPr>
        <w:spacing w:after="0" w:line="240" w:lineRule="auto"/>
        <w:ind w:left="397" w:hanging="397"/>
        <w:jc w:val="left"/>
      </w:pPr>
      <w:r>
        <w:rPr>
          <w:rFonts w:cstheme="minorHAnsi"/>
          <w:lang w:val="en-US"/>
        </w:rPr>
        <w:t xml:space="preserve">[35] Y. Li et al., "WorldEval," arXiv:2505.19017, 2025.</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How well embodied policies trained in neural-reconstruction digital twins transfer to the real world can be </w:t>
      </w:r>
      <w:r>
        <w:rPr>
          <w:rFonts w:cstheme="minorHAnsi"/>
          <w:b/>
          <w:lang w:val="en-US"/>
        </w:rPr>
        <w:t xml:space="preserve">measured, localized and predicted from their internal representations</w:t>
      </w:r>
      <w:r>
        <w:rPr>
          <w:rFonts w:cstheme="minorHAnsi"/>
          <w:lang w:val="en-US"/>
        </w:rPr>
        <w:t xml:space="preserve">, and this lets a limited real-data budget be spent where it matters. Navigation is the primary testbed; manipulation is the cross-task test. RQ1–RQ2 (H1–H2) are the core of the dissertation; RQ3–RQ4 (H3–H4) build on them.</w:t>
      </w:r>
    </w:p>
    <w:p>
      <w:pPr>
        <w:spacing w:after="120" w:line="240" w:lineRule="auto"/>
        <w:jc w:val="both"/>
      </w:pPr>
      <w:r>
        <w:rPr>
          <w:rFonts w:cstheme="minorHAnsi"/>
          <w:b/>
          <w:lang w:val="en-US"/>
        </w:rPr>
        <w:t xml:space="preserve">Setting.</w:t>
      </w:r>
      <w:r>
        <w:rPr>
          <w:rFonts w:cstheme="minorHAnsi"/>
          <w:lang w:val="en-US"/>
        </w:rPr>
        <w:t xml:space="preserve"> A </w:t>
      </w:r>
      <w:r>
        <w:rPr>
          <w:rFonts w:cstheme="minorHAnsi"/>
          <w:i/>
          <w:lang w:val="en-US"/>
        </w:rPr>
        <w:t xml:space="preserve">twin</w:t>
      </w:r>
      <w:r>
        <w:rPr>
          <w:rFonts w:cstheme="minorHAnsi"/>
          <w:lang w:val="en-US"/>
        </w:rPr>
        <w:t xml:space="preserve"> is a 3D Gaussian Splatting reconstruction of a real scene built from a short capture; the </w:t>
      </w:r>
      <w:r>
        <w:rPr>
          <w:rFonts w:cstheme="minorHAnsi"/>
          <w:i/>
          <w:lang w:val="en-US"/>
        </w:rPr>
        <w:t xml:space="preserve">capture budget</w:t>
      </w:r>
      <w:r>
        <w:rPr>
          <w:rFonts w:cstheme="minorHAnsi"/>
          <w:lang w:val="en-US"/>
        </w:rPr>
        <w:t xml:space="preserve"> is the number of capture minutes (views). Evaluation tiers: </w:t>
      </w:r>
      <w:r>
        <w:rPr>
          <w:rFonts w:cstheme="minorHAnsi"/>
          <w:b/>
          <w:lang w:val="en-US"/>
        </w:rPr>
        <w:t xml:space="preserve">(A)</w:t>
      </w:r>
      <w:r>
        <w:rPr>
          <w:rFonts w:cstheme="minorHAnsi"/>
          <w:lang w:val="en-US"/>
        </w:rPr>
        <w:t xml:space="preserve"> proxy reality on public scene datasets with real captures and reference scans (≥ 10 scenes, some held out), which decides the hypotheses; </w:t>
      </w:r>
      <w:r>
        <w:rPr>
          <w:rFonts w:cstheme="minorHAnsi"/>
          <w:b/>
          <w:lang w:val="en-US"/>
        </w:rPr>
        <w:t xml:space="preserve">(B)</w:t>
      </w:r>
      <w:r>
        <w:rPr>
          <w:rFonts w:cstheme="minorHAnsi"/>
          <w:lang w:val="en-US"/>
        </w:rPr>
        <w:t xml:space="preserve"> public real-world datasets and published real evaluations with real outcomes; </w:t>
      </w:r>
      <w:r>
        <w:rPr>
          <w:rFonts w:cstheme="minorHAnsi"/>
          <w:b/>
          <w:lang w:val="en-US"/>
        </w:rPr>
        <w:t xml:space="preserve">(C)</w:t>
      </w:r>
      <w:r>
        <w:rPr>
          <w:rFonts w:cstheme="minorHAnsi"/>
          <w:lang w:val="en-US"/>
        </w:rPr>
        <w:t xml:space="preserve"> real-robot trials, validation only. A </w:t>
      </w:r>
      <w:r>
        <w:rPr>
          <w:rFonts w:cstheme="minorHAnsi"/>
          <w:i/>
          <w:lang w:val="en-US"/>
        </w:rPr>
        <w:t xml:space="preserve">policy zoo</w:t>
      </w:r>
      <w:r>
        <w:rPr>
          <w:rFonts w:cstheme="minorHAnsi"/>
          <w:lang w:val="en-US"/>
        </w:rPr>
        <w:t xml:space="preserve"> (≥ 200 navigation policies varying scene, capture budget, architecture and training data) supplies the population for RQ2–RQ4. Tests are one-sided, α = 0.05, bootstrapped over scenes, Holm-corrected within each hypothesis and pre-registered in the repository. All thresholds are design choices fixed in that pre-registration.</w:t>
      </w:r>
    </w:p>
    <w:p>
      <w:pPr>
        <w:spacing w:after="120" w:line="240" w:lineRule="auto"/>
        <w:jc w:val="both"/>
      </w:pPr>
      <w:r>
        <w:rPr>
          <w:rFonts w:cstheme="minorHAnsi"/>
          <w:b/>
          <w:lang w:val="en-US"/>
        </w:rPr>
        <w:t xml:space="preserve">RQ1 (measure and localize).</w:t>
      </w:r>
      <w:r>
        <w:rPr>
          <w:rFonts w:cstheme="minorHAnsi"/>
          <w:lang w:val="en-US"/>
        </w:rPr>
        <w:t xml:space="preserve"> Where inside frozen encoders and twin-trained policies does the twin-vs-real gap arise, and how does it depend on the capture budget?</w:t>
      </w:r>
    </w:p>
    <w:p>
      <w:pPr>
        <w:spacing w:after="120" w:line="240" w:lineRule="auto"/>
        <w:jc w:val="both"/>
      </w:pPr>
      <w:r>
        <w:rPr>
          <w:rFonts w:cstheme="minorHAnsi"/>
          <w:b/>
          <w:lang w:val="en-US"/>
        </w:rPr>
        <w:t xml:space="preserve">H1.</w:t>
      </w:r>
      <w:r>
        <w:rPr>
          <w:rFonts w:cstheme="minorHAnsi"/>
          <w:lang w:val="en-US"/>
        </w:rPr>
        <w:t xml:space="preserve"> On paired real and twin-rendered frames of the same pose, the representation gap (1 − linear CKA, and the drop of linear-probe accuracy) (a) is </w:t>
      </w:r>
      <w:r>
        <w:rPr>
          <w:rFonts w:cstheme="minorHAnsi"/>
          <w:i/>
          <w:lang w:val="en-US"/>
        </w:rPr>
        <w:t xml:space="preserve">concentrated</w:t>
      </w:r>
      <w:r>
        <w:rPr>
          <w:rFonts w:cstheme="minorHAnsi"/>
          <w:lang w:val="en-US"/>
        </w:rPr>
        <w:t xml:space="preserve">: the third of layers with the largest gap holds ≥ 50% of the summed gap in ≥ 80% of scenes; (b) decreases monotonically with the capture budget (trend test over ≥ 4 budgets); (c) differs between ≥ 10 frozen encoders (Friedman test); and (d) the encoders' robustness ranking predicts their downstream twin→real success rate (SR) with Spearman ρ ≥ 0.6.</w:t>
      </w:r>
    </w:p>
    <w:p>
      <w:pPr>
        <w:spacing w:after="120" w:line="240" w:lineRule="auto"/>
        <w:jc w:val="both"/>
      </w:pPr>
      <w:r>
        <w:rPr>
          <w:rFonts w:cstheme="minorHAnsi"/>
          <w:b/>
          <w:lang w:val="en-US"/>
        </w:rPr>
        <w:t xml:space="preserve">RQ2 (predict).</w:t>
      </w:r>
      <w:r>
        <w:rPr>
          <w:rFonts w:cstheme="minorHAnsi"/>
          <w:lang w:val="en-US"/>
        </w:rPr>
        <w:t xml:space="preserve"> Can a twin-trained policy's real-world transfer and failures be forecast from its internals (hidden states, weights) without real rollouts?</w:t>
      </w:r>
    </w:p>
    <w:p>
      <w:pPr>
        <w:spacing w:after="120" w:line="240" w:lineRule="auto"/>
        <w:jc w:val="both"/>
      </w:pPr>
      <w:r>
        <w:rPr>
          <w:rFonts w:cstheme="minorHAnsi"/>
          <w:b/>
          <w:lang w:val="en-US"/>
        </w:rPr>
        <w:t xml:space="preserve">H2.</w:t>
      </w:r>
      <w:r>
        <w:rPr>
          <w:rFonts w:cstheme="minorHAnsi"/>
          <w:lang w:val="en-US"/>
        </w:rPr>
        <w:t xml:space="preserve"> (a) A predictor trained on the zoo (GNN over layers or weight-space metanetwork) predicts the twin→real SR gap on held-out scenes with ≥ 20% lower mean absolute error than the best of three baselines (twin SR alone, image fidelity PSNR/LPIPS, simulator-level predictivity); the lower 95% bound of the relative reduction must be &gt; 0. (b) Hidden-state failure monitors calibrated conformally in the twin at 90% coverage keep coverage ≥ 85% on real data (ε = 5 pp).</w:t>
      </w:r>
    </w:p>
    <w:p>
      <w:pPr>
        <w:spacing w:after="120" w:line="240" w:lineRule="auto"/>
        <w:jc w:val="both"/>
      </w:pPr>
      <w:r>
        <w:rPr>
          <w:rFonts w:cstheme="minorHAnsi"/>
          <w:b/>
          <w:lang w:val="en-US"/>
        </w:rPr>
        <w:t xml:space="preserve">RQ3 (use).</w:t>
      </w:r>
      <w:r>
        <w:rPr>
          <w:rFonts w:cstheme="minorHAnsi"/>
          <w:lang w:val="en-US"/>
        </w:rPr>
        <w:t xml:space="preserve"> Can these measures and forecasts allocate a limited real-data budget: which twin data to weight, what to capture and which real rollouts to collect?</w:t>
      </w:r>
    </w:p>
    <w:p>
      <w:pPr>
        <w:spacing w:after="120" w:line="240" w:lineRule="auto"/>
        <w:jc w:val="both"/>
      </w:pPr>
      <w:r>
        <w:rPr>
          <w:rFonts w:cstheme="minorHAnsi"/>
          <w:b/>
          <w:lang w:val="en-US"/>
        </w:rPr>
        <w:t xml:space="preserve">H3.</w:t>
      </w:r>
      <w:r>
        <w:rPr>
          <w:rFonts w:cstheme="minorHAnsi"/>
          <w:lang w:val="en-US"/>
        </w:rPr>
        <w:t xml:space="preserve"> Forecast-guided weighting, capture and rollout selection reaches the target real SR τ with ≥ 30% less real data than uniform or random allocation (capture minutes + real rollouts, converted to one operator-time cost at a pre-registered rate): B_guided(τ) ≤ 0.7 · B_uniform(τ) on fitted budget–performance curves, with the upper 95% bound of the ratio &lt; 1. τ is fixed in the pre-registration as the SR that uniform allocation reaches at the largest budget.</w:t>
      </w:r>
    </w:p>
    <w:p>
      <w:pPr>
        <w:spacing w:after="120" w:line="240" w:lineRule="auto"/>
        <w:jc w:val="both"/>
      </w:pPr>
      <w:r>
        <w:rPr>
          <w:rFonts w:cstheme="minorHAnsi"/>
          <w:b/>
          <w:lang w:val="en-US"/>
        </w:rPr>
        <w:t xml:space="preserve">RQ4 (generalize).</w:t>
      </w:r>
      <w:r>
        <w:rPr>
          <w:rFonts w:cstheme="minorHAnsi"/>
          <w:lang w:val="en-US"/>
        </w:rPr>
        <w:t xml:space="preserve"> Do the gap measures and predictors transfer across tasks and simulator families?</w:t>
      </w:r>
    </w:p>
    <w:p>
      <w:pPr>
        <w:spacing w:after="120" w:line="240" w:lineRule="auto"/>
        <w:jc w:val="both"/>
      </w:pPr>
      <w:r>
        <w:rPr>
          <w:rFonts w:cstheme="minorHAnsi"/>
          <w:b/>
          <w:lang w:val="en-US"/>
        </w:rPr>
        <w:t xml:space="preserve">H4.</w:t>
      </w:r>
      <w:r>
        <w:rPr>
          <w:rFonts w:cstheme="minorHAnsi"/>
          <w:lang w:val="en-US"/>
        </w:rPr>
        <w:t xml:space="preserve"> (a) A predictor trained on the navigation zoo, applied without retraining to manipulation policies with published paired sim/real results (≥ 12 policy–task pairs), ranks them by real outcome with Spearman ρ ≥ 0.5. (b) Its rank correlation with real outcomes exceeds that of a generic simulator (Sim-vs-Real Correlation Coefficient, SRCC) and of a learned world-model evaluator (95% CI of each paired difference excludes 0).</w:t>
      </w:r>
    </w:p>
    <w:p>
      <w:pPr>
        <w:spacing w:after="0" w:line="240" w:lineRule="auto"/>
        <w:jc w:val="both"/>
      </w:pPr>
      <w:r>
        <w:rPr>
          <w:rFonts w:cstheme="minorHAnsi"/>
          <w:b/>
          <w:lang w:val="en-US"/>
        </w:rPr>
        <w:t xml:space="preserve">Decision rule.</w:t>
      </w:r>
      <w:r>
        <w:rPr>
          <w:rFonts w:cstheme="minorHAnsi"/>
          <w:lang w:val="en-US"/>
        </w:rPr>
        <w:t xml:space="preserve"> A hypothesis is supported when all its parts pass on tier A; tiers B and C report agreement and are not used to tune thresholds.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internal representations</w:t>
      </w:r>
      <w:r>
        <w:rPr>
          <w:rFonts w:cstheme="minorHAnsi"/>
          <w:lang w:val="en-US"/>
        </w:rPr>
        <w:t xml:space="preserve"> of encoders and embodied policies trained in digital twins built by neural reconstruction of real scenes, used to measure, localize and predict how well the policies transfer to reality. Visual navigation is the primary testbed and robotic manipulation the cross-task test. Building twins or simulators, control design and mechanical engineering are not the object of the research.</w:t>
      </w:r>
    </w:p>
    <w:p>
      <w:pPr>
        <w:spacing w:after="120" w:line="240" w:lineRule="auto"/>
        <w:jc w:val="both"/>
      </w:pPr>
      <w:r>
        <w:rPr>
          <w:rFonts w:cstheme="minorHAnsi"/>
          <w:b/>
          <w:lang w:val="en-US"/>
        </w:rPr>
        <w:t xml:space="preserve">Key original contribution (core, RQ1–RQ2, H1–H2).</w:t>
      </w:r>
      <w:r>
        <w:rPr>
          <w:rFonts w:cstheme="minorHAnsi"/>
          <w:lang w:val="en-US"/>
        </w:rPr>
        <w:t xml:space="preserve"> To our knowledge, the first systematic test of whether the twin-to-real transfer of embodied policies can be </w:t>
      </w:r>
      <w:r>
        <w:rPr>
          <w:rFonts w:cstheme="minorHAnsi"/>
          <w:b/>
          <w:lang w:val="en-US"/>
        </w:rPr>
        <w:t xml:space="preserve">read from their representations</w:t>
      </w:r>
      <w:r>
        <w:rPr>
          <w:rFonts w:cstheme="minorHAnsi"/>
          <w:lang w:val="en-US"/>
        </w:rPr>
        <w:t xml:space="preserve">: where in the network the gap arises, how it shrinks with the capture budget, and how large it will be for a given policy, forecast from its hidden states or weights without real rollouts.</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Measuring and localizing the reconstruction gap (core; RQ1, H1).</w:t>
      </w:r>
      <w:r>
        <w:rPr>
          <w:rFonts w:cstheme="minorHAnsi"/>
          <w:lang w:val="en-US"/>
        </w:rPr>
        <w:t xml:space="preserve"> A layer-wise analysis of paired real and twin-rendered observations (representational similarity, probing) that locates the gap inside frozen visual encoders and policies, relates it to the capture budget, and ranks encoders by robustness to reconstruction artifacts, tested against downstream transfer.</w:t>
      </w:r>
    </w:p>
    <w:p>
      <w:pPr>
        <w:spacing w:after="40" w:line="240" w:lineRule="auto"/>
        <w:ind w:left="284" w:hanging="284"/>
        <w:jc w:val="both"/>
      </w:pPr>
      <w:r>
        <w:rPr>
          <w:rFonts w:cstheme="minorHAnsi"/>
          <w:lang w:val="en-US"/>
        </w:rPr>
        <w:t xml:space="preserve">2.	</w:t>
      </w:r>
      <w:r>
        <w:rPr>
          <w:rFonts w:cstheme="minorHAnsi"/>
          <w:b/>
          <w:lang w:val="en-US"/>
        </w:rPr>
        <w:t xml:space="preserve">Forecasting transfer and failure from internals (core; RQ2, H2).</w:t>
      </w:r>
      <w:r>
        <w:rPr>
          <w:rFonts w:cstheme="minorHAnsi"/>
          <w:lang w:val="en-US"/>
        </w:rPr>
        <w:t xml:space="preserve"> Predictors learned over a population of twin-trained policies (graph networks over layers, weight-space metanetworks) that estimate a policy's real performance before deployment, and hidden-state failure monitors whose statistical coverage is checked across the twin-to-real shift. This brings weight-space learning and model analysis to embodied policies and distribution shift.</w:t>
      </w:r>
    </w:p>
    <w:p>
      <w:pPr>
        <w:spacing w:after="40" w:line="240" w:lineRule="auto"/>
        <w:ind w:left="284" w:hanging="284"/>
        <w:jc w:val="both"/>
      </w:pPr>
      <w:r>
        <w:rPr>
          <w:rFonts w:cstheme="minorHAnsi"/>
          <w:lang w:val="en-US"/>
        </w:rPr>
        <w:t xml:space="preserve">3.	</w:t>
      </w:r>
      <w:r>
        <w:rPr>
          <w:rFonts w:cstheme="minorHAnsi"/>
          <w:b/>
          <w:lang w:val="en-US"/>
        </w:rPr>
        <w:t xml:space="preserve">Representation-guided use of a real-data budget (RQ3, H3).</w:t>
      </w:r>
      <w:r>
        <w:rPr>
          <w:rFonts w:cstheme="minorHAnsi"/>
          <w:lang w:val="en-US"/>
        </w:rPr>
        <w:t xml:space="preserve"> Methods that use the measures and forecasts to weight twin training data, choose what to capture and select which real rollouts to collect, quantified by budget–performance curves against uniform and random allocation.</w:t>
      </w:r>
    </w:p>
    <w:p>
      <w:pPr>
        <w:spacing w:after="40" w:line="240" w:lineRule="auto"/>
        <w:ind w:left="284" w:hanging="284"/>
        <w:jc w:val="both"/>
      </w:pPr>
      <w:r>
        <w:rPr>
          <w:rFonts w:cstheme="minorHAnsi"/>
          <w:lang w:val="en-US"/>
        </w:rPr>
        <w:t xml:space="preserve">4.	</w:t>
      </w:r>
      <w:r>
        <w:rPr>
          <w:rFonts w:cstheme="minorHAnsi"/>
          <w:b/>
          <w:lang w:val="en-US"/>
        </w:rPr>
        <w:t xml:space="preserve">Generalization of the measures (RQ4, H4).</w:t>
      </w:r>
      <w:r>
        <w:rPr>
          <w:rFonts w:cstheme="minorHAnsi"/>
          <w:lang w:val="en-US"/>
        </w:rPr>
        <w:t xml:space="preserve"> Evidence of whether representation-based predictors carry over from navigation to manipulation and across simulator families, compared with simulation-based predictivity (SRCC) and a learned world-model evaluator.</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Benchmark, data and software (supports all RQs).</w:t>
      </w:r>
      <w:r>
        <w:rPr>
          <w:rFonts w:cstheme="minorHAnsi"/>
          <w:lang w:val="en-US"/>
        </w:rPr>
        <w:t xml:space="preserve"> A public benchmark of paired real and twin-rendered frames at graded capture budgets, a released zoo of twin-trained policies with twin and real outcomes, and evaluation code with pre-registered protocols, built on existing open-source twin pipelines and simulators. It gives other groups a reproducible way to test sim-to-real claims and to screen policies and encoders before a costly real deployment.</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and trained models are increasingly deployed on data unlike their training data. Testing whether transfer can be diagnosed and forecast from a model's internals, and whether such forecasts save real data, is relevant to machine learning under distribution shift and to model evaluation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and ICLR (machine learning) and CVPR (computer vision), with ICML, ICCV and ECCV for resubmissions, as in §3, §11 and §12. P1 (RQ1, benchmark and localization) targets NeurIPS 2027; P2 (RQ2) ICLR or CVPR 2028; P3 (RQ3–RQ4, including manipulation) NeurIPS 2028.</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four stages (I–IV) that match §3 and the research questions of §7. For each stage we give the method, data, metric and success criterion. The student uses existing open-source 3D Gaussian Splatting (3DGS) pipelines and simulators and does not develop new ones. Stages I–II (RQ1–RQ2) are the core; Stages III–IV (RQ3–RQ4) build on them.</w:t>
      </w:r>
    </w:p>
    <w:p>
      <w:pPr>
        <w:spacing w:after="120" w:line="240" w:lineRule="auto"/>
        <w:jc w:val="both"/>
      </w:pPr>
      <w:r>
        <w:rPr>
          <w:rFonts w:cstheme="minorHAnsi"/>
          <w:b/>
          <w:lang w:val="en-US"/>
        </w:rPr>
        <w:t xml:space="preserve">Data and evaluation tiers.</w:t>
      </w:r>
      <w:r>
        <w:rPr>
          <w:rFonts w:cstheme="minorHAnsi"/>
          <w:lang w:val="en-US"/>
        </w:rPr>
        <w:t xml:space="preserve"> </w:t>
      </w:r>
      <w:r>
        <w:rPr>
          <w:rFonts w:cstheme="minorHAnsi"/>
          <w:i/>
          <w:lang w:val="en-US"/>
        </w:rPr>
        <w:t xml:space="preserve">Tier A (proxy reality; decides the hypotheses):</w:t>
      </w:r>
      <w:r>
        <w:rPr>
          <w:rFonts w:cstheme="minorHAnsi"/>
          <w:lang w:val="en-US"/>
        </w:rPr>
        <w:t xml:space="preserve"> ≥ 10 public indoor scenes that have real captures and a reference laser scan, e.g. ScanNet++ [17]. The reference scan, rendered in a GPU simulator (Habitat [1] or an Isaac-based 3DGS renderer such as GaussGym [6], chosen in T3.1), is the "real" target domain. The twin is a 3DGS reconstruction built from a subsample of the scene's real capture. The </w:t>
      </w:r>
      <w:r>
        <w:rPr>
          <w:rFonts w:cstheme="minorHAnsi"/>
          <w:b/>
          <w:lang w:val="en-US"/>
        </w:rPr>
        <w:t xml:space="preserve">capture budget</w:t>
      </w:r>
      <w:r>
        <w:rPr>
          <w:rFonts w:cstheme="minorHAnsi"/>
          <w:lang w:val="en-US"/>
        </w:rPr>
        <w:t xml:space="preserve"> (≥ 4 levels of capture minutes or views) is set by subsampling. Some scenes are held out. Frame-level measures use the real images; closed-loop outcomes use the rendered scan, and the gap between scan renders and real images is measured with the same tools, so the proxy's own error is known. </w:t>
      </w:r>
      <w:r>
        <w:rPr>
          <w:rFonts w:cstheme="minorHAnsi"/>
          <w:i/>
          <w:lang w:val="en-US"/>
        </w:rPr>
        <w:t xml:space="preserve">Tier B (real outcomes):</w:t>
      </w:r>
      <w:r>
        <w:rPr>
          <w:rFonts w:cstheme="minorHAnsi"/>
          <w:lang w:val="en-US"/>
        </w:rPr>
        <w:t xml:space="preserve"> public real-world navigation datasets for representation metrics and published paired sim/real evaluations of manipulation policies (SIMPLER [12]). </w:t>
      </w:r>
      <w:r>
        <w:rPr>
          <w:rFonts w:cstheme="minorHAnsi"/>
          <w:i/>
          <w:lang w:val="en-US"/>
        </w:rPr>
        <w:t xml:space="preserve">Tier C (validation only):</w:t>
      </w:r>
      <w:r>
        <w:rPr>
          <w:rFonts w:cstheme="minorHAnsi"/>
          <w:lang w:val="en-US"/>
        </w:rPr>
        <w:t xml:space="preserve"> ≥ 2 PWr environments with a mobile robot (planned cooperation with the K29 "Denali" Autonomous Robots Laboratory; agreement in T3.2), RGB-D camera and wheel odometry. </w:t>
      </w:r>
      <w:r>
        <w:rPr>
          <w:rFonts w:cstheme="minorHAnsi"/>
          <w:i/>
          <w:lang w:val="en-US"/>
        </w:rPr>
        <w:t xml:space="preserve">Compute:</w:t>
      </w:r>
      <w:r>
        <w:rPr>
          <w:rFonts w:cstheme="minorHAnsi"/>
          <w:lang w:val="en-US"/>
        </w:rPr>
        <w:t xml:space="preserve"> WCSS Lem (NVIDIA H100) and PLGrid allocations (to be applied for) .</w:t>
      </w:r>
    </w:p>
    <w:p>
      <w:pPr>
        <w:spacing w:after="120" w:line="240" w:lineRule="auto"/>
        <w:jc w:val="both"/>
      </w:pPr>
      <w:r>
        <w:rPr>
          <w:rFonts w:cstheme="minorHAnsi"/>
          <w:b/>
          <w:lang w:val="en-US"/>
        </w:rPr>
        <w:t xml:space="preserve">Stage I – paired-frame benchmark and gap localization (RQ1, H1; sem. 3–4).</w:t>
      </w:r>
    </w:p>
    <w:p>
      <w:pPr>
        <w:spacing w:after="40" w:line="240" w:lineRule="auto"/>
        <w:ind w:left="284" w:hanging="284"/>
        <w:jc w:val="both"/>
      </w:pPr>
      <w:r>
        <w:rPr>
          <w:rFonts w:cstheme="minorHAnsi"/>
          <w:lang w:val="en-US"/>
        </w:rPr>
        <w:t xml:space="preserve">•	</w:t>
      </w:r>
      <w:r>
        <w:rPr>
          <w:rFonts w:cstheme="minorHAnsi"/>
          <w:i/>
          <w:lang w:val="en-US"/>
        </w:rPr>
        <w:t xml:space="preserve">Benchmark:</w:t>
      </w:r>
      <w:r>
        <w:rPr>
          <w:rFonts w:cstheme="minorHAnsi"/>
          <w:lang w:val="en-US"/>
        </w:rPr>
        <w:t xml:space="preserve"> for every scene and capture budget we render twin frames at the camera poses of held-out real frames, which gives </w:t>
      </w:r>
      <w:r>
        <w:rPr>
          <w:rFonts w:cstheme="minorHAnsi"/>
          <w:b/>
          <w:lang w:val="en-US"/>
        </w:rPr>
        <w:t xml:space="preserve">paired real/twin frames of the same pose</w:t>
      </w:r>
      <w:r>
        <w:rPr>
          <w:rFonts w:cstheme="minorHAnsi"/>
          <w:lang w:val="en-US"/>
        </w:rPr>
        <w:t xml:space="preserve">, plus per-scene fidelity (PSNR, SSIM, LPIPS, depth error) and cost (capture minutes, GPU-hours).</w:t>
      </w:r>
    </w:p>
    <w:p>
      <w:pPr>
        <w:spacing w:after="40" w:line="240" w:lineRule="auto"/>
        <w:ind w:left="284" w:hanging="284"/>
        <w:jc w:val="both"/>
      </w:pPr>
      <w:r>
        <w:rPr>
          <w:rFonts w:cstheme="minorHAnsi"/>
          <w:lang w:val="en-US"/>
        </w:rPr>
        <w:t xml:space="preserve">•	</w:t>
      </w:r>
      <w:r>
        <w:rPr>
          <w:rFonts w:cstheme="minorHAnsi"/>
          <w:i/>
          <w:lang w:val="en-US"/>
        </w:rPr>
        <w:t xml:space="preserve">Encoders:</w:t>
      </w:r>
      <w:r>
        <w:rPr>
          <w:rFonts w:cstheme="minorHAnsi"/>
          <w:lang w:val="en-US"/>
        </w:rPr>
        <w:t xml:space="preserve"> ≥ 10 frozen image and video encoders used as policy backbones (e.g. DINOv2 [20], CLIP-type, V-JEPA 2 [21]), plus the encoders inside twin-trained policies.</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for each layer, </w:t>
      </w:r>
      <w:r>
        <w:rPr>
          <w:rFonts w:cstheme="minorHAnsi"/>
          <w:b/>
          <w:lang w:val="en-US"/>
        </w:rPr>
        <w:t xml:space="preserve">linear CKA</w:t>
      </w:r>
      <w:r>
        <w:rPr>
          <w:rFonts w:cstheme="minorHAnsi"/>
          <w:lang w:val="en-US"/>
        </w:rPr>
        <w:t xml:space="preserve"> [19] between real and twin activations, and </w:t>
      </w:r>
      <w:r>
        <w:rPr>
          <w:rFonts w:cstheme="minorHAnsi"/>
          <w:b/>
          <w:lang w:val="en-US"/>
        </w:rPr>
        <w:t xml:space="preserve">linear probes</w:t>
      </w:r>
      <w:r>
        <w:rPr>
          <w:rFonts w:cstheme="minorHAnsi"/>
          <w:lang w:val="en-US"/>
        </w:rPr>
        <w:t xml:space="preserve"> [18] trained on twin features and tested on real features (targets: depth, semantic class, relative goal direction). Gap = 1 − CKA and the probe-accuracy drop.</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concentration of the gap in layers, monotonic decrease with the capture budget, differences between encoders, and a robustness ranking that predicts downstream twin→real success rate (SR) with Spearman ρ ≥ 0.6. Downstream SR comes from navigation policies trained on each frozen encoder in the twins and tested in tier A. Decision rules are those of §7.</w:t>
      </w:r>
    </w:p>
    <w:p>
      <w:pPr>
        <w:spacing w:after="120" w:line="240" w:lineRule="auto"/>
        <w:jc w:val="both"/>
      </w:pPr>
      <w:r>
        <w:rPr>
          <w:rFonts w:cstheme="minorHAnsi"/>
          <w:b/>
          <w:lang w:val="en-US"/>
        </w:rPr>
        <w:t xml:space="preserve">Stage II – policy zoo and transfer forecasting (RQ2, H2; sem. 4–5).</w:t>
      </w:r>
    </w:p>
    <w:p>
      <w:pPr>
        <w:spacing w:after="40" w:line="240" w:lineRule="auto"/>
        <w:ind w:left="284" w:hanging="284"/>
        <w:jc w:val="both"/>
      </w:pPr>
      <w:r>
        <w:rPr>
          <w:rFonts w:cstheme="minorHAnsi"/>
          <w:lang w:val="en-US"/>
        </w:rPr>
        <w:t xml:space="preserve">•	</w:t>
      </w:r>
      <w:r>
        <w:rPr>
          <w:rFonts w:cstheme="minorHAnsi"/>
          <w:i/>
          <w:lang w:val="en-US"/>
        </w:rPr>
        <w:t xml:space="preserve">Policy zoo:</w:t>
      </w:r>
      <w:r>
        <w:rPr>
          <w:rFonts w:cstheme="minorHAnsi"/>
          <w:lang w:val="en-US"/>
        </w:rPr>
        <w:t xml:space="preserve"> ≥ 200 point-goal and image-goal navigation policies trained in the twins by reinforcement learning (PPO / DD-PPO) and imitation of a privileged planner. They vary scene, capture budget, encoder, architecture, training data and seed. Each policy is evaluated in its twin and in tier A, which gives the label: the twin→real SR gap. Small policies and shared frozen encoders keep the zoo within academic compute (a pilot in sem. 3 fixes the final size).</w:t>
      </w:r>
    </w:p>
    <w:p>
      <w:pPr>
        <w:spacing w:after="40" w:line="240" w:lineRule="auto"/>
        <w:ind w:left="284" w:hanging="284"/>
        <w:jc w:val="both"/>
      </w:pPr>
      <w:r>
        <w:rPr>
          <w:rFonts w:cstheme="minorHAnsi"/>
          <w:lang w:val="en-US"/>
        </w:rPr>
        <w:t xml:space="preserve">•	</w:t>
      </w:r>
      <w:r>
        <w:rPr>
          <w:rFonts w:cstheme="minorHAnsi"/>
          <w:i/>
          <w:lang w:val="en-US"/>
        </w:rPr>
        <w:t xml:space="preserve">Predictors:</w:t>
      </w:r>
      <w:r>
        <w:rPr>
          <w:rFonts w:cstheme="minorHAnsi"/>
          <w:lang w:val="en-US"/>
        </w:rPr>
        <w:t xml:space="preserve"> (i) a graph neural network over per-layer hidden-state statistics on a fixed probe set of twin frames and, where available, unlabelled real frames of the capture (no real rollouts; the student's prior method for forecasting from hidden states); (ii) weight-space metanetworks [26, 27]. </w:t>
      </w:r>
      <w:r>
        <w:rPr>
          <w:rFonts w:cstheme="minorHAnsi"/>
          <w:i/>
          <w:lang w:val="en-US"/>
        </w:rPr>
        <w:t xml:space="preserve">Baselines:</w:t>
      </w:r>
      <w:r>
        <w:rPr>
          <w:rFonts w:cstheme="minorHAnsi"/>
          <w:lang w:val="en-US"/>
        </w:rPr>
        <w:t xml:space="preserve"> twin SR alone, image fidelity (PSNR/LPIPS), and simulator-level predictivity: real SR predicted from twin SR by the sim-to-real mapping fitted on training scenes [10]. Splits are by held-out scene. Ablations keep fidelity fixed and vary the policy, so that the predictor cannot rely only on twin quality.</w:t>
      </w:r>
    </w:p>
    <w:p>
      <w:pPr>
        <w:spacing w:after="40" w:line="240" w:lineRule="auto"/>
        <w:ind w:left="284" w:hanging="284"/>
        <w:jc w:val="both"/>
      </w:pPr>
      <w:r>
        <w:rPr>
          <w:rFonts w:cstheme="minorHAnsi"/>
          <w:lang w:val="en-US"/>
        </w:rPr>
        <w:t xml:space="preserve">•	</w:t>
      </w:r>
      <w:r>
        <w:rPr>
          <w:rFonts w:cstheme="minorHAnsi"/>
          <w:i/>
          <w:lang w:val="en-US"/>
        </w:rPr>
        <w:t xml:space="preserve">Failure monitors:</w:t>
      </w:r>
      <w:r>
        <w:rPr>
          <w:rFonts w:cstheme="minorHAnsi"/>
          <w:lang w:val="en-US"/>
        </w:rPr>
        <w:t xml:space="preserve"> hidden-state failure scores (in the style of [29, 30]) with thresholds set by split conformal prediction [28] at 90% coverage in the twin; coverage is measured on tier A closed-loop rollouts (tier C reports agreement).</w:t>
      </w:r>
    </w:p>
    <w:p>
      <w:pPr>
        <w:spacing w:after="40" w:line="240" w:lineRule="auto"/>
        <w:ind w:left="284" w:hanging="284"/>
        <w:jc w:val="both"/>
      </w:pPr>
      <w:r>
        <w:rPr>
          <w:rFonts w:cstheme="minorHAnsi"/>
          <w:lang w:val="en-US"/>
        </w:rPr>
        <w:t xml:space="preserve">•	</w:t>
      </w:r>
      <w:r>
        <w:rPr>
          <w:rFonts w:cstheme="minorHAnsi"/>
          <w:i/>
          <w:lang w:val="en-US"/>
        </w:rPr>
        <w:t xml:space="preserve">Success criterion (H2):</w:t>
      </w:r>
      <w:r>
        <w:rPr>
          <w:rFonts w:cstheme="minorHAnsi"/>
          <w:lang w:val="en-US"/>
        </w:rPr>
        <w:t xml:space="preserve"> ≥ 20% lower MAE than the best baseline (lower 95% bound of the reduction &gt; 0), and real coverage ≥ 85% (ε = 5 pp).</w:t>
      </w:r>
    </w:p>
    <w:p>
      <w:pPr>
        <w:spacing w:after="120" w:line="240" w:lineRule="auto"/>
        <w:jc w:val="both"/>
      </w:pPr>
      <w:r>
        <w:rPr>
          <w:rFonts w:cstheme="minorHAnsi"/>
          <w:b/>
          <w:lang w:val="en-US"/>
        </w:rPr>
        <w:t xml:space="preserve">Stage III – budget-allocation experiments (RQ3, H3; sem. 5–6).</w:t>
      </w:r>
    </w:p>
    <w:p>
      <w:pPr>
        <w:spacing w:after="40" w:line="240" w:lineRule="auto"/>
        <w:ind w:left="284" w:hanging="284"/>
        <w:jc w:val="both"/>
      </w:pPr>
      <w:r>
        <w:rPr>
          <w:rFonts w:cstheme="minorHAnsi"/>
          <w:lang w:val="en-US"/>
        </w:rPr>
        <w:t xml:space="preserve">•	</w:t>
      </w:r>
      <w:r>
        <w:rPr>
          <w:rFonts w:cstheme="minorHAnsi"/>
          <w:i/>
          <w:lang w:val="en-US"/>
        </w:rPr>
        <w:t xml:space="preserve">Levers:</w:t>
      </w:r>
      <w:r>
        <w:rPr>
          <w:rFonts w:cstheme="minorHAnsi"/>
          <w:lang w:val="en-US"/>
        </w:rPr>
        <w:t xml:space="preserve"> (a) weighting of twin training data by representation distance to a small real set; (b) capture selection, i.e. which scenes or regions to (re)capture, guided by the localized gap from Stage I; (c) rollout selection, i.e. which real rollouts to collect, guided by the Stage II forecasts and their uncertainty. Real SR is estimated from few rollouts with prediction-powered inference [33, 34].</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and random allocation of the same budget. Analysis: attribution of real successes and failures to twin data [31, 32].</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budget–performance curves (real data = capture minutes + real rollouts in one operator-time cost) fitted per method; guided allocation reaches the target SR τ with ≤ 0.7 of the uniform budget (upper 95% bound of the ratio &lt; 1).</w:t>
      </w:r>
    </w:p>
    <w:p>
      <w:pPr>
        <w:spacing w:after="120" w:line="240" w:lineRule="auto"/>
        <w:jc w:val="both"/>
      </w:pPr>
      <w:r>
        <w:rPr>
          <w:rFonts w:cstheme="minorHAnsi"/>
          <w:b/>
          <w:lang w:val="en-US"/>
        </w:rPr>
        <w:t xml:space="preserve">Stage IV – cross-task and cross-simulator generalization (RQ4, H4; sem. 6).</w:t>
      </w:r>
    </w:p>
    <w:p>
      <w:pPr>
        <w:spacing w:after="40" w:line="240" w:lineRule="auto"/>
        <w:ind w:left="284" w:hanging="284"/>
        <w:jc w:val="both"/>
      </w:pPr>
      <w:r>
        <w:rPr>
          <w:rFonts w:cstheme="minorHAnsi"/>
          <w:lang w:val="en-US"/>
        </w:rPr>
        <w:t xml:space="preserve">•	</w:t>
      </w:r>
      <w:r>
        <w:rPr>
          <w:rFonts w:cstheme="minorHAnsi"/>
          <w:i/>
          <w:lang w:val="en-US"/>
        </w:rPr>
        <w:t xml:space="preserve">Manipulation set:</w:t>
      </w:r>
      <w:r>
        <w:rPr>
          <w:rFonts w:cstheme="minorHAnsi"/>
          <w:lang w:val="en-US"/>
        </w:rPr>
        <w:t xml:space="preserve"> public manipulation policies evaluated in the SIMPLER [12] replicas of real set-ups, with their published paired sim/real results as labels (tier B; ≥ 12 policy–task pairs). These policies are trained on real data, so the test asks whether performance in a simulated replica holds in reality.</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navigation-trained hidden-state predictor, which does not depend on the architecture, is applied without retraining. </w:t>
      </w:r>
      <w:r>
        <w:rPr>
          <w:rFonts w:cstheme="minorHAnsi"/>
          <w:i/>
          <w:lang w:val="en-US"/>
        </w:rPr>
        <w:t xml:space="preserve">Comparators:</w:t>
      </w:r>
      <w:r>
        <w:rPr>
          <w:rFonts w:cstheme="minorHAnsi"/>
          <w:lang w:val="en-US"/>
        </w:rPr>
        <w:t xml:space="preserve"> SRCC of a generic simulator [10] and a frozen learned world model used as a policy evaluator (in the style of [35]); world models are not trained.</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w:t>
      </w:r>
      <w:r>
        <w:rPr>
          <w:rFonts w:cstheme="minorHAnsi"/>
          <w:lang w:val="en-US"/>
        </w:rPr>
        <w:t xml:space="preserve"> Spearman ρ ≥ 0.5 on manipulation, and a higher rank correlation with real outcomes than both comparators (95% CI of each paired difference excludes 0).</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check that tier-A conclusions carry over: 8 zoo policies × 60 episodes (2 environments × 10 start–goal pairs × 3 trials), about 16 robot-hours per campaign at ~2 min per episode. Tier C is reported as agreement and is never used to tune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are one-sided (α = 0.05), bootstrapped over scenes and Holm-corrected within each hypothesis, as in §7. The protocol is pre-registered in the project repository before each stage, and changes are logged with reasons. Code, the paired-frame benchmark and the policy zoo are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uczą się dziś samodzielnego działania, na przykład poruszania się po budynku lub chwytania przedmiotów, metodą prób i błędów. Potrzebują do tego bardzo wielu prób, więc zwykle ćwiczą w symulacji komputerowej. Coraz częściej jest nią cyfrowy bliźniak: wierna, fotorealistyczna kopia prawdziwego miejsca, którą metody sztucznej inteligencji potrafią odtworzyć z krótkiego filmu nagranego telefonem. Kopia nigdy nie jest jednak idealna. Bywa rozmyta, ma drobne zniekształcenia i inaczej oddaje światło. Robot, który świetnie radzi sobie w kopii, może więc zawieść w prawdziwym świecie. Dziś można to sprawdzić tylko, wypuszczając go do prawdziwego budynku, a to jest powolne i kosztowne.</w:t>
      </w:r>
    </w:p>
    <w:p>
      <w:pPr>
        <w:spacing w:after="120" w:line="240" w:lineRule="auto"/>
        <w:jc w:val="both"/>
      </w:pPr>
      <w:r>
        <w:rPr>
          <w:rFonts w:cstheme="minorHAnsi"/>
          <w:lang w:val="pl-PL"/>
        </w:rPr>
        <w:t xml:space="preserve">Celem rozprawy jest sprawdzenie, czy da się to przewidzieć wcześniej, zaglądając „do głowy” robota. Model sztucznej inteligencji, który steruje robotem, przetwarza każdy obraz na wewnętrzny opis tego, co widzi. Zbadamy, czy obraz z kopii i obraz z rzeczywistości tego samego miejsca są przez model opisywane podobnie, w której części modelu pojawiają się różnice i jak maleją, gdy nagranie jest dłuższe. Następnie nauczymy osobny model przewidywać na podstawie tych wewnętrznych opisów, jak dobrze robot poradzi sobie w rzeczywistości i kiedy może popełnić błąd, zanim zostanie tam wysłany. Na koniec sprawdzimy, czy takie prognozy pomagają mądrze wydać niewielki zasób prawdziwych danych: co warto nagrać i które próby w rzeczywistości przeprowadzić. Głównym zadaniem testowym będzie nawigacja robota mobilnego, a sprawdzianem uniwersalności chwytanie przedmiotów ramieniem robota. Badania będą prowadzone przede wszystkim na publicznie dostępnych nagraniach i trójwymiarowych skanach prawdziwych budynków, a wybrane wyniki zostaną potwierdzone na prawdziwym robocie.</w:t>
      </w:r>
    </w:p>
    <w:p>
      <w:pPr>
        <w:spacing w:after="0" w:line="240" w:lineRule="auto"/>
        <w:jc w:val="both"/>
      </w:pPr>
      <w:r>
        <w:rPr>
          <w:rFonts w:cstheme="minorHAnsi"/>
          <w:lang w:val="pl-PL"/>
        </w:rPr>
        <w:t xml:space="preserve">Spodziewanym efektem są metody, które pozwolą ocenić robota wyuczonego w cyfrowej kopii, zanim trafi do prawdziwego świata, oraz zmniejszyć liczbę kosztownych prób w rzeczywistości. Może to przyspieszyć i potanić wdrażanie robotów w magazynach, szpitalach, biurach i fabrykach. Opracowane oprogramowanie, dane i wyuczone modele zostaną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today learn to act on their own, for example to move around a building or to grasp objects, by trial and error. They need a very large number of trials, so they usually practise in a computer simulation. Increasingly, this is a digital twin: a faithful, photorealistic copy of a real place that artificial intelligence methods can reconstruct from a short video recorded with a phone. The copy, however, is never perfect. It can be blurry, have small distortions and render light differently. A robot that does very well in the copy may therefore fail in the real world. Today this can only be checked by sending it into a real building, which is slow and costly.</w:t>
      </w:r>
    </w:p>
    <w:p>
      <w:pPr>
        <w:spacing w:after="120" w:line="240" w:lineRule="auto"/>
        <w:jc w:val="both"/>
      </w:pPr>
      <w:r>
        <w:rPr>
          <w:rFonts w:cstheme="minorHAnsi"/>
          <w:lang w:val="en-US"/>
        </w:rPr>
        <w:t xml:space="preserve">The goal of this dissertation is to find out whether this can be predicted earlier by looking "inside the head" of the robot. The artificial intelligence model that controls the robot turns every image into an internal description of what it sees. We will study whether an image from the copy and an image from reality of the same place are described similarly by the model, in which part of the model differences appear, and how they shrink when the recording is longer. Next, we will teach a separate model to predict from these internal descriptions how well the robot will cope in reality and when it may make a mistake, before it is sent there. Finally, we will check whether such forecasts help to spend a small amount of real data wisely: what is worth recording and which trials in reality to carry out. Mobile-robot navigation will be the main test task, and grasping objects with a robot arm will test how universal the approach is. The research will be carried out mainly on publicly available recordings and three-dimensional scans of real buildings, and selected results will be confirmed on a real robot.</w:t>
      </w:r>
    </w:p>
    <w:p>
      <w:pPr>
        <w:spacing w:after="0" w:line="240" w:lineRule="auto"/>
        <w:jc w:val="both"/>
      </w:pPr>
      <w:r>
        <w:rPr>
          <w:rFonts w:cstheme="minorHAnsi"/>
          <w:lang w:val="en-US"/>
        </w:rPr>
        <w:t xml:space="preserve">The expected result is methods that make it possible to assess a robot trained in a digital copy before it reaches the real world, and to reduce the number of costly trials in reality. This may make deploying robots in warehouses, hospitals, offices and factories faster and cheaper. The software, data and trained models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w:t>
      </w:r>
      <w:r>
        <w:rPr>
          <w:rFonts w:cstheme="minorHAnsi"/>
          <w:b/>
          <w:lang w:val="en-US"/>
        </w:rPr>
        <w:t xml:space="preserve">Conference on Neural Information Processing Systems (NeurIPS 2027)</w:t>
      </w:r>
      <w:r>
        <w:rPr>
          <w:rFonts w:cstheme="minorHAnsi"/>
          <w:lang w:val="en-US"/>
        </w:rPr>
        <w:t xml:space="preserve">, main track or Datasets &amp; Benchmarks track.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Stage I (RQ1): a benchmark of paired real and twin-rendered frames, the localization of the twin-vs-real gap inside frozen encoders, and a first test of whether encoder robustness predicts the transfer of twin-trained policies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All papers target 200-point conferences assigned to the discipline (list of 5.01.2024; re-checked against the new list).</w:t>
      </w:r>
    </w:p>
    <w:tbl>
      <w:tblPr>
        <w:tblStyle w:val="Tabela-Siatka"/>
        <w:tblW w:w="9072" w:type="dxa"/>
        <w:tblLayout w:type="fixed"/>
      </w:tblPr>
      <w:tblGrid>
        <w:gridCol w:w="1269"/>
        <w:gridCol w:w="3684"/>
        <w:gridCol w:w="1269"/>
        <w:gridCol w:w="1238"/>
        <w:gridCol w:w="1612"/>
      </w:tblGrid>
      <w:tr>
        <w:tc>
          <w:tcPr>
            <w:tcW w:w="1269" w:type="dxa"/>
          </w:tcPr>
          <w:p>
            <w:pPr>
              <w:spacing w:after="0" w:line="240" w:lineRule="auto"/>
              <w:jc w:val="left"/>
            </w:pPr>
            <w:r>
              <w:rPr>
                <w:rFonts w:cstheme="minorHAnsi"/>
                <w:b/>
                <w:lang w:val="en-US"/>
              </w:rPr>
              <w:t xml:space="preserve">Year</w:t>
            </w:r>
          </w:p>
        </w:tc>
        <w:tc>
          <w:tcPr>
            <w:tcW w:w="3684"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Data and code</w:t>
            </w:r>
          </w:p>
        </w:tc>
        <w:tc>
          <w:tcPr>
            <w:tcW w:w="1238" w:type="dxa"/>
          </w:tcPr>
          <w:p>
            <w:pPr>
              <w:spacing w:after="0" w:line="240" w:lineRule="auto"/>
              <w:jc w:val="left"/>
            </w:pPr>
            <w:r>
              <w:rPr>
                <w:rFonts w:cstheme="minorHAnsi"/>
                <w:b/>
                <w:lang w:val="en-US"/>
              </w:rPr>
              <w:t xml:space="preserve">Grants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684"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23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684" w:type="dxa"/>
          </w:tcPr>
          <w:p>
            <w:pPr>
              <w:spacing w:after="0" w:line="240" w:lineRule="auto"/>
              <w:jc w:val="left"/>
            </w:pPr>
            <w:r>
              <w:rPr>
                <w:rFonts w:cstheme="minorHAnsi"/>
                <w:lang w:val="en-US"/>
              </w:rPr>
              <w:t xml:space="preserve">P1 (RQ1, paired-frame benchmark and gap localization): NeurIPS 2027, May 2027 (§11)</w:t>
            </w:r>
          </w:p>
        </w:tc>
        <w:tc>
          <w:tcPr>
            <w:tcW w:w="1269" w:type="dxa"/>
          </w:tcPr>
          <w:p>
            <w:pPr>
              <w:spacing w:after="0" w:line="240" w:lineRule="auto"/>
              <w:jc w:val="left"/>
            </w:pPr>
            <w:r>
              <w:rPr>
                <w:rFonts w:cstheme="minorHAnsi"/>
                <w:lang w:val="en-US"/>
              </w:rPr>
              <w:t xml:space="preserve">Benchmark v1</w:t>
            </w:r>
          </w:p>
        </w:tc>
        <w:tc>
          <w:tcPr>
            <w:tcW w:w="1238" w:type="dxa"/>
          </w:tcPr>
          <w:p>
            <w:pPr>
              <w:spacing w:after="0" w:line="240" w:lineRule="auto"/>
              <w:jc w:val="left"/>
            </w:pPr>
            <w:r>
              <w:rPr>
                <w:rFonts w:cstheme="minorHAnsi"/>
                <w:lang w:val="en-US"/>
              </w:rPr>
              <w:t xml:space="preserve">SzD Minigrant; NCN PRELUDIUM; NAWA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684" w:type="dxa"/>
          </w:tcPr>
          <w:p>
            <w:pPr>
              <w:spacing w:after="0" w:line="240" w:lineRule="auto"/>
              <w:jc w:val="left"/>
            </w:pPr>
            <w:r>
              <w:rPr>
                <w:rFonts w:cstheme="minorHAnsi"/>
                <w:lang w:val="en-US"/>
              </w:rPr>
              <w:t xml:space="preserve">P2 (RQ2, forecasting transfer and failure): CVPR or ICLR 2028; P3 (RQ3–RQ4, budget allocation, manipulation): NeurIPS 2028</w:t>
            </w:r>
          </w:p>
        </w:tc>
        <w:tc>
          <w:tcPr>
            <w:tcW w:w="1269" w:type="dxa"/>
          </w:tcPr>
          <w:p>
            <w:pPr>
              <w:spacing w:after="0" w:line="240" w:lineRule="auto"/>
              <w:jc w:val="left"/>
            </w:pPr>
            <w:r>
              <w:rPr>
                <w:rFonts w:cstheme="minorHAnsi"/>
                <w:lang w:val="en-US"/>
              </w:rPr>
              <w:t xml:space="preserve">Policy zoo</w:t>
            </w:r>
          </w:p>
        </w:tc>
        <w:tc>
          <w:tcPr>
            <w:tcW w:w="123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684"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Full release</w:t>
            </w:r>
          </w:p>
        </w:tc>
        <w:tc>
          <w:tcPr>
            <w:tcW w:w="1238"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are the thematically linked core of the dissertation;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[4]. (2) Multi-robot Systems Lab, Stanford University (M. Schwager): Gaussian-splatting scene models and navigation. A European host (Erasmus+ route) from the weight-space learning community (authors of [25–27])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Real-robot validation is planned with the </w:t>
      </w:r>
      <w:r>
        <w:rPr>
          <w:rFonts w:cstheme="minorHAnsi"/>
          <w:i/>
          <w:lang w:val="en-US"/>
        </w:rPr>
        <w:t xml:space="preserve">Denali</w:t>
      </w:r>
      <w:r>
        <w:rPr>
          <w:rFonts w:cstheme="minorHAnsi"/>
          <w:lang w:val="en-US"/>
        </w:rPr>
        <w:t xml:space="preserve"> Autonomous Robots Laboratory (K29, W12N;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Policy zoo too small</w:t>
      </w:r>
      <w:r>
        <w:rPr>
          <w:rFonts w:cstheme="minorHAnsi"/>
          <w:lang w:val="en-US"/>
        </w:rPr>
        <w:t xml:space="preserve"> (4–5): small policies, shared frozen encoders, imitation of a privileged planner; the sem. 3 pilot fixes the size; WCSS and PLGrid grants.</w:t>
      </w:r>
    </w:p>
    <w:p>
      <w:pPr>
        <w:spacing w:after="40" w:line="240" w:lineRule="auto"/>
        <w:ind w:left="284" w:hanging="284"/>
        <w:jc w:val="both"/>
      </w:pPr>
      <w:r>
        <w:rPr>
          <w:rFonts w:cstheme="minorHAnsi"/>
          <w:lang w:val="en-US"/>
        </w:rPr>
        <w:t xml:space="preserve">•	</w:t>
      </w:r>
      <w:r>
        <w:rPr>
          <w:rFonts w:cstheme="minorHAnsi"/>
          <w:i/>
          <w:lang w:val="en-US"/>
        </w:rPr>
        <w:t xml:space="preserve">Twin–real pairs unavailable</w:t>
      </w:r>
      <w:r>
        <w:rPr>
          <w:rFonts w:cstheme="minorHAnsi"/>
          <w:lang w:val="en-US"/>
        </w:rPr>
        <w:t xml:space="preserve"> (3): licence or quality limits on the chosen dataset. Other public datasets with real captures and reference scans, and own captures at PWr.</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failure detection and policy interpretability move fast. Early preprints, benchmark release, monthly literature monitoring; the zoo and weight-space angle differentiate the work.</w:t>
      </w:r>
    </w:p>
    <w:p>
      <w:pPr>
        <w:spacing w:after="40" w:line="240" w:lineRule="auto"/>
        <w:ind w:left="284" w:hanging="284"/>
        <w:jc w:val="both"/>
      </w:pPr>
      <w:r>
        <w:rPr>
          <w:rFonts w:cstheme="minorHAnsi"/>
          <w:lang w:val="en-US"/>
        </w:rPr>
        <w:t xml:space="preserve">•	</w:t>
      </w:r>
      <w:r>
        <w:rPr>
          <w:rFonts w:cstheme="minorHAnsi"/>
          <w:i/>
          <w:lang w:val="en-US"/>
        </w:rPr>
        <w:t xml:space="preserve">Predictor learns only twin fidelity</w:t>
      </w:r>
      <w:r>
        <w:rPr>
          <w:rFonts w:cstheme="minorHAnsi"/>
          <w:lang w:val="en-US"/>
        </w:rPr>
        <w:t xml:space="preserve"> (5): ablations with fixed fidelity; a negative result still answers RQ2.</w:t>
      </w:r>
    </w:p>
    <w:p>
      <w:pPr>
        <w:spacing w:after="40" w:line="240" w:lineRule="auto"/>
        <w:ind w:left="284" w:hanging="284"/>
        <w:jc w:val="both"/>
      </w:pPr>
      <w:r>
        <w:rPr>
          <w:rFonts w:cstheme="minorHAnsi"/>
          <w:lang w:val="en-US"/>
        </w:rPr>
        <w:t xml:space="preserve">•	</w:t>
      </w:r>
      <w:r>
        <w:rPr>
          <w:rFonts w:cstheme="minorHAnsi"/>
          <w:i/>
          <w:lang w:val="en-US"/>
        </w:rPr>
        <w:t xml:space="preserve">Proxy reality differs from reality</w:t>
      </w:r>
      <w:r>
        <w:rPr>
          <w:rFonts w:cstheme="minorHAnsi"/>
          <w:lang w:val="en-US"/>
        </w:rPr>
        <w:t xml:space="preserve"> (5–7): tier C campaigns check agreement; they can move by a semester.</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every paper has a resubmission path inside the 200-point set, 2–4 months later (e.g. NeurIPS → CVPR → ICML → ECCV/ICCV), so the degree requirement does not depend on one decision.</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forecasts from hidden states with a graph neural network over layers; Stage II adapts the method, but the paper is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anonymize personal data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