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simulation-to-reality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a robotics conference or journal from the ministerial list focused on physical AI, e.g. ICRA 2028 or IEEE Robotics and Automation Letters (RA-L).</w:t>
            </w:r>
          </w:p>
          <w:p>
            <w:pPr>
              <w:spacing w:after="40" w:line="240" w:lineRule="auto"/>
              <w:jc w:val="left"/>
            </w:pPr>
            <w:r>
              <w:rPr>
                <w:rFonts w:cstheme="minorHAnsi"/>
                <w:lang w:val="en-US"/>
              </w:rPr>
              <w:t xml:space="preserve">4. Starting the research on localizing the simulation-to-reality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localizing the simulation-to-reality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simulation-to-reality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real-to-simulation-to-real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simulation-to-reality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real-to-simulation-to-real transfer with representation learning methods, at the points of the loop where the simulation-to-reality gap arises. The research shall focus on understanding which reconstruction errors of a digital twin are harmful to generalization, on localizing where inside a model the gap arises and reducing it there, and on choosing the small amount of real data that corrects both the digital twin and the model most efficiently. It shall also verify whether the obtained improvements carry over to unseen environments and from one physical task to another, and which properties of the shift explain when they do. The methods shall not be tied to a particular task; robot navigation and robotic manipulation are planned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simulation-to-reality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cannot reduce the joint error, correcting the simulation towards reality.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simulation-and-real co-training aligns the two domains while keeping them distinguishable [9], so domain separability alone does not show where the gap harms the task. Invariance is also usually enforced at a fixed location, the input or the final features.</w:t>
      </w:r>
    </w:p>
    <w:p>
      <w:pPr>
        <w:spacing w:after="120" w:line="240" w:lineRule="auto"/>
        <w:jc w:val="both"/>
      </w:pPr>
      <w:r>
        <w:rPr>
          <w:rFonts w:cstheme="minorHAnsi"/>
          <w:lang w:val="en-US"/>
        </w:rPr>
        <w:t xml:space="preserve">Digital twins are a more recent approach.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The effect of simulation factors has been studied mainly globally, e.g., randomization, photorealism and physics realism in real-world manipulation [17], or task-relevant fidelity in robotic ultrasound [18]. For both tasks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These methods correct either the model or the simulation. To our knowledge, correcting both from the same selected data, guided by the twin's reconstruction uncertainty,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To test this,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simulation-to-reality gap arise, and can aligning representations at that stage reduce it?</w:t>
      </w:r>
      <w:r>
        <w:rPr>
          <w:rFonts w:cstheme="minorHAnsi"/>
          <w:lang w:val="en-US"/>
        </w:rPr>
        <w:t xml:space="preserve"> Models trained in simulation can rely on features absent in reality, such as reconstruction artifacts. Even in models that transfer well, simulated and real inputs remain distinguishable, so the gap is better localized by the task information the model loses on real inputs.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Probing of hidden states will locate this stage before any intervention.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Invariance does not reduce the joint error term, which shrinks only as the simulation gets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as estimated from the reconstruction uncertainty, the representation distance between simulated and real views and the sensitivity of the predicted action. Such selection is expected to beat random and failure-driven selection. Selection rules will be compared at equal budgets in both tasks, with unlabelled real images counted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useful method should work beyond a single scene or task. The developed methods shall therefore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better than simple indicators such as the raw size of the gap or the image-level discrepancy. This prediction will be tested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simulation-to-reality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finding where inside a deep model the simulation-to-reality gap arises and of reducing it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and to the discrepancy between the two.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to attribute the gap to types of error, and will study randomization guided by reconstruction uncertainty and task relevance. For the second question, simple probes on the hidden states of models will show at which stage task information decodable in simulation is lost on real inputs, and alignment at that stage will be compared with alternatives. The third question concerns ways of selecting a small amount of real data used to correct both the twin and the model. For the fourth question, the methods will be applied to held-out scenes of both tasks to check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simulation-to-reality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ICRA, IROS, RSS and IEEE RA-L, as well as NeurIPS, ICML, ICLR and CVPR,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