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theme/theme1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ae8e36b05f14c29">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FFFFFF" w:themeColor="background1"/>
                      <w:sz w:val="28"/>
                      <w:lang w:val="en-US"/>
                    </w:rPr>
                  </w:pPr>
                  <w:r>
                    <w:rPr>
                      <w:rFonts w:ascii="Roboto" w:hAnsi="Roboto"/>
                      <w:color w:val="FFFFFF" w:themeColor="background1"/>
                      <w:sz w:val="28"/>
                      <w:lang w:val="en-US"/>
                    </w:rPr>
                    <w:t>Abonnieren Sie DeepL Pro, um dieses Dokument zu bearbeiten.</w:t>
                  </w:r>
                  <w:r>
                    <w:br/>
                  </w:r>
                  <w:r>
                    <w:rPr>
                      <w:rFonts w:ascii="Roboto" w:hAnsi="Roboto"/>
                      <w:color w:val="FFFFFF" w:themeColor="background1"/>
                      <w:sz w:val="22"/>
                    </w:rPr>
                    <w:t>Weitere Informationen finden Sie auf www.DeepL.com/Pro</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E35D9D" w:rsidR="00E35D9D" w:rsidP="00E35D9D" w:rsidRDefault="00E35D9D" w14:paraId="234A755A"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E35D9D">
        <w:rPr>
          <w:rFonts w:ascii="Times New Roman" w:hAnsi="Times New Roman" w:eastAsia="Times New Roman" w:cs="Times New Roman"/>
          <w:b/>
          <w:bCs/>
          <w:color w:val="444444"/>
          <w:sz w:val="42"/>
          <w:szCs w:val="42"/>
          <w:lang w:val="fr-FR" w:eastAsia="de-DE"/>
        </w:rPr>
        <w:t xml:space="preserve">Agrar- und Lebensmittel-Lieferkette - unfaire Handelspraktiken in Business-to-Business-Beziehungen</w:t>
      </w:r>
    </w:p>
    <w:p w:rsidRPr="00E35D9D" w:rsidR="00E35D9D" w:rsidP="00E35D9D" w:rsidRDefault="00E35D9D" w14:paraId="7A84CF1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 </w:t>
      </w:r>
    </w:p>
    <w:p w:rsidRPr="00E35D9D" w:rsidR="00E35D9D" w:rsidP="00E35D9D" w:rsidRDefault="00E35D9D" w14:paraId="5408A30E"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DOKUMENTENZUSAMMENFASSUNG:</w:t>
      </w:r>
    </w:p>
    <w:p w:rsidRPr="00E35D9D" w:rsidR="00E35D9D" w:rsidP="00E35D9D" w:rsidRDefault="00E52C24" w14:paraId="6A642EDE"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5">
        <w:r w:rsidRPr="00E35D9D" w:rsidR="00E35D9D">
          <w:rPr>
            <w:rFonts w:ascii="Times New Roman" w:hAnsi="Times New Roman" w:eastAsia="Times New Roman" w:cs="Times New Roman"/>
            <w:color w:val="0000FF"/>
            <w:sz w:val="27"/>
            <w:szCs w:val="27"/>
            <w:u w:val="single"/>
            <w:lang w:val="fr-FR" w:eastAsia="de-DE"/>
          </w:rPr>
          <w:t xml:space="preserve">Richtlinie (EU) 2019/633 über unlautere Geschäftspraktiken in den Beziehungen zwischen Unternehmen innerhalb der Lieferkette für landwirtschaftliche Erzeugnisse und Lebensmittel</w:t>
        </w:r>
      </w:hyperlink>
    </w:p>
    <w:p w:rsidRPr="00E35D9D" w:rsidR="00E35D9D" w:rsidP="00E35D9D" w:rsidRDefault="00E35D9D" w14:paraId="2066F23C"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WAS IST DER ZWECK DIESER RICHTLINIE?</w:t>
      </w:r>
    </w:p>
    <w:p w:rsidRPr="00E35D9D" w:rsidR="00E35D9D" w:rsidP="00E35D9D" w:rsidRDefault="00E35D9D" w14:paraId="2867BDBE" w14:textId="77777777">
      <w:pPr>
        <w:numPr>
          <w:ilvl w:val="0"/>
          <w:numId w:val="1"/>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Sie stellt eine Mindestliste </w:t>
      </w:r>
      <w:r w:rsidRPr="00E35D9D">
        <w:rPr>
          <w:rFonts w:ascii="Times New Roman" w:hAnsi="Times New Roman" w:eastAsia="Times New Roman" w:cs="Times New Roman"/>
          <w:b/>
          <w:bCs/>
          <w:color w:val="000000"/>
          <w:sz w:val="27"/>
          <w:szCs w:val="27"/>
          <w:lang w:val="fr-FR" w:eastAsia="de-DE"/>
        </w:rPr>
        <w:t xml:space="preserve">verbotener unlauterer Geschäftspraktiken </w:t>
      </w:r>
      <w:r w:rsidRPr="00E35D9D">
        <w:rPr>
          <w:rFonts w:ascii="Times New Roman" w:hAnsi="Times New Roman" w:eastAsia="Times New Roman" w:cs="Times New Roman"/>
          <w:color w:val="000000"/>
          <w:sz w:val="27"/>
          <w:szCs w:val="27"/>
          <w:lang w:val="fr-FR" w:eastAsia="de-DE"/>
        </w:rPr>
        <w:t xml:space="preserve">in Käufer-Lieferanten-Beziehungen in der Agrar- und Lebensmittelversorgungskette auf und legt Mindestregeln für die Durchsetzung dieser Verbote fest.</w:t>
      </w:r>
    </w:p>
    <w:p w:rsidRPr="00E35D9D" w:rsidR="00E35D9D" w:rsidP="00E35D9D" w:rsidRDefault="00E35D9D" w14:paraId="2EE6E29D" w14:textId="77777777">
      <w:pPr>
        <w:numPr>
          <w:ilvl w:val="0"/>
          <w:numId w:val="1"/>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Es soll verhindern, dass große Unternehmen kleine und mittlere Zulieferer aufgrund ihrer schwächeren Verhandlungsposition ausbeuten und dass die Kosten für solche Praktiken auf die Primärproduzenten abgewälzt werden.</w:t>
      </w:r>
    </w:p>
    <w:p w:rsidRPr="00E35D9D" w:rsidR="00E35D9D" w:rsidP="00E35D9D" w:rsidRDefault="00E35D9D" w14:paraId="6A906A8A"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SCHLÜSSELPUNKTE</w:t>
      </w:r>
    </w:p>
    <w:p w:rsidRPr="00E35D9D" w:rsidR="00E35D9D" w:rsidP="00E35D9D" w:rsidRDefault="00E35D9D" w14:paraId="4154113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Diese Regeln schützen sowohl kleine und mittlere Lieferanten als auch größere Lieferanten mit einem Jahresumsatz von bis zu 350 Millionen Euro. Der Schutz basiert auf der relativen Größe des Lieferanten und des Käufers in Bezug auf den Jahresumsatz. Diese Lieferanten sind in 5 Umsatz-Unterkategorien unterteilt:</w:t>
      </w:r>
    </w:p>
    <w:p w:rsidRPr="00E35D9D" w:rsidR="00E35D9D" w:rsidP="00E35D9D" w:rsidRDefault="00E35D9D" w14:paraId="51263A95" w14:textId="77777777">
      <w:pPr>
        <w:numPr>
          <w:ilvl w:val="0"/>
          <w:numId w:val="2"/>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bis zu </w:t>
      </w:r>
      <w:r w:rsidRPr="00E35D9D">
        <w:rPr>
          <w:rFonts w:ascii="Times New Roman" w:hAnsi="Times New Roman" w:eastAsia="Times New Roman" w:cs="Times New Roman"/>
          <w:color w:val="000000"/>
          <w:sz w:val="27"/>
          <w:szCs w:val="27"/>
          <w:lang w:eastAsia="de-DE"/>
        </w:rPr>
        <w:t xml:space="preserve">2 </w:t>
      </w:r>
      <w:r w:rsidRPr="00E35D9D">
        <w:rPr>
          <w:rFonts w:ascii="Times New Roman" w:hAnsi="Times New Roman" w:eastAsia="Times New Roman" w:cs="Times New Roman"/>
          <w:color w:val="000000"/>
          <w:sz w:val="27"/>
          <w:szCs w:val="27"/>
          <w:lang w:eastAsia="de-DE"/>
        </w:rPr>
        <w:t xml:space="preserve">Millionen </w:t>
      </w:r>
      <w:r w:rsidRPr="00E35D9D">
        <w:rPr>
          <w:rFonts w:ascii="Times New Roman" w:hAnsi="Times New Roman" w:eastAsia="Times New Roman" w:cs="Times New Roman"/>
          <w:color w:val="000000"/>
          <w:sz w:val="27"/>
          <w:szCs w:val="27"/>
          <w:lang w:eastAsia="de-DE"/>
        </w:rPr>
        <w:t xml:space="preserve">Euro</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35D9D" w14:paraId="42A255C6" w14:textId="77777777">
      <w:pPr>
        <w:numPr>
          <w:ilvl w:val="0"/>
          <w:numId w:val="2"/>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zwischen 2 und 10 </w:t>
      </w:r>
      <w:r w:rsidRPr="00E35D9D">
        <w:rPr>
          <w:rFonts w:ascii="Times New Roman" w:hAnsi="Times New Roman" w:eastAsia="Times New Roman" w:cs="Times New Roman"/>
          <w:color w:val="000000"/>
          <w:sz w:val="27"/>
          <w:szCs w:val="27"/>
          <w:lang w:eastAsia="de-DE"/>
        </w:rPr>
        <w:t xml:space="preserve">Millionen </w:t>
      </w:r>
      <w:r w:rsidRPr="00E35D9D">
        <w:rPr>
          <w:rFonts w:ascii="Times New Roman" w:hAnsi="Times New Roman" w:eastAsia="Times New Roman" w:cs="Times New Roman"/>
          <w:color w:val="000000"/>
          <w:sz w:val="27"/>
          <w:szCs w:val="27"/>
          <w:lang w:eastAsia="de-DE"/>
        </w:rPr>
        <w:t xml:space="preserve">Euro</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35D9D" w14:paraId="68C15921" w14:textId="77777777">
      <w:pPr>
        <w:numPr>
          <w:ilvl w:val="0"/>
          <w:numId w:val="2"/>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10 bis 50 </w:t>
      </w:r>
      <w:r w:rsidRPr="00E35D9D">
        <w:rPr>
          <w:rFonts w:ascii="Times New Roman" w:hAnsi="Times New Roman" w:eastAsia="Times New Roman" w:cs="Times New Roman"/>
          <w:color w:val="000000"/>
          <w:sz w:val="27"/>
          <w:szCs w:val="27"/>
          <w:lang w:eastAsia="de-DE"/>
        </w:rPr>
        <w:t xml:space="preserve">Millionen</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35D9D" w14:paraId="5C853CC6" w14:textId="77777777">
      <w:pPr>
        <w:numPr>
          <w:ilvl w:val="0"/>
          <w:numId w:val="2"/>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zwischen 50 und 150 </w:t>
      </w:r>
      <w:r w:rsidRPr="00E35D9D">
        <w:rPr>
          <w:rFonts w:ascii="Times New Roman" w:hAnsi="Times New Roman" w:eastAsia="Times New Roman" w:cs="Times New Roman"/>
          <w:color w:val="000000"/>
          <w:sz w:val="27"/>
          <w:szCs w:val="27"/>
          <w:lang w:eastAsia="de-DE"/>
        </w:rPr>
        <w:t xml:space="preserve">Mio. </w:t>
      </w:r>
      <w:r w:rsidRPr="00E35D9D">
        <w:rPr>
          <w:rFonts w:ascii="Times New Roman" w:hAnsi="Times New Roman" w:eastAsia="Times New Roman" w:cs="Times New Roman"/>
          <w:color w:val="000000"/>
          <w:sz w:val="27"/>
          <w:szCs w:val="27"/>
          <w:lang w:eastAsia="de-DE"/>
        </w:rPr>
        <w:t xml:space="preserve">EUR</w:t>
      </w:r>
      <w:r w:rsidRPr="00E35D9D">
        <w:rPr>
          <w:rFonts w:ascii="Times New Roman" w:hAnsi="Times New Roman" w:eastAsia="Times New Roman" w:cs="Times New Roman"/>
          <w:color w:val="000000"/>
          <w:sz w:val="27"/>
          <w:szCs w:val="27"/>
          <w:lang w:eastAsia="de-DE"/>
        </w:rPr>
        <w:t xml:space="preserve">; und</w:t>
      </w:r>
    </w:p>
    <w:p w:rsidRPr="00E35D9D" w:rsidR="00E35D9D" w:rsidP="00E35D9D" w:rsidRDefault="00E35D9D" w14:paraId="7E796672" w14:textId="77777777">
      <w:pPr>
        <w:numPr>
          <w:ilvl w:val="0"/>
          <w:numId w:val="2"/>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150 bis 350 </w:t>
      </w:r>
      <w:r w:rsidRPr="00E35D9D">
        <w:rPr>
          <w:rFonts w:ascii="Times New Roman" w:hAnsi="Times New Roman" w:eastAsia="Times New Roman" w:cs="Times New Roman"/>
          <w:color w:val="000000"/>
          <w:sz w:val="27"/>
          <w:szCs w:val="27"/>
          <w:lang w:eastAsia="de-DE"/>
        </w:rPr>
        <w:t xml:space="preserve">Millionen</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35D9D" w14:paraId="125C208C"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b/>
          <w:bCs/>
          <w:color w:val="000000"/>
          <w:sz w:val="27"/>
          <w:szCs w:val="27"/>
          <w:lang w:eastAsia="de-DE"/>
        </w:rPr>
        <w:t xml:space="preserve">Verbot </w:t>
      </w:r>
      <w:r w:rsidRPr="00E35D9D">
        <w:rPr>
          <w:rFonts w:ascii="Times New Roman" w:hAnsi="Times New Roman" w:eastAsia="Times New Roman" w:cs="Times New Roman"/>
          <w:b/>
          <w:bCs/>
          <w:color w:val="000000"/>
          <w:sz w:val="27"/>
          <w:szCs w:val="27"/>
          <w:lang w:eastAsia="de-DE"/>
        </w:rPr>
        <w:t xml:space="preserve">von </w:t>
      </w:r>
      <w:r w:rsidRPr="00E35D9D">
        <w:rPr>
          <w:rFonts w:ascii="Times New Roman" w:hAnsi="Times New Roman" w:eastAsia="Times New Roman" w:cs="Times New Roman"/>
          <w:b/>
          <w:bCs/>
          <w:color w:val="000000"/>
          <w:sz w:val="27"/>
          <w:szCs w:val="27"/>
          <w:lang w:eastAsia="de-DE"/>
        </w:rPr>
        <w:t xml:space="preserve">unlauteren </w:t>
      </w:r>
      <w:r w:rsidRPr="00E35D9D">
        <w:rPr>
          <w:rFonts w:ascii="Times New Roman" w:hAnsi="Times New Roman" w:eastAsia="Times New Roman" w:cs="Times New Roman"/>
          <w:b/>
          <w:bCs/>
          <w:color w:val="000000"/>
          <w:sz w:val="27"/>
          <w:szCs w:val="27"/>
          <w:lang w:eastAsia="de-DE"/>
        </w:rPr>
        <w:t xml:space="preserve">Geschäftspraktiken</w:t>
      </w:r>
    </w:p>
    <w:p w:rsidRPr="00E35D9D" w:rsidR="00E35D9D" w:rsidP="00E35D9D" w:rsidRDefault="00E35D9D" w14:paraId="73595B8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Die Richtlinie verbietet die </w:t>
      </w:r>
      <w:r w:rsidRPr="00E35D9D">
        <w:rPr>
          <w:rFonts w:ascii="Times New Roman" w:hAnsi="Times New Roman" w:eastAsia="Times New Roman" w:cs="Times New Roman"/>
          <w:color w:val="000000"/>
          <w:sz w:val="27"/>
          <w:szCs w:val="27"/>
          <w:lang w:val="fr-FR" w:eastAsia="de-DE"/>
        </w:rPr>
        <w:t xml:space="preserve">folgenden </w:t>
      </w:r>
      <w:r w:rsidRPr="00E35D9D">
        <w:rPr>
          <w:rFonts w:ascii="Times New Roman" w:hAnsi="Times New Roman" w:eastAsia="Times New Roman" w:cs="Times New Roman"/>
          <w:b/>
          <w:bCs/>
          <w:color w:val="000000"/>
          <w:sz w:val="27"/>
          <w:szCs w:val="27"/>
          <w:lang w:val="fr-FR" w:eastAsia="de-DE"/>
        </w:rPr>
        <w:t xml:space="preserve">unlauteren Geschäftspraktiken </w:t>
      </w:r>
      <w:r w:rsidRPr="00E35D9D">
        <w:rPr>
          <w:rFonts w:ascii="Times New Roman" w:hAnsi="Times New Roman" w:eastAsia="Times New Roman" w:cs="Times New Roman"/>
          <w:color w:val="000000"/>
          <w:sz w:val="27"/>
          <w:szCs w:val="27"/>
          <w:lang w:val="fr-FR" w:eastAsia="de-DE"/>
        </w:rPr>
        <w:t xml:space="preserve">unter allen Umständen:</w:t>
      </w:r>
    </w:p>
    <w:p w:rsidRPr="00E35D9D" w:rsidR="00E35D9D" w:rsidP="00E35D9D" w:rsidRDefault="00E35D9D" w14:paraId="4618F427"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6">
        <w:r w:rsidRPr="00E35D9D">
          <w:rPr>
            <w:rFonts w:ascii="Times New Roman" w:hAnsi="Times New Roman" w:eastAsia="Times New Roman" w:cs="Times New Roman"/>
            <w:color w:val="0000FF"/>
            <w:sz w:val="27"/>
            <w:szCs w:val="27"/>
            <w:u w:val="single"/>
            <w:lang w:val="fr-FR" w:eastAsia="de-DE"/>
          </w:rPr>
          <w:t xml:space="preserve">Zahlung </w:t>
        </w:r>
      </w:hyperlink>
      <w:r w:rsidRPr="00E35D9D">
        <w:rPr>
          <w:rFonts w:ascii="Times New Roman" w:hAnsi="Times New Roman" w:eastAsia="Times New Roman" w:cs="Times New Roman"/>
          <w:color w:val="000000"/>
          <w:sz w:val="27"/>
          <w:szCs w:val="27"/>
          <w:lang w:val="fr-FR" w:eastAsia="de-DE"/>
        </w:rPr>
        <w:t xml:space="preserve">über 30 Tage hinaus, für verderbliche landwirtschaftliche Produkte und Lebensmittel;</w:t>
      </w:r>
    </w:p>
    <w:p w:rsidRPr="00E35D9D" w:rsidR="00E35D9D" w:rsidP="00E35D9D" w:rsidRDefault="00E35D9D" w14:paraId="465B594E"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Zahlung über 60 Tage hinaus für andere Agrar- und Lebensmittelprodukte;</w:t>
      </w:r>
    </w:p>
    <w:p w:rsidRPr="00E35D9D" w:rsidR="00E35D9D" w:rsidP="00E35D9D" w:rsidRDefault="00E35D9D" w14:paraId="397DD6B5"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kurzfristige Stornierungen für verderbliche Agrar- und Lebensmittelprodukte;</w:t>
      </w:r>
    </w:p>
    <w:p w:rsidRPr="00E35D9D" w:rsidR="00E35D9D" w:rsidP="00E35D9D" w:rsidRDefault="00E35D9D" w14:paraId="2BA2C1A3"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einseitige Änderungen der Bedingungen eines Liefervertrages durch den Käufer;</w:t>
      </w:r>
    </w:p>
    <w:p w:rsidRPr="00E35D9D" w:rsidR="00E35D9D" w:rsidP="00E35D9D" w:rsidRDefault="00E35D9D" w14:paraId="1DEB4290"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vom Käufer geforderte Zahlungen, die nicht im Zusammenhang mit dem Verkauf von landwirtschaftlichen Produkten und Lebensmitteln stehen;</w:t>
      </w:r>
    </w:p>
    <w:p w:rsidRPr="00E35D9D" w:rsidR="00E35D9D" w:rsidP="00E35D9D" w:rsidRDefault="00E35D9D" w14:paraId="65655891"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Zahlungen, die der Käufer für die Verschlechterung oder den Verlust von landwirtschaftlichen Erzeugnissen und Lebensmitteln verlangt, wenn diese Verschlechterung oder dieser Verlust nicht auf Fahrlässigkeit oder Verschulden des Lieferanten zurückzuführen ist;</w:t>
      </w:r>
    </w:p>
    <w:p w:rsidRPr="00E35D9D" w:rsidR="00E35D9D" w:rsidP="00E35D9D" w:rsidRDefault="00E35D9D" w14:paraId="7C038CBC"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Weigerung des Käufers, einen Liefervertrag trotz Aufforderung durch den Lieferanten schriftlich zu bestätigen;</w:t>
      </w:r>
    </w:p>
    <w:p w:rsidRPr="00E35D9D" w:rsidR="00E35D9D" w:rsidP="00E35D9D" w:rsidRDefault="00E35D9D" w14:paraId="2F3B153D"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unrechtmäßige Nutzung von Geschäftsgeheimnissen des Lieferanten durch den Käufer;</w:t>
      </w:r>
    </w:p>
    <w:p w:rsidRPr="00E35D9D" w:rsidR="00E35D9D" w:rsidP="00E35D9D" w:rsidRDefault="00E35D9D" w14:paraId="08AA9244"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gewerbliche Vergeltungsmaßnahmen des Käufers gegen den Lieferanten, wenn der Lieferant seine vertraglichen oder gesetzlichen Rechte ausübt;</w:t>
      </w:r>
    </w:p>
    <w:p w:rsidRPr="00E35D9D" w:rsidR="00E35D9D" w:rsidP="00E35D9D" w:rsidRDefault="00E35D9D" w14:paraId="12B9EAA9" w14:textId="77777777">
      <w:pPr>
        <w:numPr>
          <w:ilvl w:val="0"/>
          <w:numId w:val="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Entschädigung für die Kosten der Untersuchung von Kundenreklamationen im Zusammenhang mit dem Verkauf der Produkte des Lieferanten, auch wenn keine Fahrlässigkeit oder kein Verschulden seitens des Lieferanten vorliegt.</w:t>
      </w:r>
    </w:p>
    <w:p w:rsidRPr="00E35D9D" w:rsidR="00E35D9D" w:rsidP="00E35D9D" w:rsidRDefault="00E35D9D" w14:paraId="016C127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Richtlinie verbietet die </w:t>
      </w:r>
      <w:r w:rsidRPr="00E35D9D">
        <w:rPr>
          <w:rFonts w:ascii="Times New Roman" w:hAnsi="Times New Roman" w:eastAsia="Times New Roman" w:cs="Times New Roman"/>
          <w:color w:val="000000"/>
          <w:sz w:val="27"/>
          <w:szCs w:val="27"/>
          <w:lang w:val="fr-FR" w:eastAsia="de-DE"/>
        </w:rPr>
        <w:t xml:space="preserve">folgenden </w:t>
      </w:r>
      <w:r w:rsidRPr="00E35D9D">
        <w:rPr>
          <w:rFonts w:ascii="Times New Roman" w:hAnsi="Times New Roman" w:eastAsia="Times New Roman" w:cs="Times New Roman"/>
          <w:b/>
          <w:bCs/>
          <w:color w:val="000000"/>
          <w:sz w:val="27"/>
          <w:szCs w:val="27"/>
          <w:lang w:val="fr-FR" w:eastAsia="de-DE"/>
        </w:rPr>
        <w:t xml:space="preserve">unlauteren Geschäftspraktiken, es sei denn, </w:t>
      </w:r>
      <w:r w:rsidRPr="00E35D9D">
        <w:rPr>
          <w:rFonts w:ascii="Times New Roman" w:hAnsi="Times New Roman" w:eastAsia="Times New Roman" w:cs="Times New Roman"/>
          <w:color w:val="000000"/>
          <w:sz w:val="27"/>
          <w:szCs w:val="27"/>
          <w:lang w:val="fr-FR" w:eastAsia="de-DE"/>
        </w:rPr>
        <w:t xml:space="preserve">sie wurden im Voraus </w:t>
      </w:r>
      <w:r w:rsidRPr="00E35D9D">
        <w:rPr>
          <w:rFonts w:ascii="Times New Roman" w:hAnsi="Times New Roman" w:eastAsia="Times New Roman" w:cs="Times New Roman"/>
          <w:color w:val="000000"/>
          <w:sz w:val="27"/>
          <w:szCs w:val="27"/>
          <w:lang w:val="fr-FR" w:eastAsia="de-DE"/>
        </w:rPr>
        <w:t xml:space="preserve">klar und unmissverständlich zwischen dem Lieferanten und dem Käufer </w:t>
      </w:r>
      <w:r w:rsidRPr="00E35D9D">
        <w:rPr>
          <w:rFonts w:ascii="Times New Roman" w:hAnsi="Times New Roman" w:eastAsia="Times New Roman" w:cs="Times New Roman"/>
          <w:b/>
          <w:bCs/>
          <w:color w:val="000000"/>
          <w:sz w:val="27"/>
          <w:szCs w:val="27"/>
          <w:lang w:val="fr-FR" w:eastAsia="de-DE"/>
        </w:rPr>
        <w:t xml:space="preserve">vereinbart</w:t>
      </w:r>
    </w:p>
    <w:p w:rsidRPr="00E35D9D" w:rsidR="00E35D9D" w:rsidP="00E35D9D" w:rsidRDefault="00E35D9D" w14:paraId="2A0D1422" w14:textId="77777777">
      <w:pPr>
        <w:numPr>
          <w:ilvl w:val="0"/>
          <w:numId w:val="4"/>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Rückgabe nicht verkaufter Agrar- und Lebensmittelprodukte durch den Käufer an den Lieferanten, ohne für die nicht verkauften Produkte zu bezahlen oder ohne für die Entsorgung der Produkte zu bezahlen, oder beides;</w:t>
      </w:r>
    </w:p>
    <w:p w:rsidRPr="00E35D9D" w:rsidR="00E35D9D" w:rsidP="00E35D9D" w:rsidRDefault="00E35D9D" w14:paraId="52CA18F8" w14:textId="77777777">
      <w:pPr>
        <w:numPr>
          <w:ilvl w:val="0"/>
          <w:numId w:val="4"/>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Verpflichtung des Lieferanten, eine Zahlung zu leisten, damit seine Agrar- und Lebensmittelprodukte gelagert, ausgestellt, gelistet oder auf dem Markt bereitgestellt werden können;</w:t>
      </w:r>
    </w:p>
    <w:p w:rsidRPr="00E35D9D" w:rsidR="00E35D9D" w:rsidP="00E35D9D" w:rsidRDefault="00E35D9D" w14:paraId="2E2CC56A" w14:textId="77777777">
      <w:pPr>
        <w:numPr>
          <w:ilvl w:val="0"/>
          <w:numId w:val="4"/>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eine Aufforderung des Käufers an den Lieferanten, die Kosten für eventuelle Preisnachlässe auf Agrar- und Lebensmittelprodukte zu übernehmen, die vom Käufer im Rahmen von Werbeaktionen verkauft werden;</w:t>
      </w:r>
    </w:p>
    <w:p w:rsidRPr="00E35D9D" w:rsidR="00E35D9D" w:rsidP="00E35D9D" w:rsidRDefault="00E35D9D" w14:paraId="069E311A" w14:textId="77777777">
      <w:pPr>
        <w:numPr>
          <w:ilvl w:val="0"/>
          <w:numId w:val="4"/>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eine Aufforderung des Käufers an den Lieferanten, für die Werbung oder Vermarktung von Agrar- und Lebensmittelprodukten des Käufers zu zahlen;</w:t>
      </w:r>
    </w:p>
    <w:p w:rsidRPr="00E35D9D" w:rsidR="00E35D9D" w:rsidP="00E35D9D" w:rsidRDefault="00E35D9D" w14:paraId="7DCE71C2" w14:textId="77777777">
      <w:pPr>
        <w:numPr>
          <w:ilvl w:val="0"/>
          <w:numId w:val="4"/>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Rechnungsstellung des Lieferanten durch den Käufer für das Personal, das für die Einrichtung der für den Verkauf der Produkte des Lieferanten genutzten Räumlichkeiten verantwortlich ist.</w:t>
      </w:r>
    </w:p>
    <w:p w:rsidRPr="00E35D9D" w:rsidR="00E35D9D" w:rsidP="00E35D9D" w:rsidRDefault="00E35D9D" w14:paraId="73EF0BF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Reklamationen und Vertraulichkeit</w:t>
      </w:r>
    </w:p>
    <w:p w:rsidRPr="00E35D9D" w:rsidR="00E35D9D" w:rsidP="00E35D9D" w:rsidRDefault="00E35D9D" w14:paraId="34AB29E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w:t>
      </w:r>
      <w:r w:rsidRPr="00E35D9D">
        <w:rPr>
          <w:rFonts w:ascii="Times New Roman" w:hAnsi="Times New Roman" w:eastAsia="Times New Roman" w:cs="Times New Roman"/>
          <w:color w:val="000000"/>
          <w:sz w:val="27"/>
          <w:szCs w:val="27"/>
          <w:lang w:val="fr-FR" w:eastAsia="de-DE"/>
        </w:rPr>
        <w:t xml:space="preserve">Länder der Europäischen Union (EU) benennen </w:t>
      </w:r>
      <w:r w:rsidRPr="00E35D9D">
        <w:rPr>
          <w:rFonts w:ascii="Times New Roman" w:hAnsi="Times New Roman" w:eastAsia="Times New Roman" w:cs="Times New Roman"/>
          <w:b/>
          <w:bCs/>
          <w:color w:val="000000"/>
          <w:sz w:val="27"/>
          <w:szCs w:val="27"/>
          <w:lang w:val="fr-FR" w:eastAsia="de-DE"/>
        </w:rPr>
        <w:t xml:space="preserve">nationale Vollzugsbehörden</w:t>
      </w:r>
      <w:r w:rsidRPr="00E35D9D">
        <w:rPr>
          <w:rFonts w:ascii="Times New Roman" w:hAnsi="Times New Roman" w:eastAsia="Times New Roman" w:cs="Times New Roman"/>
          <w:color w:val="000000"/>
          <w:sz w:val="27"/>
          <w:szCs w:val="27"/>
          <w:lang w:val="fr-FR" w:eastAsia="de-DE"/>
        </w:rPr>
        <w:t xml:space="preserve">. Lieferanten können Beschwerden bei der Vollzugsbehörde in ihrem eigenen Land oder im Land des Käufers einreichen, der einer illegalen Geschäftspraxis verdächtigt wird.</w:t>
      </w:r>
    </w:p>
    <w:p w:rsidRPr="00E35D9D" w:rsidR="00E35D9D" w:rsidP="00E35D9D" w:rsidRDefault="00E35D9D" w14:paraId="2573195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Auf ein Ersuchen hin ergreift die Vollstreckungsbehörde die erforderlichen Maßnahmen, um einen angemessenen Schutz der Identität des Beschwerdeführers und aller anderen Informationen, deren Offenlegung den Interessen des Beschwerdeführers oder der Lieferanten schaden würde, zu gewährleisten.</w:t>
      </w:r>
    </w:p>
    <w:p w:rsidRPr="00E35D9D" w:rsidR="00E35D9D" w:rsidP="00E35D9D" w:rsidRDefault="00E35D9D" w14:paraId="4B9F448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Befugnisse der Vollstreckungsbehörden</w:t>
      </w:r>
    </w:p>
    <w:p w:rsidRPr="00E35D9D" w:rsidR="00E35D9D" w:rsidP="00E35D9D" w:rsidRDefault="00E35D9D" w14:paraId="3815559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Durchsetzungsbehörden müssen über ausreichende Befugnisse und Fachkenntnisse verfügen, um:</w:t>
      </w:r>
    </w:p>
    <w:p w:rsidRPr="00E35D9D" w:rsidR="00E35D9D" w:rsidP="00E35D9D" w:rsidRDefault="00E35D9D" w14:paraId="2581A4E7" w14:textId="77777777">
      <w:pPr>
        <w:numPr>
          <w:ilvl w:val="0"/>
          <w:numId w:val="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Untersuchungen einleiten und durchführen;</w:t>
      </w:r>
    </w:p>
    <w:p w:rsidRPr="00E35D9D" w:rsidR="00E35D9D" w:rsidP="00E35D9D" w:rsidRDefault="00E35D9D" w14:paraId="799FEEFB" w14:textId="77777777">
      <w:pPr>
        <w:numPr>
          <w:ilvl w:val="0"/>
          <w:numId w:val="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Informationen von Käufern und Lieferanten anfordern;</w:t>
      </w:r>
    </w:p>
    <w:p w:rsidRPr="00E35D9D" w:rsidR="00E35D9D" w:rsidP="00E35D9D" w:rsidRDefault="00E35D9D" w14:paraId="07A014D0" w14:textId="77777777">
      <w:pPr>
        <w:numPr>
          <w:ilvl w:val="0"/>
          <w:numId w:val="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unangekündigte Inspektionen vor Ort durchführen;</w:t>
      </w:r>
    </w:p>
    <w:p w:rsidRPr="00E35D9D" w:rsidR="00E35D9D" w:rsidP="00E35D9D" w:rsidRDefault="00E35D9D" w14:paraId="234B2C55" w14:textId="77777777">
      <w:pPr>
        <w:numPr>
          <w:ilvl w:val="0"/>
          <w:numId w:val="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gegebenenfalls anordnen, dass eine verbotene Praxis eingestellt wird;</w:t>
      </w:r>
    </w:p>
    <w:p w:rsidRPr="00E35D9D" w:rsidR="00E35D9D" w:rsidP="00E35D9D" w:rsidRDefault="00E35D9D" w14:paraId="15F07845" w14:textId="77777777">
      <w:pPr>
        <w:numPr>
          <w:ilvl w:val="0"/>
          <w:numId w:val="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Geldbußen und andere ebenso wirksame Sanktionen verhängen und einstweilige Maßnahmen gegen den Zuwiderhandelnden ergreifen;</w:t>
      </w:r>
    </w:p>
    <w:p w:rsidRPr="00E35D9D" w:rsidR="00E35D9D" w:rsidP="00E35D9D" w:rsidRDefault="00E35D9D" w14:paraId="4542BC2B" w14:textId="77777777">
      <w:pPr>
        <w:numPr>
          <w:ilvl w:val="0"/>
          <w:numId w:val="5"/>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Entscheidungen </w:t>
      </w:r>
      <w:r w:rsidRPr="00E35D9D">
        <w:rPr>
          <w:rFonts w:ascii="Times New Roman" w:hAnsi="Times New Roman" w:eastAsia="Times New Roman" w:cs="Times New Roman"/>
          <w:color w:val="000000"/>
          <w:sz w:val="27"/>
          <w:szCs w:val="27"/>
          <w:lang w:eastAsia="de-DE"/>
        </w:rPr>
        <w:t xml:space="preserve">veröffentlichen</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35D9D" w14:paraId="2C3993F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EU-Länder können die freiwillige Nutzung von effektiven und unabhängigen alternativen Streitbeilegungsmechanismen fördern.</w:t>
      </w:r>
    </w:p>
    <w:p w:rsidRPr="00E35D9D" w:rsidR="00E35D9D" w:rsidP="00E35D9D" w:rsidRDefault="00E35D9D" w14:paraId="37ED419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EU-Länder stellen sicher, dass die Durchsetzungsbehörden untereinander und mit der Kommission wirksam zusammenarbeiten und sich gegenseitig bei Ermittlungen mit grenzüberschreitender Dimension unterstützen.</w:t>
      </w:r>
    </w:p>
    <w:p w:rsidRPr="00E35D9D" w:rsidR="00E35D9D" w:rsidP="00E35D9D" w:rsidRDefault="00E35D9D" w14:paraId="23FB25A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w:t>
      </w:r>
      <w:hyperlink w:history="1" r:id="rId7">
        <w:r w:rsidRPr="00E35D9D">
          <w:rPr>
            <w:rFonts w:ascii="Times New Roman" w:hAnsi="Times New Roman" w:eastAsia="Times New Roman" w:cs="Times New Roman"/>
            <w:color w:val="0000FF"/>
            <w:sz w:val="27"/>
            <w:szCs w:val="27"/>
            <w:u w:val="single"/>
            <w:lang w:val="fr-FR" w:eastAsia="de-DE"/>
          </w:rPr>
          <w:t xml:space="preserve">Europäische Kommission </w:t>
        </w:r>
      </w:hyperlink>
      <w:r w:rsidRPr="00E35D9D">
        <w:rPr>
          <w:rFonts w:ascii="Times New Roman" w:hAnsi="Times New Roman" w:eastAsia="Times New Roman" w:cs="Times New Roman"/>
          <w:color w:val="000000"/>
          <w:sz w:val="27"/>
          <w:szCs w:val="27"/>
          <w:lang w:val="fr-FR" w:eastAsia="de-DE"/>
        </w:rPr>
        <w:t xml:space="preserve">wird von dem </w:t>
      </w:r>
      <w:r w:rsidRPr="00E35D9D">
        <w:rPr>
          <w:rFonts w:ascii="Times New Roman" w:hAnsi="Times New Roman" w:eastAsia="Times New Roman" w:cs="Times New Roman"/>
          <w:color w:val="000000"/>
          <w:sz w:val="27"/>
          <w:szCs w:val="27"/>
          <w:lang w:val="fr-FR" w:eastAsia="de-DE"/>
        </w:rPr>
        <w:t xml:space="preserve">durch die Verordnung (EU) </w:t>
      </w:r>
      <w:r w:rsidRPr="00E35D9D">
        <w:rPr>
          <w:rFonts w:ascii="Times New Roman" w:hAnsi="Times New Roman" w:eastAsia="Times New Roman" w:cs="Times New Roman"/>
          <w:color w:val="000000"/>
          <w:sz w:val="27"/>
          <w:szCs w:val="27"/>
          <w:vertAlign w:val="superscript"/>
          <w:lang w:val="fr-FR" w:eastAsia="de-DE"/>
        </w:rPr>
        <w:t xml:space="preserve">Nr. </w:t>
      </w:r>
      <w:r w:rsidRPr="00E35D9D">
        <w:rPr>
          <w:rFonts w:ascii="Times New Roman" w:hAnsi="Times New Roman" w:eastAsia="Times New Roman" w:cs="Times New Roman"/>
          <w:color w:val="000000"/>
          <w:sz w:val="27"/>
          <w:szCs w:val="27"/>
          <w:lang w:val="fr-FR" w:eastAsia="de-DE"/>
        </w:rPr>
        <w:t xml:space="preserve">1308/2013 </w:t>
      </w:r>
      <w:r w:rsidRPr="00E35D9D">
        <w:rPr>
          <w:rFonts w:ascii="Times New Roman" w:hAnsi="Times New Roman" w:eastAsia="Times New Roman" w:cs="Times New Roman"/>
          <w:color w:val="000000"/>
          <w:sz w:val="27"/>
          <w:szCs w:val="27"/>
          <w:lang w:val="fr-FR" w:eastAsia="de-DE"/>
        </w:rPr>
        <w:t xml:space="preserve">eingerichteten </w:t>
      </w:r>
      <w:hyperlink w:history="1" r:id="rId8">
        <w:r w:rsidRPr="00E35D9D">
          <w:rPr>
            <w:rFonts w:ascii="Times New Roman" w:hAnsi="Times New Roman" w:eastAsia="Times New Roman" w:cs="Times New Roman"/>
            <w:color w:val="0000FF"/>
            <w:sz w:val="27"/>
            <w:szCs w:val="27"/>
            <w:u w:val="single"/>
            <w:lang w:val="fr-FR" w:eastAsia="de-DE"/>
          </w:rPr>
          <w:t xml:space="preserve">Ausschuss für die gemeinsame Organisation der Agrarmärkte </w:t>
        </w:r>
      </w:hyperlink>
      <w:r w:rsidRPr="00E35D9D">
        <w:rPr>
          <w:rFonts w:ascii="Times New Roman" w:hAnsi="Times New Roman" w:eastAsia="Times New Roman" w:cs="Times New Roman"/>
          <w:color w:val="000000"/>
          <w:sz w:val="27"/>
          <w:szCs w:val="27"/>
          <w:lang w:val="fr-FR" w:eastAsia="de-DE"/>
        </w:rPr>
        <w:t xml:space="preserve">unterstützt </w:t>
      </w:r>
      <w:r w:rsidRPr="00E35D9D">
        <w:rPr>
          <w:rFonts w:ascii="Times New Roman" w:hAnsi="Times New Roman" w:eastAsia="Times New Roman" w:cs="Times New Roman"/>
          <w:color w:val="000000"/>
          <w:sz w:val="27"/>
          <w:szCs w:val="27"/>
          <w:lang w:val="fr-FR" w:eastAsia="de-DE"/>
        </w:rPr>
        <w:t xml:space="preserve">(siehe Übersicht </w:t>
      </w:r>
      <w:hyperlink w:history="1" r:id="rId9">
        <w:r w:rsidRPr="00E35D9D">
          <w:rPr>
            <w:rFonts w:ascii="Times New Roman" w:hAnsi="Times New Roman" w:eastAsia="Times New Roman" w:cs="Times New Roman"/>
            <w:color w:val="0000FF"/>
            <w:sz w:val="27"/>
            <w:szCs w:val="27"/>
            <w:u w:val="single"/>
            <w:lang w:val="fr-FR" w:eastAsia="de-DE"/>
          </w:rPr>
          <w:t xml:space="preserve">Die gemeinsame Organisation der Agrarmärkte in der EU</w:t>
        </w:r>
      </w:hyperlink>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74E0A75F"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SEIT WANN GILT DIESE RICHTLINIE?</w:t>
      </w:r>
    </w:p>
    <w:p w:rsidRPr="00E35D9D" w:rsidR="00E35D9D" w:rsidP="00E35D9D" w:rsidRDefault="00E35D9D" w14:paraId="6981E5B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Sie muss bis zum 1. Mai 2021 in das nationale Recht der EU-Länder übernommen werden. Die EU-Länder müssen die Maßnahmen ab dem 1. November 2021 anwenden.</w:t>
      </w:r>
    </w:p>
    <w:p w:rsidRPr="00E35D9D" w:rsidR="00E35D9D" w:rsidP="00E35D9D" w:rsidRDefault="00E35D9D" w14:paraId="37558CA5"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t xml:space="preserve">HINTERGRUND</w:t>
      </w:r>
    </w:p>
    <w:p w:rsidRPr="00E35D9D" w:rsidR="00E35D9D" w:rsidP="00E35D9D" w:rsidRDefault="00E35D9D" w14:paraId="68016B82"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Siehe </w:t>
      </w:r>
      <w:r w:rsidRPr="00E35D9D">
        <w:rPr>
          <w:rFonts w:ascii="Times New Roman" w:hAnsi="Times New Roman" w:eastAsia="Times New Roman" w:cs="Times New Roman"/>
          <w:color w:val="000000"/>
          <w:sz w:val="27"/>
          <w:szCs w:val="27"/>
          <w:lang w:eastAsia="de-DE"/>
        </w:rPr>
        <w:t xml:space="preserve">auch</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52C24" w14:paraId="198644B4" w14:textId="77777777">
      <w:pPr>
        <w:numPr>
          <w:ilvl w:val="0"/>
          <w:numId w:val="6"/>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0">
        <w:r w:rsidRPr="00E35D9D" w:rsidR="00E35D9D">
          <w:rPr>
            <w:rFonts w:ascii="Times New Roman" w:hAnsi="Times New Roman" w:eastAsia="Times New Roman" w:cs="Times New Roman"/>
            <w:color w:val="0000FF"/>
            <w:sz w:val="27"/>
            <w:szCs w:val="27"/>
            <w:u w:val="single"/>
            <w:lang w:val="fr-FR" w:eastAsia="de-DE"/>
          </w:rPr>
          <w:t xml:space="preserve">Die Richtlinie über unlautere Geschäftspraktiken in der Agrar- und Lebensmittelversorgungskette </w:t>
        </w:r>
      </w:hyperlink>
      <w:r w:rsidRPr="00E35D9D" w:rsidR="00E35D9D">
        <w:rPr>
          <w:rFonts w:ascii="Times New Roman" w:hAnsi="Times New Roman" w:eastAsia="Times New Roman" w:cs="Times New Roman"/>
          <w:color w:val="000000"/>
          <w:sz w:val="27"/>
          <w:szCs w:val="27"/>
          <w:lang w:val="fr-FR" w:eastAsia="de-DE"/>
        </w:rPr>
        <w:t xml:space="preserve">(</w:t>
      </w:r>
      <w:r w:rsidRPr="00E35D9D" w:rsidR="00E35D9D">
        <w:rPr>
          <w:rFonts w:ascii="Times New Roman" w:hAnsi="Times New Roman" w:eastAsia="Times New Roman" w:cs="Times New Roman"/>
          <w:i/>
          <w:iCs/>
          <w:color w:val="000000"/>
          <w:sz w:val="27"/>
          <w:szCs w:val="27"/>
          <w:lang w:val="fr-FR" w:eastAsia="de-DE"/>
        </w:rPr>
        <w:t xml:space="preserve">Europäische Kommission</w:t>
      </w:r>
      <w:r w:rsidRPr="00E35D9D" w:rsid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4F066523"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HAUPTDOKUMENT</w:t>
      </w:r>
    </w:p>
    <w:p w:rsidRPr="00E35D9D" w:rsidR="00E35D9D" w:rsidP="00E35D9D" w:rsidRDefault="00E35D9D" w14:paraId="4362CEF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Richtlinie (EU) </w:t>
      </w:r>
      <w:hyperlink w:history="1" r:id="rId11">
        <w:r w:rsidRPr="00E35D9D">
          <w:rPr>
            <w:rFonts w:ascii="Times New Roman" w:hAnsi="Times New Roman" w:eastAsia="Times New Roman" w:cs="Times New Roman"/>
            <w:color w:val="0000FF"/>
            <w:sz w:val="27"/>
            <w:szCs w:val="27"/>
            <w:u w:val="single"/>
            <w:lang w:val="fr-FR" w:eastAsia="de-DE"/>
          </w:rPr>
          <w:t xml:space="preserve">2019/633 </w:t>
        </w:r>
      </w:hyperlink>
      <w:r w:rsidRPr="00E35D9D">
        <w:rPr>
          <w:rFonts w:ascii="Times New Roman" w:hAnsi="Times New Roman" w:eastAsia="Times New Roman" w:cs="Times New Roman"/>
          <w:color w:val="000000"/>
          <w:sz w:val="27"/>
          <w:szCs w:val="27"/>
          <w:lang w:val="fr-FR" w:eastAsia="de-DE"/>
        </w:rPr>
        <w:t xml:space="preserve">des Europäischen Parlaments und des Rates vom 17. April 2019 über unlautere Geschäftspraktiken in den Beziehungen zwischen Unternehmen in der Lieferkette für landwirtschaftliche Erzeugnisse und Lebensmittel (ABl. L 111 vom 25.4.2019, S. 59-72)</w:t>
      </w:r>
    </w:p>
    <w:p w:rsidRPr="00E35D9D" w:rsidR="00E35D9D" w:rsidP="00E35D9D" w:rsidRDefault="00E35D9D" w14:paraId="40AA14F2"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ZUGEHÖRIGE DOKUMENTE</w:t>
      </w:r>
    </w:p>
    <w:p w:rsidRPr="00E35D9D" w:rsidR="00E35D9D" w:rsidP="00E35D9D" w:rsidRDefault="00E35D9D" w14:paraId="57F26B7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Richtlinie (EU) </w:t>
      </w:r>
      <w:hyperlink w:history="1" r:id="rId12">
        <w:r w:rsidRPr="00E35D9D">
          <w:rPr>
            <w:rFonts w:ascii="Times New Roman" w:hAnsi="Times New Roman" w:eastAsia="Times New Roman" w:cs="Times New Roman"/>
            <w:color w:val="0000FF"/>
            <w:sz w:val="27"/>
            <w:szCs w:val="27"/>
            <w:u w:val="single"/>
            <w:lang w:val="fr-FR" w:eastAsia="de-DE"/>
          </w:rPr>
          <w:t xml:space="preserve">2016/943 </w:t>
        </w:r>
      </w:hyperlink>
      <w:r w:rsidRPr="00E35D9D">
        <w:rPr>
          <w:rFonts w:ascii="Times New Roman" w:hAnsi="Times New Roman" w:eastAsia="Times New Roman" w:cs="Times New Roman"/>
          <w:color w:val="000000"/>
          <w:sz w:val="27"/>
          <w:szCs w:val="27"/>
          <w:lang w:val="fr-FR" w:eastAsia="de-DE"/>
        </w:rPr>
        <w:t xml:space="preserve">des Europäischen Parlaments und des Rates vom 8. Juni 2016 über den Schutz von nicht offengelegtem Know-how und Geschäftsinformationen (Geschäftsgeheimnissen) vor unrechtmäßiger Erlangung, Nutzung und Offenlegung (ABl. L 157 vom 15.6.2016, S. 1-18)</w:t>
      </w:r>
    </w:p>
    <w:p w:rsidRPr="00E35D9D" w:rsidR="00E35D9D" w:rsidP="00E35D9D" w:rsidRDefault="00E35D9D" w14:paraId="0A12A9F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Verordnung (EU) </w:t>
      </w:r>
      <w:r w:rsidRPr="00E35D9D">
        <w:rPr>
          <w:rFonts w:ascii="Times New Roman" w:hAnsi="Times New Roman" w:eastAsia="Times New Roman" w:cs="Times New Roman"/>
          <w:color w:val="000000"/>
          <w:sz w:val="27"/>
          <w:szCs w:val="27"/>
          <w:vertAlign w:val="superscript"/>
          <w:lang w:val="fr-FR" w:eastAsia="de-DE"/>
        </w:rPr>
        <w:t xml:space="preserve">Nr. </w:t>
      </w:r>
      <w:hyperlink w:history="1" r:id="rId13">
        <w:r w:rsidRPr="00E35D9D">
          <w:rPr>
            <w:rFonts w:ascii="Times New Roman" w:hAnsi="Times New Roman" w:eastAsia="Times New Roman" w:cs="Times New Roman"/>
            <w:color w:val="0000FF"/>
            <w:sz w:val="27"/>
            <w:szCs w:val="27"/>
            <w:u w:val="single"/>
            <w:lang w:val="fr-FR" w:eastAsia="de-DE"/>
          </w:rPr>
          <w:t xml:space="preserve">1308/2013 </w:t>
        </w:r>
      </w:hyperlink>
      <w:r w:rsidRPr="00E35D9D">
        <w:rPr>
          <w:rFonts w:ascii="Times New Roman" w:hAnsi="Times New Roman" w:eastAsia="Times New Roman" w:cs="Times New Roman"/>
          <w:color w:val="000000"/>
          <w:sz w:val="27"/>
          <w:szCs w:val="27"/>
          <w:lang w:val="fr-FR" w:eastAsia="de-DE"/>
        </w:rPr>
        <w:t xml:space="preserve">des Europäischen Parlaments und des Rates vom 17. Dezember 2013 über eine gemeinsame Organisation der Agrarmärkte und zur Aufhebung der Verordnungen (EWG) </w:t>
      </w:r>
      <w:r w:rsidRPr="00E35D9D">
        <w:rPr>
          <w:rFonts w:ascii="Times New Roman" w:hAnsi="Times New Roman" w:eastAsia="Times New Roman" w:cs="Times New Roman"/>
          <w:color w:val="000000"/>
          <w:sz w:val="27"/>
          <w:szCs w:val="27"/>
          <w:vertAlign w:val="superscript"/>
          <w:lang w:val="fr-FR" w:eastAsia="de-DE"/>
        </w:rPr>
        <w:t xml:space="preserve">Nr. </w:t>
      </w:r>
      <w:r w:rsidRPr="00E35D9D">
        <w:rPr>
          <w:rFonts w:ascii="Times New Roman" w:hAnsi="Times New Roman" w:eastAsia="Times New Roman" w:cs="Times New Roman"/>
          <w:color w:val="000000"/>
          <w:sz w:val="27"/>
          <w:szCs w:val="27"/>
          <w:lang w:val="fr-FR" w:eastAsia="de-DE"/>
        </w:rPr>
        <w:t xml:space="preserve">922/72, (EWG) </w:t>
      </w:r>
      <w:r w:rsidRPr="00E35D9D">
        <w:rPr>
          <w:rFonts w:ascii="Times New Roman" w:hAnsi="Times New Roman" w:eastAsia="Times New Roman" w:cs="Times New Roman"/>
          <w:color w:val="000000"/>
          <w:sz w:val="27"/>
          <w:szCs w:val="27"/>
          <w:vertAlign w:val="superscript"/>
          <w:lang w:val="fr-FR" w:eastAsia="de-DE"/>
        </w:rPr>
        <w:t xml:space="preserve">Nr. </w:t>
      </w:r>
      <w:r w:rsidRPr="00E35D9D">
        <w:rPr>
          <w:rFonts w:ascii="Times New Roman" w:hAnsi="Times New Roman" w:eastAsia="Times New Roman" w:cs="Times New Roman"/>
          <w:color w:val="000000"/>
          <w:sz w:val="27"/>
          <w:szCs w:val="27"/>
          <w:lang w:val="fr-FR" w:eastAsia="de-DE"/>
        </w:rPr>
        <w:t xml:space="preserve">234/79, (EG) </w:t>
      </w:r>
      <w:r w:rsidRPr="00E35D9D">
        <w:rPr>
          <w:rFonts w:ascii="Times New Roman" w:hAnsi="Times New Roman" w:eastAsia="Times New Roman" w:cs="Times New Roman"/>
          <w:color w:val="000000"/>
          <w:sz w:val="27"/>
          <w:szCs w:val="27"/>
          <w:vertAlign w:val="superscript"/>
          <w:lang w:val="fr-FR" w:eastAsia="de-DE"/>
        </w:rPr>
        <w:t xml:space="preserve">Nr. </w:t>
      </w:r>
      <w:r w:rsidRPr="00E35D9D">
        <w:rPr>
          <w:rFonts w:ascii="Times New Roman" w:hAnsi="Times New Roman" w:eastAsia="Times New Roman" w:cs="Times New Roman"/>
          <w:color w:val="000000"/>
          <w:sz w:val="27"/>
          <w:szCs w:val="27"/>
          <w:lang w:val="fr-FR" w:eastAsia="de-DE"/>
        </w:rPr>
        <w:t xml:space="preserve">1037/2001 und (EG) </w:t>
      </w:r>
      <w:r w:rsidRPr="00E35D9D">
        <w:rPr>
          <w:rFonts w:ascii="Times New Roman" w:hAnsi="Times New Roman" w:eastAsia="Times New Roman" w:cs="Times New Roman"/>
          <w:color w:val="000000"/>
          <w:sz w:val="27"/>
          <w:szCs w:val="27"/>
          <w:vertAlign w:val="superscript"/>
          <w:lang w:val="fr-FR" w:eastAsia="de-DE"/>
        </w:rPr>
        <w:t xml:space="preserve">Nr. </w:t>
      </w:r>
      <w:r w:rsidRPr="00E35D9D">
        <w:rPr>
          <w:rFonts w:ascii="Times New Roman" w:hAnsi="Times New Roman" w:eastAsia="Times New Roman" w:cs="Times New Roman"/>
          <w:color w:val="000000"/>
          <w:sz w:val="27"/>
          <w:szCs w:val="27"/>
          <w:lang w:val="fr-FR" w:eastAsia="de-DE"/>
        </w:rPr>
        <w:t xml:space="preserve">1234/2007 des Rates (ABl. L 347 vom 20.12.2013, S. 671-854)</w:t>
      </w:r>
    </w:p>
    <w:p w:rsidRPr="00E35D9D" w:rsidR="00E35D9D" w:rsidP="00E35D9D" w:rsidRDefault="00E35D9D" w14:paraId="090F903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Aufeinanderfolgende Änderungen der Verordnung (EU) </w:t>
      </w:r>
      <w:r w:rsidRPr="00E35D9D">
        <w:rPr>
          <w:rFonts w:ascii="Times New Roman" w:hAnsi="Times New Roman" w:eastAsia="Times New Roman" w:cs="Times New Roman"/>
          <w:color w:val="000000"/>
          <w:sz w:val="27"/>
          <w:szCs w:val="27"/>
          <w:vertAlign w:val="superscript"/>
          <w:lang w:val="fr-FR" w:eastAsia="de-DE"/>
        </w:rPr>
        <w:t xml:space="preserve">Nr. </w:t>
      </w:r>
      <w:r w:rsidRPr="00E35D9D">
        <w:rPr>
          <w:rFonts w:ascii="Times New Roman" w:hAnsi="Times New Roman" w:eastAsia="Times New Roman" w:cs="Times New Roman"/>
          <w:color w:val="000000"/>
          <w:sz w:val="27"/>
          <w:szCs w:val="27"/>
          <w:lang w:val="fr-FR" w:eastAsia="de-DE"/>
        </w:rPr>
        <w:t xml:space="preserve">1308/2013 wurden in das Originaldokument eingearbeitet. Diese </w:t>
      </w:r>
      <w:hyperlink w:history="1" r:id="rId14">
        <w:r w:rsidRPr="00E35D9D">
          <w:rPr>
            <w:rFonts w:ascii="Times New Roman" w:hAnsi="Times New Roman" w:eastAsia="Times New Roman" w:cs="Times New Roman"/>
            <w:color w:val="0000FF"/>
            <w:sz w:val="27"/>
            <w:szCs w:val="27"/>
            <w:u w:val="single"/>
            <w:lang w:val="fr-FR" w:eastAsia="de-DE"/>
          </w:rPr>
          <w:t xml:space="preserve">konsolidierte Version hat </w:t>
        </w:r>
      </w:hyperlink>
      <w:r w:rsidRPr="00E35D9D">
        <w:rPr>
          <w:rFonts w:ascii="Times New Roman" w:hAnsi="Times New Roman" w:eastAsia="Times New Roman" w:cs="Times New Roman"/>
          <w:color w:val="000000"/>
          <w:sz w:val="27"/>
          <w:szCs w:val="27"/>
          <w:lang w:val="fr-FR" w:eastAsia="de-DE"/>
        </w:rPr>
        <w:t xml:space="preserve">nur dokumentarischen Wert.</w:t>
      </w:r>
    </w:p>
    <w:p w:rsidRPr="00E35D9D" w:rsidR="00E35D9D" w:rsidP="00E35D9D" w:rsidRDefault="00E35D9D" w14:paraId="351BA6B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Richtlinie </w:t>
      </w:r>
      <w:hyperlink w:history="1" r:id="rId15">
        <w:r w:rsidRPr="00E35D9D">
          <w:rPr>
            <w:rFonts w:ascii="Times New Roman" w:hAnsi="Times New Roman" w:eastAsia="Times New Roman" w:cs="Times New Roman"/>
            <w:color w:val="0000FF"/>
            <w:sz w:val="27"/>
            <w:szCs w:val="27"/>
            <w:u w:val="single"/>
            <w:lang w:val="fr-FR" w:eastAsia="de-DE"/>
          </w:rPr>
          <w:t xml:space="preserve">2011/7/EU </w:t>
        </w:r>
      </w:hyperlink>
      <w:r w:rsidRPr="00E35D9D">
        <w:rPr>
          <w:rFonts w:ascii="Times New Roman" w:hAnsi="Times New Roman" w:eastAsia="Times New Roman" w:cs="Times New Roman"/>
          <w:color w:val="000000"/>
          <w:sz w:val="27"/>
          <w:szCs w:val="27"/>
          <w:lang w:val="fr-FR" w:eastAsia="de-DE"/>
        </w:rPr>
        <w:t xml:space="preserve">des Europäischen Parlaments und des Rates vom 16. Februar 2011 zur Bekämpfung von Zahlungsverzug im Geschäftsverkehr (ABl. L 48 vom 23.2.2011, S. 1-10)</w:t>
      </w:r>
    </w:p>
    <w:p w:rsidRPr="00E35D9D" w:rsidR="00E35D9D" w:rsidP="00E35D9D" w:rsidRDefault="00E35D9D" w14:paraId="00D8223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Bitte beachten Sie die </w:t>
      </w:r>
      <w:hyperlink w:history="1" r:id="rId16">
        <w:r w:rsidRPr="00E35D9D">
          <w:rPr>
            <w:rFonts w:ascii="Times New Roman" w:hAnsi="Times New Roman" w:eastAsia="Times New Roman" w:cs="Times New Roman"/>
            <w:color w:val="0000FF"/>
            <w:sz w:val="27"/>
            <w:szCs w:val="27"/>
            <w:u w:val="single"/>
            <w:lang w:val="fr-FR" w:eastAsia="de-DE"/>
          </w:rPr>
          <w:t xml:space="preserve">konsolidierte Version</w:t>
        </w:r>
      </w:hyperlink>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7EA62A84"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zuletzt geändert am 29.08.2019</w:t>
      </w:r>
    </w:p>
    <w:p w:rsidRPr="00E35D9D" w:rsidR="00E35D9D" w:rsidP="00E35D9D" w:rsidRDefault="00E35D9D" w14:paraId="0AB05A4E"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E35D9D">
        <w:rPr>
          <w:rFonts w:ascii="Times New Roman" w:hAnsi="Times New Roman" w:eastAsia="Times New Roman" w:cs="Times New Roman"/>
          <w:b/>
          <w:bCs/>
          <w:color w:val="444444"/>
          <w:sz w:val="42"/>
          <w:szCs w:val="42"/>
          <w:lang w:val="fr-FR" w:eastAsia="de-DE"/>
        </w:rPr>
        <w:lastRenderedPageBreak/>
        <w:t xml:space="preserve">Richtlinie über audiovisuelle Mediendienste (AVMS)</w:t>
      </w:r>
    </w:p>
    <w:p w:rsidRPr="00E35D9D" w:rsidR="00E35D9D" w:rsidP="00E35D9D" w:rsidRDefault="00E35D9D" w14:paraId="2A8518C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 </w:t>
      </w:r>
    </w:p>
    <w:p w:rsidRPr="00E35D9D" w:rsidR="00E35D9D" w:rsidP="00E35D9D" w:rsidRDefault="00E35D9D" w14:paraId="4F159910"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DOKUMENTENZUSAMMENFASSUNG:</w:t>
      </w:r>
    </w:p>
    <w:p w:rsidRPr="00E35D9D" w:rsidR="00E35D9D" w:rsidP="00E35D9D" w:rsidRDefault="00E52C24" w14:paraId="0A9DC8D1"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7">
        <w:r w:rsidRPr="00E35D9D" w:rsidR="00E35D9D">
          <w:rPr>
            <w:rFonts w:ascii="Times New Roman" w:hAnsi="Times New Roman" w:eastAsia="Times New Roman" w:cs="Times New Roman"/>
            <w:color w:val="0000FF"/>
            <w:sz w:val="27"/>
            <w:szCs w:val="27"/>
            <w:u w:val="single"/>
            <w:lang w:val="fr-FR" w:eastAsia="de-DE"/>
          </w:rPr>
          <w:t xml:space="preserve">Richtlinie 2010/13/EU über audiovisuelle Mediendienste (Richtlinie über audiovisuelle Mediendienste)</w:t>
        </w:r>
      </w:hyperlink>
    </w:p>
    <w:p w:rsidRPr="00E35D9D" w:rsidR="00E35D9D" w:rsidP="00E35D9D" w:rsidRDefault="00E35D9D" w14:paraId="622DB0C6"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WAS IST DER ZWECK DIESER RICHTLINIE?</w:t>
      </w:r>
    </w:p>
    <w:p w:rsidRPr="00E35D9D" w:rsidR="00E35D9D" w:rsidP="00E35D9D" w:rsidRDefault="00E35D9D" w14:paraId="0DE3744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Sie zielt darauf ab, einen Binnenmarkt für audiovisuelle Mediendienste* </w:t>
      </w:r>
      <w:r w:rsidRPr="00E35D9D">
        <w:rPr>
          <w:rFonts w:ascii="Times New Roman" w:hAnsi="Times New Roman" w:eastAsia="Times New Roman" w:cs="Times New Roman"/>
          <w:color w:val="000000"/>
          <w:sz w:val="27"/>
          <w:szCs w:val="27"/>
          <w:lang w:val="fr-FR" w:eastAsia="de-DE"/>
        </w:rPr>
        <w:t xml:space="preserve">in der Europäischen Union (EU) </w:t>
      </w:r>
      <w:r w:rsidRPr="00E35D9D">
        <w:rPr>
          <w:rFonts w:ascii="Times New Roman" w:hAnsi="Times New Roman" w:eastAsia="Times New Roman" w:cs="Times New Roman"/>
          <w:color w:val="000000"/>
          <w:sz w:val="27"/>
          <w:szCs w:val="27"/>
          <w:lang w:val="fr-FR" w:eastAsia="de-DE"/>
        </w:rPr>
        <w:t xml:space="preserve">zu schaffen </w:t>
      </w:r>
      <w:r w:rsidRPr="00E35D9D">
        <w:rPr>
          <w:rFonts w:ascii="Times New Roman" w:hAnsi="Times New Roman" w:eastAsia="Times New Roman" w:cs="Times New Roman"/>
          <w:color w:val="000000"/>
          <w:sz w:val="27"/>
          <w:szCs w:val="27"/>
          <w:lang w:val="fr-FR" w:eastAsia="de-DE"/>
        </w:rPr>
        <w:t xml:space="preserve">und sein ordnungsgemäßes Funktionieren zu gewährleisten und gleichzeitig zur Förderung der kulturellen Vielfalt beizutragen und ein angemessenes Schutzniveau für Verbraucher und Kinder sicherzustellen.</w:t>
      </w:r>
    </w:p>
    <w:p w:rsidRPr="00E35D9D" w:rsidR="00E35D9D" w:rsidP="00E35D9D" w:rsidRDefault="00E35D9D" w14:paraId="69F05AD3"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SCHLÜSSELPUNKTE</w:t>
      </w:r>
    </w:p>
    <w:p w:rsidRPr="00E35D9D" w:rsidR="00E35D9D" w:rsidP="00E35D9D" w:rsidRDefault="00E35D9D" w14:paraId="44D92FB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Europäische Richtlinie über audiovisuelle Mediendienste (AVMD-Richtlinie) regelt die EU-weite Koordinierung der nationalen Gesetze für alle audiovisuellen Medien, von traditionellen Fernsehsendungen bis hin zu audiovisuellen Mediendiensten auf Abruf*</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5B092C6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Mit der </w:t>
      </w:r>
      <w:r w:rsidRPr="00E35D9D">
        <w:rPr>
          <w:rFonts w:ascii="Times New Roman" w:hAnsi="Times New Roman" w:eastAsia="Times New Roman" w:cs="Times New Roman"/>
          <w:color w:val="000000"/>
          <w:sz w:val="27"/>
          <w:szCs w:val="27"/>
          <w:lang w:val="fr-FR" w:eastAsia="de-DE"/>
        </w:rPr>
        <w:t xml:space="preserve">Richtlinie (EU) </w:t>
      </w:r>
      <w:r w:rsidR="00E52C24">
        <w:fldChar w:fldCharType="begin"/>
      </w:r>
      <w:r w:rsidRPr="00E52C24" w:rsidR="00E52C24">
        <w:rPr>
          <w:lang w:val="fr-FR"/>
        </w:rPr>
        <w:instrText xml:space="preserve"> HYPERLINK "https://eur-lex.europa.eu/legal-content/FR/AUTO/?uri=celex:32018L1808"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2018/1808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wird die AVMD-Richtlinie als Teil der Strategie für den digitalen Binnenmarkt geändert und aktualisiert:</w:t>
      </w:r>
    </w:p>
    <w:p w:rsidRPr="00E35D9D" w:rsidR="00E35D9D" w:rsidP="00E35D9D" w:rsidRDefault="00E35D9D" w14:paraId="09F8E427" w14:textId="77777777">
      <w:pPr>
        <w:numPr>
          <w:ilvl w:val="0"/>
          <w:numId w:val="7"/>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Ausweitung bestimmter audiovisueller Vorschriften auf Video-Sharing-Plattformen und auf audiovisuelle Inhalte, die über bestimmte soziale Mediendienste geteilt werden;</w:t>
      </w:r>
    </w:p>
    <w:p w:rsidRPr="00E35D9D" w:rsidR="00E35D9D" w:rsidP="00E35D9D" w:rsidRDefault="00E35D9D" w14:paraId="2C556E42" w14:textId="77777777">
      <w:pPr>
        <w:numPr>
          <w:ilvl w:val="0"/>
          <w:numId w:val="7"/>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Lockerung der Einschränkungen für das Fernsehen;</w:t>
      </w:r>
    </w:p>
    <w:p w:rsidRPr="00E35D9D" w:rsidR="00E35D9D" w:rsidP="00E35D9D" w:rsidRDefault="00E35D9D" w14:paraId="64739565" w14:textId="77777777">
      <w:pPr>
        <w:numPr>
          <w:ilvl w:val="0"/>
          <w:numId w:val="7"/>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Förderung von europäischen Inhalten zu verstärken;</w:t>
      </w:r>
    </w:p>
    <w:p w:rsidRPr="00E35D9D" w:rsidR="00E35D9D" w:rsidP="00E35D9D" w:rsidRDefault="00E35D9D" w14:paraId="41371F1B" w14:textId="77777777">
      <w:pPr>
        <w:numPr>
          <w:ilvl w:val="0"/>
          <w:numId w:val="7"/>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Kinder zu schützen und Hassreden effektiver zu bekämpfen;</w:t>
      </w:r>
    </w:p>
    <w:p w:rsidRPr="00E35D9D" w:rsidR="00E35D9D" w:rsidP="00E35D9D" w:rsidRDefault="00E35D9D" w14:paraId="7AB1195C" w14:textId="77777777">
      <w:pPr>
        <w:numPr>
          <w:ilvl w:val="0"/>
          <w:numId w:val="7"/>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Stärkung der Unabhängigkeit der nationalen Regulierungsbehörden.</w:t>
      </w:r>
    </w:p>
    <w:p w:rsidRPr="00E35D9D" w:rsidR="00E35D9D" w:rsidP="00E35D9D" w:rsidRDefault="00E35D9D" w14:paraId="7726D45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w:t>
      </w:r>
      <w:r w:rsidRPr="00E35D9D">
        <w:rPr>
          <w:rFonts w:ascii="Times New Roman" w:hAnsi="Times New Roman" w:eastAsia="Times New Roman" w:cs="Times New Roman"/>
          <w:color w:val="000000"/>
          <w:sz w:val="27"/>
          <w:szCs w:val="27"/>
          <w:lang w:val="fr-FR" w:eastAsia="de-DE"/>
        </w:rPr>
        <w:t xml:space="preserve">EU-Länder müssen den </w:t>
      </w:r>
      <w:r w:rsidRPr="00E35D9D">
        <w:rPr>
          <w:rFonts w:ascii="Times New Roman" w:hAnsi="Times New Roman" w:eastAsia="Times New Roman" w:cs="Times New Roman"/>
          <w:b/>
          <w:bCs/>
          <w:color w:val="000000"/>
          <w:sz w:val="27"/>
          <w:szCs w:val="27"/>
          <w:lang w:val="fr-FR" w:eastAsia="de-DE"/>
        </w:rPr>
        <w:t xml:space="preserve">freien Empfang </w:t>
      </w:r>
      <w:r w:rsidRPr="00E35D9D">
        <w:rPr>
          <w:rFonts w:ascii="Times New Roman" w:hAnsi="Times New Roman" w:eastAsia="Times New Roman" w:cs="Times New Roman"/>
          <w:color w:val="000000"/>
          <w:sz w:val="27"/>
          <w:szCs w:val="27"/>
          <w:lang w:val="fr-FR" w:eastAsia="de-DE"/>
        </w:rPr>
        <w:t xml:space="preserve">garantieren </w:t>
      </w:r>
      <w:r w:rsidRPr="00E35D9D">
        <w:rPr>
          <w:rFonts w:ascii="Times New Roman" w:hAnsi="Times New Roman" w:eastAsia="Times New Roman" w:cs="Times New Roman"/>
          <w:color w:val="000000"/>
          <w:sz w:val="27"/>
          <w:szCs w:val="27"/>
          <w:lang w:val="fr-FR" w:eastAsia="de-DE"/>
        </w:rPr>
        <w:t xml:space="preserve">und sind verpflichtet, Übertragungen von audiovisuellen Medien aus anderen EU-Ländern nicht zu behindern. Strengere Regeln als die in dieser Richtlinie festgelegten können von den Ländern unter bestimmten Umständen und nach spezifischen Verfahren angewendet werden. Die nationalen Behörden sollten </w:t>
      </w:r>
      <w:r w:rsidRPr="00E35D9D">
        <w:rPr>
          <w:rFonts w:ascii="Times New Roman" w:hAnsi="Times New Roman" w:eastAsia="Times New Roman" w:cs="Times New Roman"/>
          <w:color w:val="000000"/>
          <w:sz w:val="27"/>
          <w:szCs w:val="27"/>
          <w:lang w:val="fr-FR" w:eastAsia="de-DE"/>
        </w:rPr>
        <w:t xml:space="preserve">Co-Regulierung </w:t>
      </w:r>
      <w:r w:rsidRPr="00E35D9D">
        <w:rPr>
          <w:rFonts w:ascii="Times New Roman" w:hAnsi="Times New Roman" w:eastAsia="Times New Roman" w:cs="Times New Roman"/>
          <w:color w:val="000000"/>
          <w:sz w:val="27"/>
          <w:szCs w:val="27"/>
          <w:lang w:val="fr-FR" w:eastAsia="de-DE"/>
        </w:rPr>
        <w:t xml:space="preserve">und Selbstregulierung durch </w:t>
      </w:r>
      <w:r w:rsidRPr="00E35D9D">
        <w:rPr>
          <w:rFonts w:ascii="Times New Roman" w:hAnsi="Times New Roman" w:eastAsia="Times New Roman" w:cs="Times New Roman"/>
          <w:b/>
          <w:bCs/>
          <w:color w:val="000000"/>
          <w:sz w:val="27"/>
          <w:szCs w:val="27"/>
          <w:lang w:val="fr-FR" w:eastAsia="de-DE"/>
        </w:rPr>
        <w:t xml:space="preserve">nationale Verhaltenskodizes </w:t>
      </w:r>
      <w:r w:rsidRPr="00E35D9D">
        <w:rPr>
          <w:rFonts w:ascii="Times New Roman" w:hAnsi="Times New Roman" w:eastAsia="Times New Roman" w:cs="Times New Roman"/>
          <w:color w:val="000000"/>
          <w:sz w:val="27"/>
          <w:szCs w:val="27"/>
          <w:lang w:val="fr-FR" w:eastAsia="de-DE"/>
        </w:rPr>
        <w:t xml:space="preserve">fördern</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27ADA3A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lastRenderedPageBreak/>
        <w:t xml:space="preserve">Werbung</w:t>
      </w:r>
    </w:p>
    <w:p w:rsidRPr="00E35D9D" w:rsidR="00E35D9D" w:rsidP="00E35D9D" w:rsidRDefault="00E35D9D" w14:paraId="4B6C8D4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Audiovisuelle Werbung muss leicht als solche zu erkennen sein und darf nicht</w:t>
      </w:r>
    </w:p>
    <w:p w:rsidRPr="00E35D9D" w:rsidR="00E35D9D" w:rsidP="00E35D9D" w:rsidRDefault="00E35D9D" w14:paraId="1E755C9A" w14:textId="77777777">
      <w:pPr>
        <w:numPr>
          <w:ilvl w:val="0"/>
          <w:numId w:val="8"/>
        </w:numPr>
        <w:spacing w:before="240" w:after="240" w:line="240" w:lineRule="auto"/>
        <w:ind w:start="1200"/>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unterschwellige </w:t>
      </w:r>
      <w:r w:rsidRPr="00E35D9D">
        <w:rPr>
          <w:rFonts w:ascii="Times New Roman" w:hAnsi="Times New Roman" w:eastAsia="Times New Roman" w:cs="Times New Roman"/>
          <w:color w:val="000000"/>
          <w:sz w:val="27"/>
          <w:szCs w:val="27"/>
          <w:lang w:eastAsia="de-DE"/>
        </w:rPr>
        <w:t xml:space="preserve">Techniken </w:t>
      </w:r>
      <w:r w:rsidRPr="00E35D9D">
        <w:rPr>
          <w:rFonts w:ascii="Times New Roman" w:hAnsi="Times New Roman" w:eastAsia="Times New Roman" w:cs="Times New Roman"/>
          <w:color w:val="000000"/>
          <w:sz w:val="27"/>
          <w:szCs w:val="27"/>
          <w:lang w:eastAsia="de-DE"/>
        </w:rPr>
        <w:t xml:space="preserve">verwenden;</w:t>
      </w:r>
    </w:p>
    <w:p w:rsidRPr="00E35D9D" w:rsidR="00E35D9D" w:rsidP="00E35D9D" w:rsidRDefault="00E35D9D" w14:paraId="176E3812" w14:textId="77777777">
      <w:pPr>
        <w:numPr>
          <w:ilvl w:val="0"/>
          <w:numId w:val="8"/>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Menschenwürde untergraben;</w:t>
      </w:r>
    </w:p>
    <w:p w:rsidRPr="00E35D9D" w:rsidR="00E35D9D" w:rsidP="00E35D9D" w:rsidRDefault="00E35D9D" w14:paraId="7A69BFE3" w14:textId="77777777">
      <w:pPr>
        <w:numPr>
          <w:ilvl w:val="0"/>
          <w:numId w:val="8"/>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Diskriminierung jeglicher Art zu beinhalten oder zu fördern;</w:t>
      </w:r>
    </w:p>
    <w:p w:rsidRPr="00E35D9D" w:rsidR="00E35D9D" w:rsidP="00E35D9D" w:rsidRDefault="00E35D9D" w14:paraId="45F34DE4" w14:textId="77777777">
      <w:pPr>
        <w:numPr>
          <w:ilvl w:val="0"/>
          <w:numId w:val="8"/>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ein gesundheits- oder sicherheitsschädigendes Verhalten fördern;</w:t>
      </w:r>
    </w:p>
    <w:p w:rsidRPr="00E35D9D" w:rsidR="00E35D9D" w:rsidP="00E35D9D" w:rsidRDefault="00E35D9D" w14:paraId="2200095C" w14:textId="77777777">
      <w:pPr>
        <w:numPr>
          <w:ilvl w:val="0"/>
          <w:numId w:val="8"/>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Verhaltensweisen fördern, die dem Umweltschutz ernsthaft abträglich sind.</w:t>
      </w:r>
    </w:p>
    <w:p w:rsidRPr="00E35D9D" w:rsidR="00E35D9D" w:rsidP="00E35D9D" w:rsidRDefault="00E35D9D" w14:paraId="7673C69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Audiovisuelle Werbung ist verboten:</w:t>
      </w:r>
    </w:p>
    <w:p w:rsidRPr="00E35D9D" w:rsidR="00E35D9D" w:rsidP="00E35D9D" w:rsidRDefault="00E35D9D" w14:paraId="52977E14" w14:textId="77777777">
      <w:pPr>
        <w:numPr>
          <w:ilvl w:val="0"/>
          <w:numId w:val="9"/>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Werbung für Zigaretten und andere Tabakprodukte, sowie elektronische Zigaretten und Nachfüllflaschen;</w:t>
      </w:r>
    </w:p>
    <w:p w:rsidRPr="00E35D9D" w:rsidR="00E35D9D" w:rsidP="00E35D9D" w:rsidRDefault="00E35D9D" w14:paraId="18CCA7A6" w14:textId="77777777">
      <w:pPr>
        <w:numPr>
          <w:ilvl w:val="0"/>
          <w:numId w:val="9"/>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Werbung für alkoholische Getränke und die ausdrückliche Ansprache von Minderjährigen oder die Förderung des übermäßigen Konsums solcher Getränke zu einer Reihe von Einschränkungen;</w:t>
      </w:r>
    </w:p>
    <w:p w:rsidRPr="00E35D9D" w:rsidR="00E35D9D" w:rsidP="00E35D9D" w:rsidRDefault="00E35D9D" w14:paraId="7E4851BC" w14:textId="77777777">
      <w:pPr>
        <w:numPr>
          <w:ilvl w:val="0"/>
          <w:numId w:val="9"/>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Werbung für verschreibungspflichtige Medikamente oder medizinische Behandlungen;</w:t>
      </w:r>
    </w:p>
    <w:p w:rsidRPr="00E35D9D" w:rsidR="00E35D9D" w:rsidP="00E35D9D" w:rsidRDefault="00E35D9D" w14:paraId="37748F9C" w14:textId="77777777">
      <w:pPr>
        <w:numPr>
          <w:ilvl w:val="0"/>
          <w:numId w:val="9"/>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Unerfahrenheit von Minderjährigen, ihre Leichtgläubigkeit oder ihr besonderes Vertrauen in Erwachsene ausnutzen oder Minderjährige ohne Grund in gefährliche Situationen bringen.</w:t>
      </w:r>
    </w:p>
    <w:p w:rsidRPr="00E35D9D" w:rsidR="00E35D9D" w:rsidP="00E35D9D" w:rsidRDefault="00E35D9D" w14:paraId="0DB6265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Für Sponsoring und Produktplatzierung gelten ebenfalls zusätzliche Anforderungen. Darüber hinaus haben die Sender mehr Flexibilität in Bezug auf die Werbezeit, mit einer neuen Grenze von 20 % für den Zeitraum zwischen 6 und 18 Stunden und zwischen 18 und 24 Stunden.</w:t>
      </w:r>
    </w:p>
    <w:p w:rsidRPr="00E35D9D" w:rsidR="00E35D9D" w:rsidP="00E35D9D" w:rsidRDefault="00E35D9D" w14:paraId="1FE8D8A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Schutz von Kindern</w:t>
      </w:r>
    </w:p>
    <w:p w:rsidRPr="00E35D9D" w:rsidR="00E35D9D" w:rsidP="00E35D9D" w:rsidRDefault="00E35D9D" w14:paraId="42CD4A3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EU-Länder müssen geeignete Maßnahmen ergreifen, um sicherzustellen, dass Sendungen, die "für die körperliche, geistige oder sittliche Entwicklung von Minderjährigen schädlich sein können", nur so bereitgestellt werden, dass Minderjährige sie normalerweise nicht hören oder sehen können, u. a. durch die Wahl der Sendezeit, den Einsatz von Instrumenten zur Altersüberprüfung oder andere technische Maßnahmen, die in einem angemessenen Verhältnis zu dem Schaden stehen, den die Sendung verursachen könnte. Die schädlichsten Inhalte, wie Pornografie und grundlose Gewalt, unterliegen den strengsten Maßnahmen.</w:t>
      </w:r>
    </w:p>
    <w:p w:rsidRPr="00E35D9D" w:rsidR="00E35D9D" w:rsidP="00E35D9D" w:rsidRDefault="00E35D9D" w14:paraId="58A563B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Minderjährige profitieren auch von einem höheren Schutzniveau im Internet: Video-Sharing-Plattformen müssen Maßnahmen ergreifen, um sie vor schädlichen Inhalten zu schützen.</w:t>
      </w:r>
    </w:p>
    <w:p w:rsidRPr="00E35D9D" w:rsidR="00E35D9D" w:rsidP="00E35D9D" w:rsidRDefault="00E35D9D" w14:paraId="5BEE683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Produktplatzierung ist auch in Kindersendungen verboten. Im Hinblick auf Werbung für Kinder, die in unangemessener Weise für Lebensmittel und Getränke mit hohem Fett-, Salz- und Zuckergehalt wirbt, sollten die EU-Länder durch Verhaltenskodizes den Einsatz von Selbst- und </w:t>
      </w:r>
      <w:r w:rsidRPr="00E35D9D">
        <w:rPr>
          <w:rFonts w:ascii="Times New Roman" w:hAnsi="Times New Roman" w:eastAsia="Times New Roman" w:cs="Times New Roman"/>
          <w:color w:val="000000"/>
          <w:sz w:val="27"/>
          <w:szCs w:val="27"/>
          <w:lang w:val="fr-FR" w:eastAsia="de-DE"/>
        </w:rPr>
        <w:t xml:space="preserve">Koregulierung </w:t>
      </w:r>
      <w:r w:rsidRPr="00E35D9D">
        <w:rPr>
          <w:rFonts w:ascii="Times New Roman" w:hAnsi="Times New Roman" w:eastAsia="Times New Roman" w:cs="Times New Roman"/>
          <w:color w:val="000000"/>
          <w:sz w:val="27"/>
          <w:szCs w:val="27"/>
          <w:lang w:val="fr-FR" w:eastAsia="de-DE"/>
        </w:rPr>
        <w:t xml:space="preserve">fördern</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6421344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Hassrede</w:t>
      </w:r>
    </w:p>
    <w:p w:rsidRPr="00E35D9D" w:rsidR="00E35D9D" w:rsidP="00E35D9D" w:rsidRDefault="00E35D9D" w14:paraId="68DEDB3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Audiovisuelle Mediendienste dürfen gemäß </w:t>
      </w:r>
      <w:r w:rsidR="00E52C24">
        <w:fldChar w:fldCharType="begin"/>
      </w:r>
      <w:r w:rsidRPr="00E52C24" w:rsidR="00E52C24">
        <w:rPr>
          <w:lang w:val="fr-FR"/>
        </w:rPr>
        <w:instrText xml:space="preserve"> HYP</w:instrText>
      </w:r>
      <w:r w:rsidRPr="00E52C24" w:rsidR="00E52C24">
        <w:rPr>
          <w:lang w:val="fr-FR"/>
        </w:rPr>
        <w:instrText xml:space="preserve">ERLINK "http://fra.europa.eu/fr/charterpedia/article/21-non-discrimination"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Artikel 21 der EU-Grundrechtecharta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keine Aufstachelung zu Gewalt oder Hass enthalten, die sich gegen eine Personengruppe oder ein Mitglied einer Gruppe aus Gründen der Diskriminierung wie Geschlecht, Rasse, Hautfarbe, ethnische oder soziale Herkunft, genetische Merkmale, Sprache, Religion oder Weltanschauung, politische oder sonstige Anschauung, Zugehörigkeit zu einer nationalen Minderheit, Vermögen, Geburt, Behinderung, Alter, sexuelle Ausrichtung oder Staatsangehörigkeit richtet</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488C7D8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Auch die </w:t>
      </w:r>
      <w:r w:rsidRPr="00E35D9D">
        <w:rPr>
          <w:rFonts w:ascii="Times New Roman" w:hAnsi="Times New Roman" w:eastAsia="Times New Roman" w:cs="Times New Roman"/>
          <w:color w:val="000000"/>
          <w:sz w:val="27"/>
          <w:szCs w:val="27"/>
          <w:lang w:val="fr-FR" w:eastAsia="de-DE"/>
        </w:rPr>
        <w:t xml:space="preserve">öffentliche Aufforderung zur Begehung einer </w:t>
      </w:r>
      <w:r w:rsidR="00E52C24">
        <w:fldChar w:fldCharType="begin"/>
      </w:r>
      <w:r w:rsidRPr="00E52C24" w:rsidR="00E52C24">
        <w:rPr>
          <w:lang w:val="fr-FR"/>
        </w:rPr>
        <w:instrText xml:space="preserve"> HYPERLINK "http://eur-lex.europa.eu/legal-content/FR/TXT/?uri=LEGISSUM:4322328"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terroristischen Straftat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ist verboten.</w:t>
      </w:r>
    </w:p>
    <w:p w:rsidRPr="00E35D9D" w:rsidR="00E35D9D" w:rsidP="00E35D9D" w:rsidRDefault="00E35D9D" w14:paraId="50B8BF3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Erreichbarkeit</w:t>
      </w:r>
    </w:p>
    <w:p w:rsidRPr="00E35D9D" w:rsidR="00E35D9D" w:rsidP="00E35D9D" w:rsidRDefault="00E35D9D" w14:paraId="5A8CA80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Von den Anbietern wird erwartet, dass sie auf eine kontinuierliche und schrittweise Verbesserung der Zugänglichkeit ihrer Dienstleistungen für Menschen mit Behinderungen hinarbeiten und werden ermutigt, Aktionspläne zu entwickeln, um dies zu erreichen.</w:t>
      </w:r>
    </w:p>
    <w:p w:rsidRPr="00E35D9D" w:rsidR="00E35D9D" w:rsidP="00E35D9D" w:rsidRDefault="00E35D9D" w14:paraId="6115EDF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EU-Länder sollten eine Online-Kontaktstelle benennen, die Informationen bereitstellt und Beschwerden zu allen Fragen der Barrierefreiheit entgegennimmt. Notfallinformationen, die der Öffentlichkeit über audiovisuelle Mediendienste zur Verfügung gestellt werden, auch in Situationen von Naturkatastrophen, sollten in einer Weise bereitgestellt werden, die für Menschen mit Behinderungen zugänglich ist.</w:t>
      </w:r>
    </w:p>
    <w:p w:rsidRPr="00E35D9D" w:rsidR="00E35D9D" w:rsidP="00E35D9D" w:rsidRDefault="00E35D9D" w14:paraId="215771D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Video-Freigabe</w:t>
      </w:r>
    </w:p>
    <w:p w:rsidRPr="00E35D9D" w:rsidR="00E35D9D" w:rsidP="00E35D9D" w:rsidRDefault="00E35D9D" w14:paraId="32B69BF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Anbieter von Video-Sharing-Plattformen* </w:t>
      </w:r>
      <w:r w:rsidRPr="00E35D9D">
        <w:rPr>
          <w:rFonts w:ascii="Times New Roman" w:hAnsi="Times New Roman" w:eastAsia="Times New Roman" w:cs="Times New Roman"/>
          <w:color w:val="000000"/>
          <w:sz w:val="27"/>
          <w:szCs w:val="27"/>
          <w:lang w:val="fr-FR" w:eastAsia="de-DE"/>
        </w:rPr>
        <w:t xml:space="preserve">müssen geeignete Maßnahmen ergreifen, um Minderjährige vor Inhalten zu schützen, die ihre körperliche, geistige oder sittliche Entwicklung beeinträchtigen können, und die Allgemeinheit vor der Aufstachelung zu Gewalt oder Hass oder der öffentlichen Aufforderung zur Begehung einer terroristischen Straftat.</w:t>
      </w:r>
    </w:p>
    <w:p w:rsidRPr="00E35D9D" w:rsidR="00E35D9D" w:rsidP="00E35D9D" w:rsidRDefault="00E35D9D" w14:paraId="228A5DA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Diese Maßnahmen umfassen unter anderem:</w:t>
      </w:r>
    </w:p>
    <w:p w:rsidRPr="00E35D9D" w:rsidR="00E35D9D" w:rsidP="00E35D9D" w:rsidRDefault="00E35D9D" w14:paraId="31377A01" w14:textId="77777777">
      <w:pPr>
        <w:numPr>
          <w:ilvl w:val="0"/>
          <w:numId w:val="10"/>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Mechanismen für Benutzer, um nicht konforme Inhalte zu melden, und effektive Verfahren für die Bearbeitung von Benutzerbeschwerden;</w:t>
      </w:r>
    </w:p>
    <w:p w:rsidRPr="00E35D9D" w:rsidR="00E35D9D" w:rsidP="00E35D9D" w:rsidRDefault="00E35D9D" w14:paraId="385043E4" w14:textId="77777777">
      <w:pPr>
        <w:numPr>
          <w:ilvl w:val="0"/>
          <w:numId w:val="10"/>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wirksame Maßnahmen und Werkzeuge zur Förderung der Medienkompetenz sowie die Entwicklung des Bewusstseins der Nutzer für diese Maßnahmen und Werkzeuge.</w:t>
      </w:r>
    </w:p>
    <w:p w:rsidRPr="00E35D9D" w:rsidR="00E35D9D" w:rsidP="00E35D9D" w:rsidRDefault="00E35D9D" w14:paraId="7A495F4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Hinsichtlich der Beschränkungen für Werbung und andere Arten von Inhalten haben Anbieter von Videoplattformen dieselben Verpflichtungen wie Anbieter audiovisueller Dienste, da sie nur eine begrenzte Kontrolle über die Werbung auf ihren Plattformen ausüben können, für deren Förderung, Verkauf oder Organisation sie nicht verantwortlich sind.</w:t>
      </w:r>
    </w:p>
    <w:p w:rsidRPr="00E35D9D" w:rsidR="00E35D9D" w:rsidP="00E35D9D" w:rsidRDefault="00E35D9D" w14:paraId="6BD87A9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Förderung von europäischen und unabhängigen Werken</w:t>
      </w:r>
    </w:p>
    <w:p w:rsidRPr="00E35D9D" w:rsidR="00E35D9D" w:rsidP="00E35D9D" w:rsidRDefault="00E35D9D" w14:paraId="6AE3A00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Anbieter von audiovisuellen Mediendiensten auf Abruf müssen sicherstellen, dass ihre Kataloge mindestens 30 % europäische Werke enthalten und dass sie angemessen beworben werden.</w:t>
      </w:r>
    </w:p>
    <w:p w:rsidRPr="00E35D9D" w:rsidR="00E35D9D" w:rsidP="00E35D9D" w:rsidRDefault="00E35D9D" w14:paraId="397F677D"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SEIT WANN GILT DIESE RICHTLINIE?</w:t>
      </w:r>
    </w:p>
    <w:p w:rsidRPr="00E35D9D" w:rsidR="00E35D9D" w:rsidP="00E35D9D" w:rsidRDefault="00E35D9D" w14:paraId="67B207B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ursprüngliche AVMS-Richtlinie gilt seit dem 5. Mai 2010. Die Änderungen durch die Richtlinie (EU) 2018/1808 gelten seit dem 18. Dezember 2018 und müssen bis zum 19. September 2020 in den EU-Ländern Gesetz werden.</w:t>
      </w:r>
    </w:p>
    <w:p w:rsidRPr="00E35D9D" w:rsidR="00E35D9D" w:rsidP="00E35D9D" w:rsidRDefault="00E35D9D" w14:paraId="33DFDBFE"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HINTERGRUND</w:t>
      </w:r>
    </w:p>
    <w:p w:rsidRPr="00E35D9D" w:rsidR="00E35D9D" w:rsidP="00E35D9D" w:rsidRDefault="00E35D9D" w14:paraId="2E075C3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Für weitere Informationen siehe:</w:t>
      </w:r>
    </w:p>
    <w:p w:rsidRPr="00E35D9D" w:rsidR="00E35D9D" w:rsidP="00E35D9D" w:rsidRDefault="00E52C24" w14:paraId="6B689120" w14:textId="77777777">
      <w:pPr>
        <w:numPr>
          <w:ilvl w:val="0"/>
          <w:numId w:val="11"/>
        </w:numPr>
        <w:spacing w:before="240" w:after="240" w:line="240" w:lineRule="auto"/>
        <w:ind w:start="1200"/>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"http://ec.europa.eu/digital-single-market/en/audiovisual-media-services-directive-avmsd"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Richtlinie über audiovisuelle Mediendienste </w:t>
      </w:r>
      <w:r>
        <w:rPr>
          <w:rFonts w:ascii="Times New Roman" w:hAnsi="Times New Roman" w:eastAsia="Times New Roman" w:cs="Times New Roman"/>
          <w:color w:val="0000FF"/>
          <w:sz w:val="27"/>
          <w:szCs w:val="27"/>
          <w:u w:val="single"/>
          <w:lang w:val="fr-FR" w:eastAsia="de-DE"/>
        </w:rPr>
        <w:fldChar w:fldCharType="end"/>
      </w:r>
      <w:r w:rsidRPr="00E35D9D" w:rsidR="00E35D9D">
        <w:rPr>
          <w:rFonts w:ascii="Times New Roman" w:hAnsi="Times New Roman" w:eastAsia="Times New Roman" w:cs="Times New Roman"/>
          <w:color w:val="000000"/>
          <w:sz w:val="27"/>
          <w:szCs w:val="27"/>
          <w:lang w:val="fr-FR" w:eastAsia="de-DE"/>
        </w:rPr>
        <w:t xml:space="preserve">(AVMS) (</w:t>
      </w:r>
      <w:r w:rsidRPr="00E35D9D" w:rsidR="00E35D9D">
        <w:rPr>
          <w:rFonts w:ascii="Times New Roman" w:hAnsi="Times New Roman" w:eastAsia="Times New Roman" w:cs="Times New Roman"/>
          <w:i/>
          <w:iCs/>
          <w:color w:val="000000"/>
          <w:sz w:val="27"/>
          <w:szCs w:val="27"/>
          <w:lang w:val="fr-FR" w:eastAsia="de-DE"/>
        </w:rPr>
        <w:t xml:space="preserve">Europäische Kommission</w:t>
      </w:r>
      <w:r w:rsidRPr="00E35D9D" w:rsid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52C24" w14:paraId="259463D9" w14:textId="77777777">
      <w:pPr>
        <w:numPr>
          <w:ilvl w:val="0"/>
          <w:numId w:val="11"/>
        </w:numPr>
        <w:spacing w:before="240" w:after="240" w:line="240" w:lineRule="auto"/>
        <w:ind w:start="1200"/>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"http://ec.europa.eu/commission/priorities/digital-single-market_fr"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Digital Single Market </w:t>
      </w:r>
      <w:r>
        <w:rPr>
          <w:rFonts w:ascii="Times New Roman" w:hAnsi="Times New Roman" w:eastAsia="Times New Roman" w:cs="Times New Roman"/>
          <w:color w:val="0000FF"/>
          <w:sz w:val="27"/>
          <w:szCs w:val="27"/>
          <w:u w:val="single"/>
          <w:lang w:val="fr-FR" w:eastAsia="de-DE"/>
        </w:rPr>
        <w:fldChar w:fldCharType="end"/>
      </w:r>
      <w:r w:rsidRPr="00E35D9D" w:rsidR="00E35D9D">
        <w:rPr>
          <w:rFonts w:ascii="Times New Roman" w:hAnsi="Times New Roman" w:eastAsia="Times New Roman" w:cs="Times New Roman"/>
          <w:color w:val="000000"/>
          <w:sz w:val="27"/>
          <w:szCs w:val="27"/>
          <w:lang w:val="fr-FR" w:eastAsia="de-DE"/>
        </w:rPr>
        <w:t xml:space="preserve">(</w:t>
      </w:r>
      <w:r w:rsidRPr="00E35D9D" w:rsidR="00E35D9D">
        <w:rPr>
          <w:rFonts w:ascii="Times New Roman" w:hAnsi="Times New Roman" w:eastAsia="Times New Roman" w:cs="Times New Roman"/>
          <w:i/>
          <w:iCs/>
          <w:color w:val="000000"/>
          <w:sz w:val="27"/>
          <w:szCs w:val="27"/>
          <w:lang w:val="fr-FR" w:eastAsia="de-DE"/>
        </w:rPr>
        <w:t xml:space="preserve">Europäische Kommission</w:t>
      </w:r>
      <w:r w:rsidRPr="00E35D9D" w:rsid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48C752F9"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SCHLÜSSELBEGRIFFE</w:t>
      </w:r>
    </w:p>
    <w:p w:rsidRPr="00E35D9D" w:rsidR="00E35D9D" w:rsidP="00E35D9D" w:rsidRDefault="00E35D9D" w14:paraId="21C6FDD0"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Audiovisueller Mediendienst: ein </w:t>
      </w:r>
      <w:r w:rsidRPr="00E35D9D">
        <w:rPr>
          <w:rFonts w:ascii="Times New Roman" w:hAnsi="Times New Roman" w:eastAsia="Times New Roman" w:cs="Times New Roman"/>
          <w:color w:val="000000"/>
          <w:sz w:val="27"/>
          <w:szCs w:val="27"/>
          <w:lang w:val="fr-FR" w:eastAsia="de-DE"/>
        </w:rPr>
        <w:t xml:space="preserve">Dienst, der unter der redaktionellen Verantwortung eines Mediendiensteanbieters Programme zur Information, Unterhaltung oder Bildung der Allgemeinheit über elektronische Kommunikationsnetze entweder auf Abruf oder durch Ausstrahlung bereitstellt.</w:t>
      </w:r>
    </w:p>
    <w:p w:rsidRPr="00E35D9D" w:rsidR="00E35D9D" w:rsidP="00E35D9D" w:rsidRDefault="00E35D9D" w14:paraId="6A03E8DB"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Audiovisueller Mediendienst auf Abruf: </w:t>
      </w:r>
      <w:r w:rsidRPr="00E35D9D">
        <w:rPr>
          <w:rFonts w:ascii="Times New Roman" w:hAnsi="Times New Roman" w:eastAsia="Times New Roman" w:cs="Times New Roman"/>
          <w:color w:val="000000"/>
          <w:sz w:val="27"/>
          <w:szCs w:val="27"/>
          <w:lang w:val="fr-FR" w:eastAsia="de-DE"/>
        </w:rPr>
        <w:t xml:space="preserve">ein von einem Mediendiensteanbieter bereitgestellter audiovisueller Mediendienst zum Abruf von Programmen zu einem vom Nutzer gewählten Zeitpunkt und auf individuellen Abruf auf der Grundlage eines vom Mediendiensteanbieter ausgewählten Programmkatalogs.</w:t>
      </w:r>
    </w:p>
    <w:p w:rsidRPr="00E35D9D" w:rsidR="00E35D9D" w:rsidP="00E35D9D" w:rsidRDefault="00E35D9D" w14:paraId="330900A9"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Videoplattformdienst: </w:t>
      </w:r>
      <w:r w:rsidRPr="00E35D9D">
        <w:rPr>
          <w:rFonts w:ascii="Times New Roman" w:hAnsi="Times New Roman" w:eastAsia="Times New Roman" w:cs="Times New Roman"/>
          <w:color w:val="000000"/>
          <w:sz w:val="27"/>
          <w:szCs w:val="27"/>
          <w:lang w:val="fr-FR" w:eastAsia="de-DE"/>
        </w:rPr>
        <w:t xml:space="preserve">ein Dienst, der nutzergenerierte Programme und/oder Videos, die nicht unter der redaktionellen Verantwortung des Anbieters der Videoplattform stehen, zum Zwecke der Information, Unterhaltung oder Bildung über </w:t>
      </w:r>
      <w:r w:rsidRPr="00E35D9D">
        <w:rPr>
          <w:rFonts w:ascii="Times New Roman" w:hAnsi="Times New Roman" w:eastAsia="Times New Roman" w:cs="Times New Roman"/>
          <w:color w:val="000000"/>
          <w:sz w:val="27"/>
          <w:szCs w:val="27"/>
          <w:lang w:val="fr-FR" w:eastAsia="de-DE"/>
        </w:rPr>
        <w:lastRenderedPageBreak/>
        <w:t xml:space="preserve">elektronische Kommunikationsnetze der </w:t>
      </w:r>
      <w:r w:rsidRPr="00E35D9D">
        <w:rPr>
          <w:rFonts w:ascii="Times New Roman" w:hAnsi="Times New Roman" w:eastAsia="Times New Roman" w:cs="Times New Roman"/>
          <w:color w:val="000000"/>
          <w:sz w:val="27"/>
          <w:szCs w:val="27"/>
          <w:lang w:val="fr-FR" w:eastAsia="de-DE"/>
        </w:rPr>
        <w:t xml:space="preserve">breiten Öffentlichkeit anbietet </w:t>
      </w:r>
      <w:r w:rsidRPr="00E35D9D">
        <w:rPr>
          <w:rFonts w:ascii="Times New Roman" w:hAnsi="Times New Roman" w:eastAsia="Times New Roman" w:cs="Times New Roman"/>
          <w:color w:val="000000"/>
          <w:sz w:val="27"/>
          <w:szCs w:val="27"/>
          <w:lang w:val="fr-FR" w:eastAsia="de-DE"/>
        </w:rPr>
        <w:lastRenderedPageBreak/>
        <w:t xml:space="preserve">und dessen Organisation vom Anbieter der Videoplattform insbesondere durch automatische Mittel oder Algorithmen, insbesondere durch Anzeige, Markierung und Sequenzierung, bestimmt wird</w:t>
      </w:r>
    </w:p>
    <w:p w:rsidRPr="00E35D9D" w:rsidR="00E35D9D" w:rsidP="00E35D9D" w:rsidRDefault="00E35D9D" w14:paraId="7B6B2AD5"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HAUPTDOKUMENT</w:t>
      </w:r>
    </w:p>
    <w:p w:rsidRPr="00E35D9D" w:rsidR="00E35D9D" w:rsidP="00E35D9D" w:rsidRDefault="00E35D9D" w14:paraId="59572C9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Richtlinie </w:t>
      </w:r>
      <w:r w:rsidR="00E52C24">
        <w:fldChar w:fldCharType="begin"/>
      </w:r>
      <w:r w:rsidRPr="00E52C24" w:rsidR="00E52C24">
        <w:rPr>
          <w:lang w:val="fr-FR"/>
        </w:rPr>
        <w:instrText xml:space="preserve"> HYPERLINK "https://eur-lex.europa.eu/legal-content/FR/AUTO/?uri=celex:32010L0013"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2010/13/EU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des Europäischen Parlaments und des Rates vom 10. März 2010 zur Koordinierung bestimmter Rechts- und Verwaltungsvorschriften der Mitgliedstaaten über die Bereitstellung audiovisueller Mediendienste (Richtlinie über audiovisuelle Mediendienste) (ABl. L 95 vom 15.4.2010, S. 1-24)</w:t>
      </w:r>
    </w:p>
    <w:p w:rsidRPr="00E35D9D" w:rsidR="00E35D9D" w:rsidP="00E35D9D" w:rsidRDefault="00E35D9D" w14:paraId="005720A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Aufeinanderfolgende Änderungen der Richtlinie 2010/13/EG wurden in das Originaldokument eingearbeitet. Diese </w:t>
      </w:r>
      <w:r w:rsidR="00E52C24">
        <w:fldChar w:fldCharType="begin"/>
      </w:r>
      <w:r w:rsidRPr="00E52C24" w:rsidR="00E52C24">
        <w:rPr>
          <w:lang w:val="fr-FR"/>
        </w:rPr>
        <w:instrText xml:space="preserve"> HYPERLINK "https://eur-lex.europa.eu/legal-content/FR/AUTO/?uri=celex:02010L0013-20181218"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konsolidierte Version dient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nur zu Dokumentationszwecken.</w:t>
      </w:r>
    </w:p>
    <w:p w:rsidRPr="00E35D9D" w:rsidR="00E35D9D" w:rsidP="00E35D9D" w:rsidRDefault="00E35D9D" w14:paraId="298BB707"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ZUGEHÖRIGE DOKUMENTE</w:t>
      </w:r>
    </w:p>
    <w:p w:rsidRPr="00E35D9D" w:rsidR="00E35D9D" w:rsidP="00E35D9D" w:rsidRDefault="00E35D9D" w14:paraId="6FF948A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Richtlinie (EU) </w:t>
      </w:r>
      <w:r w:rsidR="00E52C24">
        <w:fldChar w:fldCharType="begin"/>
      </w:r>
      <w:r w:rsidRPr="00E52C24" w:rsidR="00E52C24">
        <w:rPr>
          <w:lang w:val="fr-FR"/>
        </w:rPr>
        <w:instrText xml:space="preserve"> HYPERLINK "http://eur-lex.europa.eu/legal-content/FR/TXT/?uri=celex%3A32017L0541"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2017/541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des Europäischen Parlaments und des Rates vom 15. März 2017 zur Terrorismusbekämpfung und zur Ersetzung des Rahmenbeschlusses 2002/475/JI des Rates sowie zur Änderung des Beschlusses 2005/671/JI des Rates (ABl. L 88 vom 31.3.2017, S. 6-21)</w:t>
      </w:r>
    </w:p>
    <w:p w:rsidRPr="00E35D9D" w:rsidR="00E35D9D" w:rsidP="00E35D9D" w:rsidRDefault="00E35D9D" w14:paraId="4965375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Mitteilung der Kommission an das Europäische Parlament, den Rat, den Europäischen Wirtschafts- und Sozialausschuss und den Ausschuss der Regionen über Europas Strategie für einen digitalen Binnenmarkt (</w:t>
      </w:r>
      <w:r w:rsidR="00E52C24">
        <w:fldChar w:fldCharType="begin"/>
      </w:r>
      <w:r w:rsidRPr="00E52C24" w:rsidR="00E52C24">
        <w:rPr>
          <w:lang w:val="fr-FR"/>
        </w:rPr>
        <w:instrText xml:space="preserve"> HYPERLINK "https://eur-lex.europa.eu/legal-content/FR/AUTO/?uri=celex:52015DC0192"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COM(2015) 192</w:t>
      </w:r>
      <w:r w:rsidRPr="00E35D9D">
        <w:rPr>
          <w:rFonts w:ascii="Times New Roman" w:hAnsi="Times New Roman" w:eastAsia="Times New Roman" w:cs="Times New Roman"/>
          <w:color w:val="0000FF"/>
          <w:sz w:val="27"/>
          <w:szCs w:val="27"/>
          <w:u w:val="single"/>
          <w:lang w:val="fr-FR" w:eastAsia="de-DE"/>
        </w:rPr>
        <w:t xml:space="preserve">final vom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6.5.2015)</w:t>
      </w:r>
    </w:p>
    <w:p w:rsidRPr="00E35D9D" w:rsidR="00E35D9D" w:rsidP="00E35D9D" w:rsidRDefault="00E52C24" w14:paraId="4B08C412"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"https://eur-lex.europa.eu/legal-content/FR/AUTO/?uri=celex:1201</w:instrText>
      </w:r>
      <w:r w:rsidRPr="00E52C24">
        <w:rPr>
          <w:lang w:val="fr-FR"/>
        </w:rPr>
        <w:instrText xml:space="preserve">2P/TXT"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Charta der Grundrechte </w:t>
      </w:r>
      <w:r>
        <w:rPr>
          <w:rFonts w:ascii="Times New Roman" w:hAnsi="Times New Roman" w:eastAsia="Times New Roman" w:cs="Times New Roman"/>
          <w:color w:val="0000FF"/>
          <w:sz w:val="27"/>
          <w:szCs w:val="27"/>
          <w:u w:val="single"/>
          <w:lang w:val="fr-FR" w:eastAsia="de-DE"/>
        </w:rPr>
        <w:fldChar w:fldCharType="end"/>
      </w:r>
      <w:r w:rsidRPr="00E35D9D" w:rsidR="00E35D9D">
        <w:rPr>
          <w:rFonts w:ascii="Times New Roman" w:hAnsi="Times New Roman" w:eastAsia="Times New Roman" w:cs="Times New Roman"/>
          <w:color w:val="000000"/>
          <w:sz w:val="27"/>
          <w:szCs w:val="27"/>
          <w:lang w:val="fr-FR" w:eastAsia="de-DE"/>
        </w:rPr>
        <w:t xml:space="preserve">der Europäischen Union (ABl. C 326 vom 26.10.2012, S. 391-407)</w:t>
      </w:r>
    </w:p>
    <w:p w:rsidRPr="00E35D9D" w:rsidR="00E35D9D" w:rsidP="00E35D9D" w:rsidRDefault="00E35D9D" w14:paraId="2A56BA9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Richtlinie </w:t>
      </w:r>
      <w:r w:rsidR="00E52C24">
        <w:fldChar w:fldCharType="begin"/>
      </w:r>
      <w:r w:rsidRPr="00E52C24" w:rsidR="00E52C24">
        <w:rPr>
          <w:lang w:val="fr-FR"/>
        </w:rPr>
        <w:instrText xml:space="preserve"> HYPERLINK "https://eur-lex.europa.eu/legal-content/FR/AUTO/?uri=celex:32002L0021"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2002/21/EG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des Europäischen Parlaments und des Rates vom 7. März 2002 über einen gemeinsamen Rechtsrahmen für elektronische Kommunikationsnetze und -dienste (Rahmenrichtlinie) (ABl. L 108 vom 24.4.2002, S. 33-50)</w:t>
      </w:r>
    </w:p>
    <w:p w:rsidRPr="00E35D9D" w:rsidR="00E35D9D" w:rsidP="00E35D9D" w:rsidRDefault="00E35D9D" w14:paraId="5C41C4D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Bitte beachten Sie die </w:t>
      </w:r>
      <w:r w:rsidR="00E52C24">
        <w:fldChar w:fldCharType="begin"/>
      </w:r>
      <w:r w:rsidRPr="00E52C24" w:rsidR="00E52C24">
        <w:rPr>
          <w:lang w:val="fr-FR"/>
        </w:rPr>
        <w:instrText xml:space="preserve"> HYPERLINK "https://eur-lex.europa.eu/legal-content/FR/AUTO/?uri=celex:0200</w:instrText>
      </w:r>
      <w:r w:rsidRPr="00E52C24" w:rsidR="00E52C24">
        <w:rPr>
          <w:lang w:val="fr-FR"/>
        </w:rPr>
        <w:instrText xml:space="preserve">2L0021-20091219"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konsolidierte Version</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6DC82EB6" w14:textId="77777777">
      <w:pPr>
        <w:pStyle w:val="ti-main"/>
        <w:spacing w:before="810" w:beforeAutospacing="0" w:after="390" w:afterAutospacing="0"/>
        <w:jc w:val="center"/>
        <w:rPr>
          <w:b/>
          <w:bCs/>
          <w:color w:val="444444"/>
          <w:sz w:val="42"/>
          <w:szCs w:val="42"/>
          <w:lang w:val="fr-FR"/>
        </w:rPr>
      </w:pPr>
      <w:r w:rsidRPr="00E35D9D">
        <w:rPr>
          <w:color w:val="000000"/>
          <w:sz w:val="27"/>
          <w:szCs w:val="27"/>
          <w:lang w:val="fr-FR"/>
        </w:rPr>
        <w:t xml:space="preserve">letzte </w:t>
      </w:r>
      <w:r w:rsidRPr="00E35D9D">
        <w:rPr>
          <w:b/>
          <w:bCs/>
          <w:color w:val="444444"/>
          <w:sz w:val="42"/>
          <w:szCs w:val="42"/>
          <w:lang w:val="fr-FR"/>
        </w:rPr>
        <w:t xml:space="preserve">ÄnderungBeiträge der EU-Länder zum EU-Haushalt</w:t>
      </w:r>
    </w:p>
    <w:p w:rsidRPr="00E35D9D" w:rsidR="00E35D9D" w:rsidP="00E35D9D" w:rsidRDefault="00E35D9D" w14:paraId="33B4E38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Europäische Union (EU) hat Regeln für die Modalitäten und das Verfahren festgelegt, die von den EU-Ländern für ihre Beiträge zum </w:t>
      </w:r>
      <w:r w:rsidRPr="00E35D9D">
        <w:rPr>
          <w:rFonts w:ascii="Times New Roman" w:hAnsi="Times New Roman" w:eastAsia="Times New Roman" w:cs="Times New Roman"/>
          <w:color w:val="000000"/>
          <w:sz w:val="27"/>
          <w:szCs w:val="27"/>
          <w:lang w:val="fr-FR" w:eastAsia="de-DE"/>
        </w:rPr>
        <w:t xml:space="preserve">EU-Haushalt, die die </w:t>
      </w:r>
      <w:r w:rsidR="00E52C24">
        <w:fldChar w:fldCharType="begin"/>
      </w:r>
      <w:r w:rsidRPr="00E52C24" w:rsidR="00E52C24">
        <w:rPr>
          <w:lang w:val="fr-FR"/>
        </w:rPr>
        <w:instrText xml:space="preserve"> HYPERLINK "http://eur-lex.europa.eu/summary/glossary/community_own_resources.html"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Eigenmittel der EU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darstellen, </w:t>
      </w:r>
      <w:r w:rsidRPr="00E35D9D">
        <w:rPr>
          <w:rFonts w:ascii="Times New Roman" w:hAnsi="Times New Roman" w:eastAsia="Times New Roman" w:cs="Times New Roman"/>
          <w:color w:val="000000"/>
          <w:sz w:val="27"/>
          <w:szCs w:val="27"/>
          <w:lang w:val="fr-FR" w:eastAsia="de-DE"/>
        </w:rPr>
        <w:t xml:space="preserve">einzuhalten sind</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3D893245"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ACT</w:t>
      </w:r>
    </w:p>
    <w:p w:rsidRPr="00E35D9D" w:rsidR="00E35D9D" w:rsidP="00E35D9D" w:rsidRDefault="00E35D9D" w14:paraId="535A497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Verordnung (EU, Euratom) </w:t>
      </w:r>
      <w:r w:rsidRPr="00E35D9D">
        <w:rPr>
          <w:rFonts w:ascii="Times New Roman" w:hAnsi="Times New Roman" w:eastAsia="Times New Roman" w:cs="Times New Roman"/>
          <w:color w:val="000000"/>
          <w:sz w:val="27"/>
          <w:szCs w:val="27"/>
          <w:vertAlign w:val="superscript"/>
          <w:lang w:val="fr-FR" w:eastAsia="de-DE"/>
        </w:rPr>
        <w:t xml:space="preserve">Nr. </w:t>
      </w:r>
      <w:r w:rsidR="00E52C24">
        <w:fldChar w:fldCharType="begin"/>
      </w:r>
      <w:r w:rsidRPr="00E52C24" w:rsidR="00E52C24">
        <w:rPr>
          <w:lang w:val="fr-FR"/>
        </w:rPr>
        <w:instrText xml:space="preserve"> HYPERLINK "https://eur-lex.europa.eu/legal-content/FR/AUTO/?uri=celex:32014R0609"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609/2014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des Rates vom 26. Mai 2014 über die Modalitäten und das Verfahren für die Bereitstellung der traditionellen Eigenmittel, der MwSt.-Eigenmittel und der BNE-Eigenmittel sowie über Maßnahmen zur Bewältigung der Cashflow-Anforderungen</w:t>
      </w:r>
    </w:p>
    <w:p w:rsidRPr="00E35D9D" w:rsidR="00E35D9D" w:rsidP="00E35D9D" w:rsidRDefault="00E35D9D" w14:paraId="49C08616"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SYNTHESE</w:t>
      </w:r>
    </w:p>
    <w:p w:rsidRPr="00E35D9D" w:rsidR="00E35D9D" w:rsidP="00E35D9D" w:rsidRDefault="00E35D9D" w14:paraId="79E4D48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Europäische Union (EU) hat Regeln für die Modalitäten und das Verfahren festgelegt, die von den EU-Ländern für ihre Beiträge zum </w:t>
      </w:r>
      <w:r w:rsidRPr="00E35D9D">
        <w:rPr>
          <w:rFonts w:ascii="Times New Roman" w:hAnsi="Times New Roman" w:eastAsia="Times New Roman" w:cs="Times New Roman"/>
          <w:color w:val="000000"/>
          <w:sz w:val="27"/>
          <w:szCs w:val="27"/>
          <w:lang w:val="fr-FR" w:eastAsia="de-DE"/>
        </w:rPr>
        <w:t xml:space="preserve">EU-Haushalt, die die </w:t>
      </w:r>
      <w:r w:rsidR="00E52C24">
        <w:fldChar w:fldCharType="begin"/>
      </w:r>
      <w:r w:rsidRPr="00E52C24" w:rsidR="00E52C24">
        <w:rPr>
          <w:lang w:val="fr-FR"/>
        </w:rPr>
        <w:instrText xml:space="preserve"> HYPERLINK "http://eur-lex.europa.eu/summary/glossary/community_own_resources.html"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Eigenmittel der EU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darstellen, </w:t>
      </w:r>
      <w:r w:rsidRPr="00E35D9D">
        <w:rPr>
          <w:rFonts w:ascii="Times New Roman" w:hAnsi="Times New Roman" w:eastAsia="Times New Roman" w:cs="Times New Roman"/>
          <w:color w:val="000000"/>
          <w:sz w:val="27"/>
          <w:szCs w:val="27"/>
          <w:lang w:val="fr-FR" w:eastAsia="de-DE"/>
        </w:rPr>
        <w:t xml:space="preserve">einzuhalten sind</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5AB942E3"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WAS IST DER ZWECK DIESER REGELUNG?</w:t>
      </w:r>
    </w:p>
    <w:tbl>
      <w:tblPr>
        <w:tblW w:w="5000" w:type="pct"/>
        <w:tblCellSpacing w:w="0" w:type="dxa"/>
        <w:tblCellMar>
          <w:left w:w="0" w:type="dxa"/>
          <w:right w:w="0" w:type="dxa"/>
        </w:tblCellMar>
        <w:tblLook w:val="04a0"/>
      </w:tblPr>
      <w:tblGrid>
        <w:gridCol w:w="270"/>
        <w:gridCol w:w="8802"/>
      </w:tblGrid>
      <w:tr w:rsidRPr="00E52C24" w:rsidR="00E35D9D" w:rsidTr="00E35D9D" w14:paraId="2929AC38" w14:textId="77777777">
        <w:trPr>
          <w:tblCellSpacing w:w="0" w:type="dxa"/>
        </w:trPr>
        <w:tc>
          <w:tcPr>
            <w:tcW w:w="0" w:type="auto"/>
            <w:hideMark/>
          </w:tcPr>
          <w:p w:rsidRPr="00E35D9D" w:rsidR="00E35D9D" w:rsidP="00E35D9D" w:rsidRDefault="00E35D9D" w14:paraId="1047D935"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2F647875"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Sie regelt die Modalitäten und Verfahren, die die EU-Länder bei der Bereitstellung der EU-Eigenmittel an die Europäische Kommission einhalten. Die Eigenmittel sind </w:t>
            </w:r>
            <w:r w:rsidRPr="00E35D9D">
              <w:rPr>
                <w:rFonts w:ascii="Times New Roman" w:hAnsi="Times New Roman" w:eastAsia="Times New Roman" w:cs="Times New Roman"/>
                <w:b/>
                <w:bCs/>
                <w:color w:val="000000"/>
                <w:sz w:val="27"/>
                <w:szCs w:val="27"/>
                <w:lang w:val="fr-FR" w:eastAsia="de-DE"/>
              </w:rPr>
              <w:t xml:space="preserve">der Hauptteil der Einnahmen, aus denen der EU-Haushalt finanziert wird, und umfassen</w:t>
            </w:r>
          </w:p>
          <w:tbl>
            <w:tblPr>
              <w:tblW w:w="5000" w:type="pct"/>
              <w:tblCellSpacing w:w="0" w:type="dxa"/>
              <w:tblCellMar>
                <w:left w:w="0" w:type="dxa"/>
                <w:right w:w="0" w:type="dxa"/>
              </w:tblCellMar>
              <w:tblLook w:val="04a0"/>
            </w:tblPr>
            <w:tblGrid>
              <w:gridCol w:w="240"/>
              <w:gridCol w:w="8562"/>
            </w:tblGrid>
            <w:tr w:rsidRPr="00E52C24" w:rsidR="00E35D9D" w:rsidTr="00E35D9D" w14:paraId="234D60CF" w14:textId="77777777">
              <w:trPr>
                <w:tblCellSpacing w:w="0" w:type="dxa"/>
              </w:trPr>
              <w:tc>
                <w:tcPr>
                  <w:tcW w:w="0" w:type="auto"/>
                  <w:hideMark/>
                </w:tcPr>
                <w:p w:rsidRPr="00E35D9D" w:rsidR="00E35D9D" w:rsidP="00E35D9D" w:rsidRDefault="00E35D9D" w14:paraId="3C6DEECE" w14:textId="77777777">
                  <w:pPr>
                    <w:spacing w:before="195" w:after="0" w:line="240" w:lineRule="auto"/>
                    <w:jc w:val="both"/>
                    <w:rPr>
                      <w:rFonts w:ascii="Times New Roman" w:hAnsi="Times New Roman" w:eastAsia="Times New Roman" w:cs="Times New Roman"/>
                      <w:sz w:val="24"/>
                      <w:szCs w:val="24"/>
                      <w:lang w:eastAsia="de-DE"/>
                    </w:rPr>
                  </w:pPr>
                  <w:r w:rsidRPr="00E35D9D">
                    <w:rPr>
                      <w:rFonts w:ascii="Times New Roman" w:hAnsi="Times New Roman" w:eastAsia="Times New Roman" w:cs="Times New Roman"/>
                      <w:sz w:val="24"/>
                      <w:szCs w:val="24"/>
                      <w:lang w:eastAsia="de-DE"/>
                    </w:rPr>
                    <w:t xml:space="preserve">- —</w:t>
                  </w:r>
                </w:p>
              </w:tc>
              <w:tc>
                <w:tcPr>
                  <w:tcW w:w="0" w:type="auto"/>
                  <w:hideMark/>
                </w:tcPr>
                <w:p w:rsidRPr="00E35D9D" w:rsidR="00E35D9D" w:rsidP="00E35D9D" w:rsidRDefault="00E35D9D" w14:paraId="606F278E" w14:textId="77777777">
                  <w:pPr>
                    <w:spacing w:after="0" w:line="240" w:lineRule="auto"/>
                    <w:jc w:val="both"/>
                    <w:rPr>
                      <w:rFonts w:ascii="Times New Roman" w:hAnsi="Times New Roman" w:eastAsia="Times New Roman" w:cs="Times New Roman"/>
                      <w:sz w:val="24"/>
                      <w:szCs w:val="24"/>
                      <w:lang w:val="fr-FR" w:eastAsia="de-DE"/>
                    </w:rPr>
                  </w:pPr>
                  <w:r w:rsidRPr="00E35D9D">
                    <w:rPr>
                      <w:rFonts w:ascii="Times New Roman" w:hAnsi="Times New Roman" w:eastAsia="Times New Roman" w:cs="Times New Roman"/>
                      <w:sz w:val="24"/>
                      <w:szCs w:val="24"/>
                      <w:lang w:val="fr-FR" w:eastAsia="de-DE"/>
                    </w:rPr>
                    <w:t xml:space="preserve">Zölle, die auf Importe aus Drittländern erhoben werden, und Steuern auf die Zuckerproduktion in der EU;</w:t>
                  </w:r>
                </w:p>
              </w:tc>
            </w:tr>
          </w:tbl>
          <w:p w:rsidRPr="00E35D9D" w:rsidR="00E35D9D" w:rsidP="00E35D9D" w:rsidRDefault="00E35D9D" w14:paraId="6A87A017" w14:textId="77777777">
            <w:pPr>
              <w:spacing w:after="0" w:line="240" w:lineRule="auto"/>
              <w:jc w:val="both"/>
              <w:rPr>
                <w:rFonts w:ascii="Times New Roman" w:hAnsi="Times New Roman" w:eastAsia="Times New Roman" w:cs="Times New Roman"/>
                <w:vanish/>
                <w:color w:val="000000"/>
                <w:sz w:val="27"/>
                <w:szCs w:val="27"/>
                <w:lang w:eastAsia="de-DE"/>
              </w:rPr>
            </w:pPr>
          </w:p>
          <w:tbl>
            <w:tblPr>
              <w:tblW w:w="5000" w:type="pct"/>
              <w:tblCellSpacing w:w="0" w:type="dxa"/>
              <w:tblCellMar>
                <w:left w:w="0" w:type="dxa"/>
                <w:right w:w="0" w:type="dxa"/>
              </w:tblCellMar>
              <w:tblLook w:val="04a0"/>
            </w:tblPr>
            <w:tblGrid>
              <w:gridCol w:w="240"/>
              <w:gridCol w:w="8562"/>
            </w:tblGrid>
            <w:tr w:rsidRPr="00E52C24" w:rsidR="00E35D9D" w:rsidTr="00E35D9D" w14:paraId="1334630E" w14:textId="77777777">
              <w:trPr>
                <w:tblCellSpacing w:w="0" w:type="dxa"/>
              </w:trPr>
              <w:tc>
                <w:tcPr>
                  <w:tcW w:w="0" w:type="auto"/>
                  <w:hideMark/>
                </w:tcPr>
                <w:p w:rsidRPr="00E35D9D" w:rsidR="00E35D9D" w:rsidP="00E35D9D" w:rsidRDefault="00E35D9D" w14:paraId="701589B7" w14:textId="77777777">
                  <w:pPr>
                    <w:spacing w:before="195" w:after="0" w:line="240" w:lineRule="auto"/>
                    <w:jc w:val="both"/>
                    <w:rPr>
                      <w:rFonts w:ascii="Times New Roman" w:hAnsi="Times New Roman" w:eastAsia="Times New Roman" w:cs="Times New Roman"/>
                      <w:sz w:val="24"/>
                      <w:szCs w:val="24"/>
                      <w:lang w:eastAsia="de-DE"/>
                    </w:rPr>
                  </w:pPr>
                  <w:r w:rsidRPr="00E35D9D">
                    <w:rPr>
                      <w:rFonts w:ascii="Times New Roman" w:hAnsi="Times New Roman" w:eastAsia="Times New Roman" w:cs="Times New Roman"/>
                      <w:sz w:val="24"/>
                      <w:szCs w:val="24"/>
                      <w:lang w:eastAsia="de-DE"/>
                    </w:rPr>
                    <w:t xml:space="preserve">- —</w:t>
                  </w:r>
                </w:p>
              </w:tc>
              <w:tc>
                <w:tcPr>
                  <w:tcW w:w="0" w:type="auto"/>
                  <w:hideMark/>
                </w:tcPr>
                <w:p w:rsidRPr="00E35D9D" w:rsidR="00E35D9D" w:rsidP="00E35D9D" w:rsidRDefault="00E35D9D" w14:paraId="055118E3" w14:textId="77777777">
                  <w:pPr>
                    <w:spacing w:after="0" w:line="240" w:lineRule="auto"/>
                    <w:jc w:val="both"/>
                    <w:rPr>
                      <w:rFonts w:ascii="Times New Roman" w:hAnsi="Times New Roman" w:eastAsia="Times New Roman" w:cs="Times New Roman"/>
                      <w:sz w:val="24"/>
                      <w:szCs w:val="24"/>
                      <w:lang w:val="fr-FR" w:eastAsia="de-DE"/>
                    </w:rPr>
                  </w:pPr>
                  <w:r w:rsidRPr="00E35D9D">
                    <w:rPr>
                      <w:rFonts w:ascii="Times New Roman" w:hAnsi="Times New Roman" w:eastAsia="Times New Roman" w:cs="Times New Roman"/>
                      <w:sz w:val="24"/>
                      <w:szCs w:val="24"/>
                      <w:lang w:val="fr-FR" w:eastAsia="de-DE"/>
                    </w:rPr>
                    <w:t xml:space="preserve">Einnahmen aus einem Anteil der </w:t>
                  </w:r>
                  <w:r w:rsidRPr="00E35D9D">
                    <w:rPr>
                      <w:rFonts w:ascii="Times New Roman" w:hAnsi="Times New Roman" w:eastAsia="Times New Roman" w:cs="Times New Roman"/>
                      <w:sz w:val="24"/>
                      <w:szCs w:val="24"/>
                      <w:lang w:val="fr-FR" w:eastAsia="de-DE"/>
                    </w:rPr>
                    <w:t xml:space="preserve">von den EU-Ländern erhobenen Mehrwertsteuer (MwSt.);</w:t>
                  </w:r>
                </w:p>
              </w:tc>
            </w:tr>
          </w:tbl>
          <w:p w:rsidRPr="00E35D9D" w:rsidR="00E35D9D" w:rsidP="00E35D9D" w:rsidRDefault="00E35D9D" w14:paraId="5BC8D877" w14:textId="77777777">
            <w:pPr>
              <w:spacing w:after="0" w:line="240" w:lineRule="auto"/>
              <w:jc w:val="both"/>
              <w:rPr>
                <w:rFonts w:ascii="Times New Roman" w:hAnsi="Times New Roman" w:eastAsia="Times New Roman" w:cs="Times New Roman"/>
                <w:vanish/>
                <w:color w:val="000000"/>
                <w:sz w:val="27"/>
                <w:szCs w:val="27"/>
                <w:lang w:eastAsia="de-DE"/>
              </w:rPr>
            </w:pPr>
          </w:p>
          <w:tbl>
            <w:tblPr>
              <w:tblW w:w="5000" w:type="pct"/>
              <w:tblCellSpacing w:w="0" w:type="dxa"/>
              <w:tblCellMar>
                <w:left w:w="0" w:type="dxa"/>
                <w:right w:w="0" w:type="dxa"/>
              </w:tblCellMar>
              <w:tblLook w:val="04a0"/>
            </w:tblPr>
            <w:tblGrid>
              <w:gridCol w:w="270"/>
              <w:gridCol w:w="8532"/>
            </w:tblGrid>
            <w:tr w:rsidRPr="00E52C24" w:rsidR="00E35D9D" w:rsidTr="00E35D9D" w14:paraId="01BCF5FD" w14:textId="77777777">
              <w:trPr>
                <w:tblCellSpacing w:w="0" w:type="dxa"/>
              </w:trPr>
              <w:tc>
                <w:tcPr>
                  <w:tcW w:w="0" w:type="auto"/>
                  <w:hideMark/>
                </w:tcPr>
                <w:p w:rsidRPr="00E35D9D" w:rsidR="00E35D9D" w:rsidP="00E35D9D" w:rsidRDefault="00E35D9D" w14:paraId="432538E7" w14:textId="77777777">
                  <w:pPr>
                    <w:spacing w:before="195" w:after="0" w:line="240" w:lineRule="auto"/>
                    <w:jc w:val="both"/>
                    <w:rPr>
                      <w:rFonts w:ascii="Times New Roman" w:hAnsi="Times New Roman" w:eastAsia="Times New Roman" w:cs="Times New Roman"/>
                      <w:sz w:val="24"/>
                      <w:szCs w:val="24"/>
                      <w:lang w:eastAsia="de-DE"/>
                    </w:rPr>
                  </w:pPr>
                  <w:r w:rsidRPr="00E35D9D">
                    <w:rPr>
                      <w:rFonts w:ascii="Times New Roman" w:hAnsi="Times New Roman" w:eastAsia="Times New Roman" w:cs="Times New Roman"/>
                      <w:sz w:val="24"/>
                      <w:szCs w:val="24"/>
                      <w:lang w:eastAsia="de-DE"/>
                    </w:rPr>
                    <w:t xml:space="preserve">- —</w:t>
                  </w:r>
                </w:p>
              </w:tc>
              <w:tc>
                <w:tcPr>
                  <w:tcW w:w="0" w:type="auto"/>
                  <w:hideMark/>
                </w:tcPr>
                <w:p w:rsidRPr="00E35D9D" w:rsidR="00E35D9D" w:rsidP="00E35D9D" w:rsidRDefault="00E35D9D" w14:paraId="0604D06F" w14:textId="77777777">
                  <w:pPr>
                    <w:spacing w:after="0" w:line="240" w:lineRule="auto"/>
                    <w:jc w:val="both"/>
                    <w:rPr>
                      <w:rFonts w:ascii="Times New Roman" w:hAnsi="Times New Roman" w:eastAsia="Times New Roman" w:cs="Times New Roman"/>
                      <w:sz w:val="24"/>
                      <w:szCs w:val="24"/>
                      <w:lang w:val="fr-FR" w:eastAsia="de-DE"/>
                    </w:rPr>
                  </w:pPr>
                  <w:r w:rsidRPr="00E35D9D">
                    <w:rPr>
                      <w:rFonts w:ascii="Times New Roman" w:hAnsi="Times New Roman" w:eastAsia="Times New Roman" w:cs="Times New Roman"/>
                      <w:sz w:val="24"/>
                      <w:szCs w:val="24"/>
                      <w:lang w:val="fr-FR" w:eastAsia="de-DE"/>
                    </w:rPr>
                    <w:t xml:space="preserve">die Einnahmen, die sich aus dem Bruttonationaleinkommen* (BNE) der einzelnen EU-Länder ergeben.</w:t>
                  </w:r>
                </w:p>
              </w:tc>
            </w:tr>
          </w:tbl>
          <w:p w:rsidRPr="00E35D9D" w:rsidR="00E35D9D" w:rsidP="00E35D9D" w:rsidRDefault="00E35D9D" w14:paraId="49359F36" w14:textId="77777777">
            <w:pPr>
              <w:spacing w:after="0" w:line="240" w:lineRule="auto"/>
              <w:jc w:val="both"/>
              <w:rPr>
                <w:rFonts w:ascii="Times New Roman" w:hAnsi="Times New Roman" w:eastAsia="Times New Roman" w:cs="Times New Roman"/>
                <w:color w:val="000000"/>
                <w:sz w:val="27"/>
                <w:szCs w:val="27"/>
                <w:lang w:val="fr-FR" w:eastAsia="de-DE"/>
              </w:rPr>
            </w:pPr>
          </w:p>
        </w:tc>
      </w:tr>
    </w:tbl>
    <w:p w:rsidRPr="00E35D9D" w:rsidR="00E35D9D" w:rsidP="00E35D9D" w:rsidRDefault="00E35D9D" w14:paraId="3EC0A368"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5F8358F3" w14:textId="77777777">
        <w:trPr>
          <w:tblCellSpacing w:w="0" w:type="dxa"/>
        </w:trPr>
        <w:tc>
          <w:tcPr>
            <w:tcW w:w="0" w:type="auto"/>
            <w:hideMark/>
          </w:tcPr>
          <w:p w:rsidRPr="00E35D9D" w:rsidR="00E35D9D" w:rsidP="00E35D9D" w:rsidRDefault="00E35D9D" w14:paraId="7F49960F"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450EB004"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Außerdem werden Maßnahmen zur Deckung des Barmittelbedarfs (d. h. des Cashflow-Bedarfs) identifiziert, falls vorhanden.</w:t>
            </w:r>
          </w:p>
        </w:tc>
      </w:tr>
    </w:tbl>
    <w:p w:rsidRPr="00E35D9D" w:rsidR="00E35D9D" w:rsidP="00E35D9D" w:rsidRDefault="00E35D9D" w14:paraId="4CF857C4"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t xml:space="preserve">SCHLÜSSELPUNKTE</w:t>
      </w:r>
    </w:p>
    <w:tbl>
      <w:tblPr>
        <w:tblW w:w="5000" w:type="pct"/>
        <w:tblCellSpacing w:w="0" w:type="dxa"/>
        <w:tblCellMar>
          <w:left w:w="0" w:type="dxa"/>
          <w:right w:w="0" w:type="dxa"/>
        </w:tblCellMar>
        <w:tblLook w:val="04a0"/>
      </w:tblPr>
      <w:tblGrid>
        <w:gridCol w:w="270"/>
        <w:gridCol w:w="8802"/>
      </w:tblGrid>
      <w:tr w:rsidRPr="00E52C24" w:rsidR="00E35D9D" w:rsidTr="00E35D9D" w14:paraId="7BB77327" w14:textId="77777777">
        <w:trPr>
          <w:tblCellSpacing w:w="0" w:type="dxa"/>
        </w:trPr>
        <w:tc>
          <w:tcPr>
            <w:tcW w:w="0" w:type="auto"/>
            <w:hideMark/>
          </w:tcPr>
          <w:p w:rsidRPr="00E35D9D" w:rsidR="00E35D9D" w:rsidP="00E35D9D" w:rsidRDefault="00E35D9D" w14:paraId="6E4BCCD9"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6CFE8815"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Eigenmittel müssen der Europäischen Kommission zur Verfügung gestellt werden, um die notwendigen Zahlungen wie im Haushaltsplan vereinbart zu leisten.</w:t>
            </w:r>
          </w:p>
        </w:tc>
      </w:tr>
    </w:tbl>
    <w:p w:rsidRPr="00E35D9D" w:rsidR="00E35D9D" w:rsidP="00E35D9D" w:rsidRDefault="00E35D9D" w14:paraId="47C9A42A"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52470753" w14:textId="77777777">
        <w:trPr>
          <w:tblCellSpacing w:w="0" w:type="dxa"/>
        </w:trPr>
        <w:tc>
          <w:tcPr>
            <w:tcW w:w="0" w:type="auto"/>
            <w:hideMark/>
          </w:tcPr>
          <w:p w:rsidRPr="00E35D9D" w:rsidR="00E35D9D" w:rsidP="00E35D9D" w:rsidRDefault="00E35D9D" w14:paraId="1DABC8FC"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624A2A56"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EU-Länder müssen über die von ihnen erhobenen Eigenmittel Bücher und Unterlagen führen und diese der Kommission jederzeit vorlegen können.</w:t>
            </w:r>
          </w:p>
        </w:tc>
      </w:tr>
    </w:tbl>
    <w:p w:rsidRPr="00E35D9D" w:rsidR="00E35D9D" w:rsidP="00E35D9D" w:rsidRDefault="00E35D9D" w14:paraId="09F0CC14"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1B288C96" w14:textId="77777777">
        <w:trPr>
          <w:tblCellSpacing w:w="0" w:type="dxa"/>
        </w:trPr>
        <w:tc>
          <w:tcPr>
            <w:tcW w:w="0" w:type="auto"/>
            <w:hideMark/>
          </w:tcPr>
          <w:p w:rsidRPr="00E35D9D" w:rsidR="00E35D9D" w:rsidP="00E35D9D" w:rsidRDefault="00E35D9D" w14:paraId="75D1D555"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0DF21551"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Jedes EU-Land muss die Eigenmittel auf das zu diesem Zweck im Namen der Kommission eröffnete Konto bei seinem Schatzamt oder der von ihm benannten Stelle überweisen.</w:t>
            </w:r>
          </w:p>
        </w:tc>
      </w:tr>
    </w:tbl>
    <w:p w:rsidRPr="00E35D9D" w:rsidR="00E35D9D" w:rsidP="00E35D9D" w:rsidRDefault="00E35D9D" w14:paraId="7DA606E4"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52673500" w14:textId="77777777">
        <w:trPr>
          <w:tblCellSpacing w:w="0" w:type="dxa"/>
        </w:trPr>
        <w:tc>
          <w:tcPr>
            <w:tcW w:w="0" w:type="auto"/>
            <w:hideMark/>
          </w:tcPr>
          <w:p w:rsidRPr="00E35D9D" w:rsidR="00E35D9D" w:rsidP="00E35D9D" w:rsidRDefault="00E35D9D" w14:paraId="65636611"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314F8327"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EU-Länder müssen getrennte Konten für nicht eingezogene Zölle führen. Sie müssen Informationen über diese Konten zur Verfügung stellen und der Kommission vierteljährliche Auszüge vorlegen. Dadurch ist die Kommission in der Lage, die Maßnahmen der EU-Länder bei der Einziehung dieser Eigenmittel zu überwachen, einschließlich derjenigen, die von Betrug und Unregelmäßigkeiten betroffen sind.</w:t>
            </w:r>
          </w:p>
        </w:tc>
      </w:tr>
    </w:tbl>
    <w:p w:rsidRPr="00E35D9D" w:rsidR="00E35D9D" w:rsidP="00E35D9D" w:rsidRDefault="00E35D9D" w14:paraId="5C6925ED"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5C8617CF" w14:textId="77777777">
        <w:trPr>
          <w:tblCellSpacing w:w="0" w:type="dxa"/>
        </w:trPr>
        <w:tc>
          <w:tcPr>
            <w:tcW w:w="0" w:type="auto"/>
            <w:hideMark/>
          </w:tcPr>
          <w:p w:rsidRPr="00E35D9D" w:rsidR="00E35D9D" w:rsidP="00E35D9D" w:rsidRDefault="00E35D9D" w14:paraId="48E0E8A3"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7749927F"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Um die Finanzierung des Unionshaushalts in jedem Fall zu gewährleisten, werden die EU-Länder der EU die im Haushalt vorgesehenen Eigenmittel in Form von konstanten monatlichen Zwölfteln zur Verfügung stellen. Sie können die auf diese Weise bereitgestellten Beträge anschließend an die </w:t>
            </w:r>
            <w:r w:rsidRPr="00E35D9D">
              <w:rPr>
                <w:rFonts w:ascii="Times New Roman" w:hAnsi="Times New Roman" w:eastAsia="Times New Roman" w:cs="Times New Roman"/>
                <w:color w:val="000000"/>
                <w:sz w:val="27"/>
                <w:szCs w:val="27"/>
                <w:lang w:val="fr-FR" w:eastAsia="de-DE"/>
              </w:rPr>
              <w:lastRenderedPageBreak/>
              <w:t xml:space="preserve">tatsächliche MwSt.-Eigenmittelgrundlage und die entsprechenden Änderungen des BNE </w:t>
            </w:r>
            <w:r w:rsidRPr="00E35D9D">
              <w:rPr>
                <w:rFonts w:ascii="Times New Roman" w:hAnsi="Times New Roman" w:eastAsia="Times New Roman" w:cs="Times New Roman"/>
                <w:color w:val="000000"/>
                <w:sz w:val="27"/>
                <w:szCs w:val="27"/>
                <w:lang w:val="fr-FR" w:eastAsia="de-DE"/>
              </w:rPr>
              <w:t xml:space="preserve">anpassen, sobald </w:t>
            </w:r>
            <w:r w:rsidRPr="00E35D9D">
              <w:rPr>
                <w:rFonts w:ascii="Times New Roman" w:hAnsi="Times New Roman" w:eastAsia="Times New Roman" w:cs="Times New Roman"/>
                <w:color w:val="000000"/>
                <w:sz w:val="27"/>
                <w:szCs w:val="27"/>
                <w:lang w:val="fr-FR" w:eastAsia="de-DE"/>
              </w:rPr>
              <w:lastRenderedPageBreak/>
              <w:t xml:space="preserve">diese vollständig bekannt sind.</w:t>
            </w:r>
          </w:p>
        </w:tc>
      </w:tr>
    </w:tbl>
    <w:p w:rsidRPr="00E35D9D" w:rsidR="00E35D9D" w:rsidP="00E35D9D" w:rsidRDefault="00E35D9D" w14:paraId="1F4C3BD7"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1D67B2AA" w14:textId="77777777">
        <w:trPr>
          <w:tblCellSpacing w:w="0" w:type="dxa"/>
        </w:trPr>
        <w:tc>
          <w:tcPr>
            <w:tcW w:w="0" w:type="auto"/>
            <w:hideMark/>
          </w:tcPr>
          <w:p w:rsidRPr="00E35D9D" w:rsidR="00E35D9D" w:rsidP="00E35D9D" w:rsidRDefault="00E35D9D" w14:paraId="4AA06033"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05976E1B"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Auswirkungen von Änderungen der BNE-Daten nach Ende des jeweiligen Haushaltsjahres auf die Finanzierung der Bruttokürzungen (Kürzungen der BNE-Beiträge bestimmter EU-Länder) sollten geklärt werden.</w:t>
            </w:r>
          </w:p>
        </w:tc>
      </w:tr>
    </w:tbl>
    <w:p w:rsidRPr="00E35D9D" w:rsidR="00E35D9D" w:rsidP="00E35D9D" w:rsidRDefault="00E35D9D" w14:paraId="2E3DE7B8"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WANN GILT DIESE REGELUNG?</w:t>
      </w:r>
    </w:p>
    <w:p w:rsidRPr="00E35D9D" w:rsidR="00E35D9D" w:rsidP="00E35D9D" w:rsidRDefault="00E35D9D" w14:paraId="17EF4E0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Ab dem </w:t>
      </w:r>
      <w:r w:rsidRPr="00E35D9D">
        <w:rPr>
          <w:rFonts w:ascii="Times New Roman" w:hAnsi="Times New Roman" w:eastAsia="Times New Roman" w:cs="Times New Roman"/>
          <w:color w:val="000000"/>
          <w:sz w:val="27"/>
          <w:szCs w:val="27"/>
          <w:vertAlign w:val="superscript"/>
          <w:lang w:val="fr-FR" w:eastAsia="de-DE"/>
        </w:rPr>
        <w:t xml:space="preserve">1. </w:t>
      </w:r>
      <w:r w:rsidRPr="00E35D9D">
        <w:rPr>
          <w:rFonts w:ascii="Times New Roman" w:hAnsi="Times New Roman" w:eastAsia="Times New Roman" w:cs="Times New Roman"/>
          <w:color w:val="000000"/>
          <w:sz w:val="27"/>
          <w:szCs w:val="27"/>
          <w:lang w:val="fr-FR" w:eastAsia="de-DE"/>
        </w:rPr>
        <w:t xml:space="preserve">Januar 2014.</w:t>
      </w:r>
    </w:p>
    <w:p w:rsidRPr="00E35D9D" w:rsidR="00E35D9D" w:rsidP="00E35D9D" w:rsidRDefault="00E35D9D" w14:paraId="5290D6EE"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HINTERGRUND</w:t>
      </w:r>
    </w:p>
    <w:p w:rsidRPr="00E35D9D" w:rsidR="00E35D9D" w:rsidP="00E35D9D" w:rsidRDefault="00E35D9D" w14:paraId="19923C62"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val="fr-FR" w:eastAsia="de-DE"/>
        </w:rPr>
        <w:t xml:space="preserve">Die </w:t>
      </w:r>
      <w:r w:rsidRPr="00E35D9D">
        <w:rPr>
          <w:rFonts w:ascii="Times New Roman" w:hAnsi="Times New Roman" w:eastAsia="Times New Roman" w:cs="Times New Roman"/>
          <w:color w:val="000000"/>
          <w:sz w:val="27"/>
          <w:szCs w:val="27"/>
          <w:lang w:val="fr-FR" w:eastAsia="de-DE"/>
        </w:rPr>
        <w:t xml:space="preserve">Verordnung (EU, Euratom) </w:t>
      </w:r>
      <w:r w:rsidRPr="00E35D9D">
        <w:rPr>
          <w:rFonts w:ascii="Times New Roman" w:hAnsi="Times New Roman" w:eastAsia="Times New Roman" w:cs="Times New Roman"/>
          <w:color w:val="000000"/>
          <w:sz w:val="27"/>
          <w:szCs w:val="27"/>
          <w:vertAlign w:val="superscript"/>
          <w:lang w:val="fr-FR" w:eastAsia="de-DE"/>
        </w:rPr>
        <w:t xml:space="preserve">Nr. </w:t>
      </w:r>
      <w:r w:rsidR="00E52C24">
        <w:fldChar w:fldCharType="begin"/>
      </w:r>
      <w:r w:rsidRPr="00E52C24" w:rsidR="00E52C24">
        <w:rPr>
          <w:lang w:val="fr-FR"/>
        </w:rPr>
        <w:instrText xml:space="preserve"> HYPERLINK "https://eur-lex.europa.eu/legal-content/FR/AUTO/?uri=celex:32014R0609"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609/2014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ist einer der drei Rechtsakte, die das sogenannte "Eigenmittelpaket" im Zusammenhang mit dem </w:t>
      </w:r>
      <w:r w:rsidR="00E52C24">
        <w:fldChar w:fldCharType="begin"/>
      </w:r>
      <w:r w:rsidRPr="00E52C24" w:rsidR="00E52C24">
        <w:rPr>
          <w:lang w:val="fr-FR"/>
        </w:rPr>
        <w:instrText xml:space="preserve"> HYPERLINK "http://eur-lex.europa.eu/summary/glossary/multiannual_financial_framework.html"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mehrjährigen Finanzrahmen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der EU - dem Haushalt der Union für den Zeitraum 2014-2020 - bilden. </w:t>
      </w:r>
      <w:r w:rsidRPr="00E35D9D">
        <w:rPr>
          <w:rFonts w:ascii="Times New Roman" w:hAnsi="Times New Roman" w:eastAsia="Times New Roman" w:cs="Times New Roman"/>
          <w:color w:val="000000"/>
          <w:sz w:val="27"/>
          <w:szCs w:val="27"/>
          <w:lang w:eastAsia="de-DE"/>
        </w:rPr>
        <w:t xml:space="preserve">Die </w:t>
      </w:r>
      <w:r w:rsidRPr="00E35D9D">
        <w:rPr>
          <w:rFonts w:ascii="Times New Roman" w:hAnsi="Times New Roman" w:eastAsia="Times New Roman" w:cs="Times New Roman"/>
          <w:color w:val="000000"/>
          <w:sz w:val="27"/>
          <w:szCs w:val="27"/>
          <w:lang w:eastAsia="de-DE"/>
        </w:rPr>
        <w:t xml:space="preserve">anderen </w:t>
      </w:r>
      <w:r w:rsidRPr="00E35D9D">
        <w:rPr>
          <w:rFonts w:ascii="Times New Roman" w:hAnsi="Times New Roman" w:eastAsia="Times New Roman" w:cs="Times New Roman"/>
          <w:color w:val="000000"/>
          <w:sz w:val="27"/>
          <w:szCs w:val="27"/>
          <w:lang w:eastAsia="de-DE"/>
        </w:rPr>
        <w:t xml:space="preserve">beiden </w:t>
      </w:r>
      <w:r w:rsidRPr="00E35D9D">
        <w:rPr>
          <w:rFonts w:ascii="Times New Roman" w:hAnsi="Times New Roman" w:eastAsia="Times New Roman" w:cs="Times New Roman"/>
          <w:color w:val="000000"/>
          <w:sz w:val="27"/>
          <w:szCs w:val="27"/>
          <w:lang w:eastAsia="de-DE"/>
        </w:rPr>
        <w:t xml:space="preserve">Acts </w:t>
      </w:r>
      <w:r w:rsidRPr="00E35D9D">
        <w:rPr>
          <w:rFonts w:ascii="Times New Roman" w:hAnsi="Times New Roman" w:eastAsia="Times New Roman" w:cs="Times New Roman"/>
          <w:color w:val="000000"/>
          <w:sz w:val="27"/>
          <w:szCs w:val="27"/>
          <w:lang w:eastAsia="de-DE"/>
        </w:rPr>
        <w:t xml:space="preserve">in </w:t>
      </w:r>
      <w:r w:rsidRPr="00E35D9D">
        <w:rPr>
          <w:rFonts w:ascii="Times New Roman" w:hAnsi="Times New Roman" w:eastAsia="Times New Roman" w:cs="Times New Roman"/>
          <w:color w:val="000000"/>
          <w:sz w:val="27"/>
          <w:szCs w:val="27"/>
          <w:lang w:eastAsia="de-DE"/>
        </w:rPr>
        <w:t xml:space="preserve">diesem </w:t>
      </w:r>
      <w:r w:rsidRPr="00E35D9D">
        <w:rPr>
          <w:rFonts w:ascii="Times New Roman" w:hAnsi="Times New Roman" w:eastAsia="Times New Roman" w:cs="Times New Roman"/>
          <w:color w:val="000000"/>
          <w:sz w:val="27"/>
          <w:szCs w:val="27"/>
          <w:lang w:eastAsia="de-DE"/>
        </w:rPr>
        <w:t xml:space="preserve">Paket </w:t>
      </w:r>
      <w:r w:rsidRPr="00E35D9D">
        <w:rPr>
          <w:rFonts w:ascii="Times New Roman" w:hAnsi="Times New Roman" w:eastAsia="Times New Roman" w:cs="Times New Roman"/>
          <w:color w:val="000000"/>
          <w:sz w:val="27"/>
          <w:szCs w:val="27"/>
          <w:lang w:eastAsia="de-DE"/>
        </w:rPr>
        <w:t xml:space="preserve">sind</w:t>
      </w:r>
      <w:r w:rsidRPr="00E35D9D">
        <w:rPr>
          <w:rFonts w:ascii="Times New Roman" w:hAnsi="Times New Roman" w:eastAsia="Times New Roman" w:cs="Times New Roman"/>
          <w:color w:val="000000"/>
          <w:sz w:val="27"/>
          <w:szCs w:val="27"/>
          <w:lang w:eastAsia="de-DE"/>
        </w:rPr>
        <w:t xml:space="preserve">:</w:t>
      </w:r>
    </w:p>
    <w:tbl>
      <w:tblPr>
        <w:tblW w:w="5000" w:type="pct"/>
        <w:tblCellSpacing w:w="0" w:type="dxa"/>
        <w:tblCellMar>
          <w:left w:w="0" w:type="dxa"/>
          <w:right w:w="0" w:type="dxa"/>
        </w:tblCellMar>
        <w:tblLook w:val="04a0"/>
      </w:tblPr>
      <w:tblGrid>
        <w:gridCol w:w="270"/>
        <w:gridCol w:w="8802"/>
      </w:tblGrid>
      <w:tr w:rsidRPr="00E52C24" w:rsidR="00E35D9D" w:rsidTr="00E35D9D" w14:paraId="56BEEF16" w14:textId="77777777">
        <w:trPr>
          <w:tblCellSpacing w:w="0" w:type="dxa"/>
        </w:trPr>
        <w:tc>
          <w:tcPr>
            <w:tcW w:w="0" w:type="auto"/>
            <w:hideMark/>
          </w:tcPr>
          <w:p w:rsidRPr="00E35D9D" w:rsidR="00E35D9D" w:rsidP="00E35D9D" w:rsidRDefault="00E35D9D" w14:paraId="1A233FDD"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5555C6F8" w14:textId="77777777">
            <w:pPr>
              <w:spacing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Beschluss </w:t>
            </w:r>
            <w:r w:rsidR="00E52C24">
              <w:fldChar w:fldCharType="begin"/>
            </w:r>
            <w:r w:rsidRPr="00E52C24" w:rsidR="00E52C24">
              <w:rPr>
                <w:lang w:val="fr-FR"/>
              </w:rPr>
              <w:instrText xml:space="preserve"> HYPERLINK "https://eur-lex.europa.eu/legal-content/FR/AUTO/?uri=uriserv:0601_3"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2014/335/EU, Euratom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des Rates vom 26. Mai 2014 über das System der Eigenmittel der Europäischen Union</w:t>
            </w:r>
          </w:p>
        </w:tc>
      </w:tr>
    </w:tbl>
    <w:p w:rsidRPr="00E35D9D" w:rsidR="00E35D9D" w:rsidP="00E35D9D" w:rsidRDefault="00E35D9D" w14:paraId="75E6F468" w14:textId="77777777">
      <w:pPr>
        <w:spacing w:after="0" w:line="240" w:lineRule="auto"/>
        <w:rPr>
          <w:rFonts w:ascii="Times New Roman" w:hAnsi="Times New Roman" w:eastAsia="Times New Roman" w:cs="Times New Roman"/>
          <w:vanish/>
          <w:sz w:val="24"/>
          <w:szCs w:val="24"/>
          <w:lang w:eastAsia="de-DE"/>
        </w:rPr>
      </w:pPr>
    </w:p>
    <w:tbl>
      <w:tblPr>
        <w:tblW w:w="5000" w:type="pct"/>
        <w:tblCellSpacing w:w="0" w:type="dxa"/>
        <w:tblCellMar>
          <w:left w:w="0" w:type="dxa"/>
          <w:right w:w="0" w:type="dxa"/>
        </w:tblCellMar>
        <w:tblLook w:val="04a0"/>
      </w:tblPr>
      <w:tblGrid>
        <w:gridCol w:w="270"/>
        <w:gridCol w:w="8802"/>
      </w:tblGrid>
      <w:tr w:rsidRPr="00E52C24" w:rsidR="00E35D9D" w:rsidTr="00E35D9D" w14:paraId="6711E3AA" w14:textId="77777777">
        <w:trPr>
          <w:tblCellSpacing w:w="0" w:type="dxa"/>
        </w:trPr>
        <w:tc>
          <w:tcPr>
            <w:tcW w:w="0" w:type="auto"/>
            <w:hideMark/>
          </w:tcPr>
          <w:p w:rsidRPr="00E35D9D" w:rsidR="00E35D9D" w:rsidP="00E35D9D" w:rsidRDefault="00E35D9D" w14:paraId="383B3CAF"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 —</w:t>
            </w:r>
          </w:p>
        </w:tc>
        <w:tc>
          <w:tcPr>
            <w:tcW w:w="0" w:type="auto"/>
            <w:hideMark/>
          </w:tcPr>
          <w:p w:rsidRPr="00E35D9D" w:rsidR="00E35D9D" w:rsidP="00E35D9D" w:rsidRDefault="00E35D9D" w14:paraId="5393C5A3" w14:textId="77777777">
            <w:pPr>
              <w:spacing w:after="0" w:line="240" w:lineRule="auto"/>
              <w:jc w:val="both"/>
              <w:rPr>
                <w:rFonts w:ascii="Times New Roman" w:hAnsi="Times New Roman" w:eastAsia="Times New Roman" w:cs="Times New Roman"/>
                <w:color w:val="000000"/>
                <w:sz w:val="27"/>
                <w:szCs w:val="27"/>
                <w:lang w:val="fr-FR" w:eastAsia="de-DE"/>
              </w:rPr>
            </w:pPr>
            <w:r w:rsidR="00E52C24">
              <w:fldChar w:fldCharType="begin"/>
            </w:r>
            <w:r w:rsidRPr="00E52C24" w:rsidR="00E52C24">
              <w:rPr>
                <w:lang w:val="fr-FR"/>
              </w:rPr>
              <w:instrText xml:space="preserve"> HYPERLINK "https://eur-lex.europa.eu/legal-content/FR/AUTO/?uri=uriserv:0601_4"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Verordnung (EU, Euratom) </w:t>
            </w:r>
            <w:r w:rsidRPr="00E35D9D">
              <w:rPr>
                <w:rFonts w:ascii="Times New Roman" w:hAnsi="Times New Roman" w:eastAsia="Times New Roman" w:cs="Times New Roman"/>
                <w:color w:val="0000FF"/>
                <w:sz w:val="27"/>
                <w:szCs w:val="27"/>
                <w:u w:val="single"/>
                <w:vertAlign w:val="superscript"/>
                <w:lang w:val="fr-FR" w:eastAsia="de-DE"/>
              </w:rPr>
              <w:t xml:space="preserve">Nr. 608/2014 </w:t>
            </w:r>
            <w:r w:rsidRPr="00E35D9D">
              <w:rPr>
                <w:rFonts w:ascii="Times New Roman" w:hAnsi="Times New Roman" w:eastAsia="Times New Roman" w:cs="Times New Roman"/>
                <w:color w:val="0000FF"/>
                <w:sz w:val="27"/>
                <w:szCs w:val="27"/>
                <w:u w:val="single"/>
                <w:lang w:val="fr-FR" w:eastAsia="de-DE"/>
              </w:rPr>
              <w:t xml:space="preserve">608/2014</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des Rates vom 26. Mai 2014 zur Festlegung von Durchführungsmaßnahmen für das System der Eigenmittel der Europäischen Union.</w:t>
            </w:r>
          </w:p>
        </w:tc>
      </w:tr>
    </w:tbl>
    <w:p w:rsidRPr="00E35D9D" w:rsidR="00E35D9D" w:rsidP="00E35D9D" w:rsidRDefault="00E35D9D" w14:paraId="3457EEB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Weitere Informationen finden Sie auf der </w:t>
      </w:r>
      <w:r w:rsidR="00E52C24">
        <w:fldChar w:fldCharType="begin"/>
      </w:r>
      <w:r w:rsidRPr="00E52C24" w:rsidR="00E52C24">
        <w:rPr>
          <w:lang w:val="fr-FR"/>
        </w:rPr>
        <w:instrText xml:space="preserve"> HYPERLINK "http://ec.europa.eu/budget/mff/resources/index_fr.cfm"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Website der Europäischen Kommission zu den EU-Eigenmitteln</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2C6DA2EC"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SCHLÜSSELBEGRIFFE</w:t>
      </w:r>
    </w:p>
    <w:p w:rsidRPr="00E35D9D" w:rsidR="00E35D9D" w:rsidP="00E35D9D" w:rsidRDefault="00E35D9D" w14:paraId="050FF34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Bruttonationaleinkommen (BNE): </w:t>
      </w:r>
      <w:r w:rsidRPr="00E35D9D">
        <w:rPr>
          <w:rFonts w:ascii="Times New Roman" w:hAnsi="Times New Roman" w:eastAsia="Times New Roman" w:cs="Times New Roman"/>
          <w:color w:val="000000"/>
          <w:sz w:val="27"/>
          <w:szCs w:val="27"/>
          <w:lang w:val="fr-FR" w:eastAsia="de-DE"/>
        </w:rPr>
        <w:t xml:space="preserve">Die Summe der Einkommen der Einwohner einer Volkswirtschaft in einer bestimmten Periode.</w:t>
      </w:r>
    </w:p>
    <w:p w:rsidRPr="00E35D9D" w:rsidR="00E35D9D" w:rsidP="00E35D9D" w:rsidRDefault="00E35D9D" w14:paraId="4FF5BA52"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t xml:space="preserve">REFERENZEN</w:t>
      </w:r>
    </w:p>
    <w:tbl>
      <w:tblPr>
        <w:tblW w:w="5000" w:type="pct"/>
        <w:tblCellSpacing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tblPr>
      <w:tblGrid>
        <w:gridCol w:w="1633"/>
        <w:gridCol w:w="2712"/>
        <w:gridCol w:w="1482"/>
        <w:gridCol w:w="1943"/>
        <w:gridCol w:w="1286"/>
      </w:tblGrid>
      <w:tr w:rsidRPr="00E35D9D" w:rsidR="00E35D9D" w:rsidTr="00E35D9D" w14:paraId="19711689" w14:textId="77777777">
        <w:trPr>
          <w:tblCellSpacing w:w="0" w:type="dxa"/>
        </w:trPr>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20F9C477" w14:textId="77777777">
            <w:pPr>
              <w:spacing w:before="60" w:after="60" w:line="240" w:lineRule="auto"/>
              <w:jc w:val="center"/>
              <w:rPr>
                <w:rFonts w:ascii="Times New Roman" w:hAnsi="Times New Roman" w:eastAsia="Times New Roman" w:cs="Times New Roman"/>
                <w:b/>
                <w:bCs/>
                <w:sz w:val="24"/>
                <w:szCs w:val="24"/>
                <w:lang w:eastAsia="de-DE"/>
              </w:rPr>
            </w:pPr>
            <w:r w:rsidRPr="00E35D9D">
              <w:rPr>
                <w:rFonts w:ascii="Times New Roman" w:hAnsi="Times New Roman" w:eastAsia="Times New Roman" w:cs="Times New Roman"/>
                <w:b/>
                <w:bCs/>
                <w:sz w:val="24"/>
                <w:szCs w:val="24"/>
                <w:lang w:eastAsia="de-DE"/>
              </w:rPr>
              <w:t xml:space="preserve">Gesetz</w:t>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28F2D98E" w14:textId="77777777">
            <w:pPr>
              <w:spacing w:before="60" w:after="60" w:line="240" w:lineRule="auto"/>
              <w:jc w:val="center"/>
              <w:rPr>
                <w:rFonts w:ascii="Times New Roman" w:hAnsi="Times New Roman" w:eastAsia="Times New Roman" w:cs="Times New Roman"/>
                <w:b/>
                <w:bCs/>
                <w:sz w:val="24"/>
                <w:szCs w:val="24"/>
                <w:lang w:eastAsia="de-DE"/>
              </w:rPr>
            </w:pPr>
            <w:r w:rsidRPr="00E35D9D">
              <w:rPr>
                <w:rFonts w:ascii="Times New Roman" w:hAnsi="Times New Roman" w:eastAsia="Times New Roman" w:cs="Times New Roman"/>
                <w:b/>
                <w:bCs/>
                <w:sz w:val="24"/>
                <w:szCs w:val="24"/>
                <w:lang w:eastAsia="de-DE"/>
              </w:rPr>
              <w:t xml:space="preserve">Inkrafttreten</w:t>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0790EBA4" w14:textId="77777777">
            <w:pPr>
              <w:spacing w:before="60" w:after="60" w:line="240" w:lineRule="auto"/>
              <w:jc w:val="center"/>
              <w:rPr>
                <w:rFonts w:ascii="Times New Roman" w:hAnsi="Times New Roman" w:eastAsia="Times New Roman" w:cs="Times New Roman"/>
                <w:b/>
                <w:bCs/>
                <w:sz w:val="24"/>
                <w:szCs w:val="24"/>
                <w:lang w:eastAsia="de-DE"/>
              </w:rPr>
            </w:pPr>
            <w:r w:rsidRPr="00E35D9D">
              <w:rPr>
                <w:rFonts w:ascii="Times New Roman" w:hAnsi="Times New Roman" w:eastAsia="Times New Roman" w:cs="Times New Roman"/>
                <w:b/>
                <w:bCs/>
                <w:sz w:val="24"/>
                <w:szCs w:val="24"/>
                <w:lang w:eastAsia="de-DE"/>
              </w:rPr>
              <w:t xml:space="preserve">Datum der </w:t>
            </w:r>
            <w:r w:rsidRPr="00E35D9D">
              <w:rPr>
                <w:rFonts w:ascii="Times New Roman" w:hAnsi="Times New Roman" w:eastAsia="Times New Roman" w:cs="Times New Roman"/>
                <w:b/>
                <w:bCs/>
                <w:sz w:val="24"/>
                <w:szCs w:val="24"/>
                <w:lang w:eastAsia="de-DE"/>
              </w:rPr>
              <w:t xml:space="preserve">Anwendung</w:t>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5DAC97E4" w14:textId="77777777">
            <w:pPr>
              <w:spacing w:before="60" w:after="60" w:line="240" w:lineRule="auto"/>
              <w:jc w:val="center"/>
              <w:rPr>
                <w:rFonts w:ascii="Times New Roman" w:hAnsi="Times New Roman" w:eastAsia="Times New Roman" w:cs="Times New Roman"/>
                <w:b/>
                <w:bCs/>
                <w:sz w:val="24"/>
                <w:szCs w:val="24"/>
                <w:lang w:val="fr-FR" w:eastAsia="de-DE"/>
              </w:rPr>
            </w:pPr>
            <w:r w:rsidRPr="00E35D9D">
              <w:rPr>
                <w:rFonts w:ascii="Times New Roman" w:hAnsi="Times New Roman" w:eastAsia="Times New Roman" w:cs="Times New Roman"/>
                <w:b/>
                <w:bCs/>
                <w:sz w:val="24"/>
                <w:szCs w:val="24"/>
                <w:lang w:val="fr-FR" w:eastAsia="de-DE"/>
              </w:rPr>
              <w:t xml:space="preserve">Frist für die Umsetzung in den Mitgliedsstaaten</w:t>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414BF133" w14:textId="77777777">
            <w:pPr>
              <w:spacing w:before="60" w:after="60" w:line="240" w:lineRule="auto"/>
              <w:jc w:val="center"/>
              <w:rPr>
                <w:rFonts w:ascii="Times New Roman" w:hAnsi="Times New Roman" w:eastAsia="Times New Roman" w:cs="Times New Roman"/>
                <w:b/>
                <w:bCs/>
                <w:sz w:val="24"/>
                <w:szCs w:val="24"/>
                <w:lang w:eastAsia="de-DE"/>
              </w:rPr>
            </w:pPr>
            <w:r w:rsidRPr="00E35D9D">
              <w:rPr>
                <w:rFonts w:ascii="Times New Roman" w:hAnsi="Times New Roman" w:eastAsia="Times New Roman" w:cs="Times New Roman"/>
                <w:b/>
                <w:bCs/>
                <w:sz w:val="24"/>
                <w:szCs w:val="24"/>
                <w:lang w:eastAsia="de-DE"/>
              </w:rPr>
              <w:t xml:space="preserve">Amtsblatt</w:t>
            </w:r>
          </w:p>
        </w:tc>
      </w:tr>
      <w:tr w:rsidRPr="00E35D9D" w:rsidR="00E35D9D" w:rsidTr="00E35D9D" w14:paraId="74035B70" w14:textId="77777777">
        <w:trPr>
          <w:tblCellSpacing w:w="0" w:type="dxa"/>
        </w:trPr>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227A338E" w14:textId="77777777">
            <w:pPr>
              <w:spacing w:before="60" w:after="60" w:line="240" w:lineRule="auto"/>
              <w:jc w:val="center"/>
              <w:rPr>
                <w:rFonts w:ascii="Times New Roman" w:hAnsi="Times New Roman" w:eastAsia="Times New Roman" w:cs="Times New Roman"/>
                <w:sz w:val="24"/>
                <w:szCs w:val="24"/>
                <w:lang w:eastAsia="de-DE"/>
              </w:rPr>
            </w:pPr>
            <w:r w:rsidRPr="00E35D9D">
              <w:rPr>
                <w:rFonts w:ascii="Times New Roman" w:hAnsi="Times New Roman" w:eastAsia="Times New Roman" w:cs="Times New Roman"/>
                <w:sz w:val="24"/>
                <w:szCs w:val="24"/>
                <w:lang w:eastAsia="de-DE"/>
              </w:rPr>
              <w:t xml:space="preserve">Verordnung </w:t>
            </w:r>
            <w:r w:rsidRPr="00E35D9D">
              <w:rPr>
                <w:rFonts w:ascii="Times New Roman" w:hAnsi="Times New Roman" w:eastAsia="Times New Roman" w:cs="Times New Roman"/>
                <w:sz w:val="24"/>
                <w:szCs w:val="24"/>
                <w:lang w:eastAsia="de-DE"/>
              </w:rPr>
              <w:t xml:space="preserve">(EU, Euratom) </w:t>
            </w:r>
            <w:r w:rsidRPr="00E35D9D">
              <w:rPr>
                <w:rFonts w:ascii="Times New Roman" w:hAnsi="Times New Roman" w:eastAsia="Times New Roman" w:cs="Times New Roman"/>
                <w:sz w:val="24"/>
                <w:szCs w:val="24"/>
                <w:vertAlign w:val="superscript"/>
                <w:lang w:eastAsia="de-DE"/>
              </w:rPr>
              <w:t xml:space="preserve">Nr. </w:t>
            </w:r>
            <w:hyperlink w:history="1" r:id="rId18">
              <w:r w:rsidRPr="00E35D9D">
                <w:rPr>
                  <w:rFonts w:ascii="Times New Roman" w:hAnsi="Times New Roman" w:eastAsia="Times New Roman" w:cs="Times New Roman"/>
                  <w:color w:val="0000FF"/>
                  <w:sz w:val="24"/>
                  <w:szCs w:val="24"/>
                  <w:u w:val="single"/>
                  <w:lang w:eastAsia="de-DE"/>
                </w:rPr>
                <w:t xml:space="preserve">609/2014</w:t>
              </w:r>
            </w:hyperlink>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45188163" w14:textId="77777777">
            <w:pPr>
              <w:spacing w:before="60" w:after="60" w:line="240" w:lineRule="auto"/>
              <w:jc w:val="center"/>
              <w:rPr>
                <w:rFonts w:ascii="Times New Roman" w:hAnsi="Times New Roman" w:eastAsia="Times New Roman" w:cs="Times New Roman"/>
                <w:sz w:val="24"/>
                <w:szCs w:val="24"/>
                <w:lang w:val="fr-FR" w:eastAsia="de-DE"/>
              </w:rPr>
            </w:pPr>
            <w:r w:rsidRPr="00E35D9D">
              <w:rPr>
                <w:rFonts w:ascii="Times New Roman" w:hAnsi="Times New Roman" w:eastAsia="Times New Roman" w:cs="Times New Roman"/>
                <w:sz w:val="24"/>
                <w:szCs w:val="24"/>
                <w:lang w:val="fr-FR" w:eastAsia="de-DE"/>
              </w:rPr>
              <w:t xml:space="preserve">Mit dem Beschluss </w:t>
            </w:r>
            <w:r w:rsidR="00E52C24">
              <w:fldChar w:fldCharType="begin"/>
            </w:r>
            <w:r w:rsidRPr="00E52C24" w:rsidR="00E52C24">
              <w:rPr>
                <w:lang w:val="fr-FR"/>
              </w:rPr>
              <w:instrText xml:space="preserve"> HYPERLINK "https://eur-lex.europa.eu/legal-content/FR/AUTO/?uri=celex:32014D0335" </w:instrText>
            </w:r>
            <w:r w:rsidR="00E52C24">
              <w:fldChar w:fldCharType="separate"/>
            </w:r>
            <w:r w:rsidRPr="00E35D9D">
              <w:rPr>
                <w:rFonts w:ascii="Times New Roman" w:hAnsi="Times New Roman" w:eastAsia="Times New Roman" w:cs="Times New Roman"/>
                <w:color w:val="0000FF"/>
                <w:sz w:val="24"/>
                <w:szCs w:val="24"/>
                <w:u w:val="single"/>
                <w:lang w:val="fr-FR" w:eastAsia="de-DE"/>
              </w:rPr>
              <w:t xml:space="preserve">2014/335/EU </w:t>
            </w:r>
            <w:r w:rsidR="00E52C24">
              <w:rPr>
                <w:rFonts w:ascii="Times New Roman" w:hAnsi="Times New Roman" w:eastAsia="Times New Roman" w:cs="Times New Roman"/>
                <w:color w:val="0000FF"/>
                <w:sz w:val="24"/>
                <w:szCs w:val="24"/>
                <w:u w:val="single"/>
                <w:lang w:val="fr-FR" w:eastAsia="de-DE"/>
              </w:rPr>
              <w:fldChar w:fldCharType="end"/>
            </w:r>
            <w:r w:rsidRPr="00E35D9D">
              <w:rPr>
                <w:rFonts w:ascii="Times New Roman" w:hAnsi="Times New Roman" w:eastAsia="Times New Roman" w:cs="Times New Roman"/>
                <w:sz w:val="24"/>
                <w:szCs w:val="24"/>
                <w:lang w:val="fr-FR" w:eastAsia="de-DE"/>
              </w:rPr>
              <w:t xml:space="preserve">des Rates</w:t>
            </w:r>
            <w:r w:rsidR="00E52C24">
              <w:fldChar w:fldCharType="begin"/>
            </w:r>
            <w:r w:rsidRPr="00E52C24" w:rsidR="00E52C24">
              <w:rPr>
                <w:lang w:val="fr-FR"/>
              </w:rPr>
              <w:instrText xml:space="preserve"> HYPERLINK "https://eur-lex.europa.eu/legal-content/FR/AUTO/?uri=celex:32014D0335" </w:instrText>
            </w:r>
            <w:r w:rsidR="00E52C24">
              <w:fldChar w:fldCharType="separate"/>
            </w:r>
            <w:r w:rsidRPr="00E35D9D">
              <w:rPr>
                <w:rFonts w:ascii="Times New Roman" w:hAnsi="Times New Roman" w:eastAsia="Times New Roman" w:cs="Times New Roman"/>
                <w:color w:val="0000FF"/>
                <w:sz w:val="24"/>
                <w:szCs w:val="24"/>
                <w:u w:val="single"/>
                <w:lang w:val="fr-FR" w:eastAsia="de-DE"/>
              </w:rPr>
              <w:t xml:space="preserve">, Euratom</w:t>
            </w:r>
            <w:r w:rsidR="00E52C24">
              <w:rPr>
                <w:rFonts w:ascii="Times New Roman" w:hAnsi="Times New Roman" w:eastAsia="Times New Roman" w:cs="Times New Roman"/>
                <w:color w:val="0000FF"/>
                <w:sz w:val="24"/>
                <w:szCs w:val="24"/>
                <w:u w:val="single"/>
                <w:lang w:val="fr-FR" w:eastAsia="de-DE"/>
              </w:rPr>
              <w:fldChar w:fldCharType="end"/>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582892A6" w14:textId="77777777">
            <w:pPr>
              <w:spacing w:before="60" w:after="60" w:line="240" w:lineRule="auto"/>
              <w:jc w:val="center"/>
              <w:rPr>
                <w:rFonts w:ascii="Times New Roman" w:hAnsi="Times New Roman" w:eastAsia="Times New Roman" w:cs="Times New Roman"/>
                <w:sz w:val="24"/>
                <w:szCs w:val="24"/>
                <w:lang w:eastAsia="de-DE"/>
              </w:rPr>
            </w:pPr>
            <w:r w:rsidRPr="00E35D9D">
              <w:rPr>
                <w:rFonts w:ascii="Times New Roman" w:hAnsi="Times New Roman" w:eastAsia="Times New Roman" w:cs="Times New Roman"/>
                <w:sz w:val="24"/>
                <w:szCs w:val="24"/>
                <w:lang w:eastAsia="de-DE"/>
              </w:rPr>
              <w:t xml:space="preserve">1.1.2014</w:t>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35D9D" w14:paraId="278EC26C" w14:textId="77777777">
            <w:pPr>
              <w:spacing w:before="60" w:after="60" w:line="240" w:lineRule="auto"/>
              <w:jc w:val="center"/>
              <w:rPr>
                <w:rFonts w:ascii="Times New Roman" w:hAnsi="Times New Roman" w:eastAsia="Times New Roman" w:cs="Times New Roman"/>
                <w:sz w:val="24"/>
                <w:szCs w:val="24"/>
                <w:lang w:eastAsia="de-DE"/>
              </w:rPr>
            </w:pPr>
            <w:r w:rsidRPr="00E35D9D">
              <w:rPr>
                <w:rFonts w:ascii="Times New Roman" w:hAnsi="Times New Roman" w:eastAsia="Times New Roman" w:cs="Times New Roman"/>
                <w:sz w:val="24"/>
                <w:szCs w:val="24"/>
                <w:lang w:eastAsia="de-DE"/>
              </w:rPr>
              <w:t xml:space="preserve">-</w:t>
            </w:r>
          </w:p>
        </w:tc>
        <w:tc>
          <w:tcPr>
            <w:tcW w:w="0" w:type="auto"/>
            <w:tcBorders>
              <w:top w:val="outset" w:color="auto" w:sz="6" w:space="0"/>
              <w:left w:val="outset" w:color="auto" w:sz="6" w:space="0"/>
              <w:bottom w:val="outset" w:color="auto" w:sz="6" w:space="0"/>
              <w:right w:val="outset" w:color="auto" w:sz="6" w:space="0"/>
            </w:tcBorders>
            <w:hideMark/>
          </w:tcPr>
          <w:p w:rsidRPr="00E35D9D" w:rsidR="00E35D9D" w:rsidP="00E35D9D" w:rsidRDefault="00E52C24" w14:paraId="2AC57417" w14:textId="77777777">
            <w:pPr>
              <w:spacing w:before="60" w:after="60" w:line="240" w:lineRule="auto"/>
              <w:jc w:val="center"/>
              <w:rPr>
                <w:rFonts w:ascii="Times New Roman" w:hAnsi="Times New Roman" w:eastAsia="Times New Roman" w:cs="Times New Roman"/>
                <w:sz w:val="24"/>
                <w:szCs w:val="24"/>
                <w:lang w:eastAsia="de-DE"/>
              </w:rPr>
            </w:pPr>
            <w:hyperlink w:history="1" r:id="rId19">
              <w:r w:rsidRPr="00E35D9D" w:rsidR="00E35D9D">
                <w:rPr>
                  <w:rFonts w:ascii="Times New Roman" w:hAnsi="Times New Roman" w:eastAsia="Times New Roman" w:cs="Times New Roman"/>
                  <w:color w:val="0000FF"/>
                  <w:sz w:val="24"/>
                  <w:szCs w:val="24"/>
                  <w:u w:val="single"/>
                  <w:lang w:eastAsia="de-DE"/>
                </w:rPr>
                <w:t xml:space="preserve">ABl. L 168 vom 7.6.2014, S. 39-52</w:t>
              </w:r>
            </w:hyperlink>
          </w:p>
        </w:tc>
      </w:tr>
    </w:tbl>
    <w:p w:rsidRPr="00E35D9D" w:rsidR="00E35D9D" w:rsidP="00E35D9D" w:rsidRDefault="00E35D9D" w14:paraId="3FD7C3A9"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t xml:space="preserve">VERBUNDENE TATSACHEN</w:t>
      </w:r>
    </w:p>
    <w:p w:rsidRPr="00E35D9D" w:rsidR="00E35D9D" w:rsidP="00E35D9D" w:rsidRDefault="00E35D9D" w14:paraId="5379FA7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Beschluss </w:t>
      </w:r>
      <w:r w:rsidR="00E52C24">
        <w:fldChar w:fldCharType="begin"/>
      </w:r>
      <w:r w:rsidRPr="00E52C24" w:rsidR="00E52C24">
        <w:rPr>
          <w:lang w:val="fr-FR"/>
        </w:rPr>
        <w:instrText xml:space="preserve"> HYPERLINK "https://eur-lex.europa.eu/legal-content/FR/AUTO/?uri=celex:32014D0335"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2014/335/EU, Euratom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des Rates vom 26. Mai 2014 über das System der Eigenmittel der Europäischen Union (</w:t>
      </w:r>
      <w:r w:rsidR="00E52C24">
        <w:fldChar w:fldCharType="begin"/>
      </w:r>
      <w:r w:rsidRPr="00E52C24" w:rsidR="00E52C24">
        <w:rPr>
          <w:lang w:val="fr-FR"/>
        </w:rPr>
        <w:instrText xml:space="preserve"> HYPERLINK "https://eur-lex.europa.eu/legal-content/FR/AUTO/?uri=uriserv:OJ.L_.2014.168.01.0105.01.FRA"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ABl. L 168 vom 7.6.2014, S. 105-111</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098B944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Verordnung (EU, Euratom) </w:t>
      </w:r>
      <w:r w:rsidRPr="00E35D9D">
        <w:rPr>
          <w:rFonts w:ascii="Times New Roman" w:hAnsi="Times New Roman" w:eastAsia="Times New Roman" w:cs="Times New Roman"/>
          <w:color w:val="000000"/>
          <w:sz w:val="27"/>
          <w:szCs w:val="27"/>
          <w:vertAlign w:val="superscript"/>
          <w:lang w:val="fr-FR" w:eastAsia="de-DE"/>
        </w:rPr>
        <w:t xml:space="preserve">Nr. </w:t>
      </w:r>
      <w:r w:rsidR="00E52C24">
        <w:fldChar w:fldCharType="begin"/>
      </w:r>
      <w:r w:rsidRPr="00E52C24" w:rsidR="00E52C24">
        <w:rPr>
          <w:lang w:val="fr-FR"/>
        </w:rPr>
        <w:instrText xml:space="preserve"> HYPERLINK "https://eur-lex.europa.eu/legal-content/FR/AUTO/?uri=celex:32014R0608"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608/2014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des Rates vom 26. Mai 2014 zur Festlegung von Durchführungsmaßnahmen für das System der Eigenmittel der Europäischen Union (</w:t>
      </w:r>
      <w:r w:rsidR="00E52C24">
        <w:fldChar w:fldCharType="begin"/>
      </w:r>
      <w:r w:rsidRPr="00E52C24" w:rsidR="00E52C24">
        <w:rPr>
          <w:lang w:val="fr-FR"/>
        </w:rPr>
        <w:instrText xml:space="preserve"> HYPERLINK "https://eur-lex.europa.eu/</w:instrText>
      </w:r>
      <w:r w:rsidRPr="00E52C24" w:rsidR="00E52C24">
        <w:rPr>
          <w:lang w:val="fr-FR"/>
        </w:rPr>
        <w:instrText xml:space="preserve">legal-content/FR/AUTO/?uri=uriserv:OJ.L_.2014.168.01.0029.01.FRA"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ABl. L 168 vom 7.6.2014, S. 29-38</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4AC46632"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zuletzt geändert am 16.09.2015</w:t>
      </w:r>
    </w:p>
    <w:p w:rsidRPr="00E35D9D" w:rsidR="00E35D9D" w:rsidP="00E35D9D" w:rsidRDefault="00E35D9D" w14:paraId="622A5C73" w14:textId="6B917669">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 17.05.2019</w:t>
      </w:r>
    </w:p>
    <w:p w:rsidRPr="00E35D9D" w:rsidR="00E35D9D" w:rsidP="00E35D9D" w:rsidRDefault="00E35D9D" w14:paraId="7B8B3F3C"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E35D9D">
        <w:rPr>
          <w:rFonts w:ascii="Times New Roman" w:hAnsi="Times New Roman" w:eastAsia="Times New Roman" w:cs="Times New Roman"/>
          <w:b/>
          <w:bCs/>
          <w:color w:val="444444"/>
          <w:sz w:val="42"/>
          <w:szCs w:val="42"/>
          <w:lang w:val="fr-FR" w:eastAsia="de-DE"/>
        </w:rPr>
        <w:t xml:space="preserve">Leitlinien zum Begriff der Beeinträchtigung des Handels</w:t>
      </w:r>
    </w:p>
    <w:p w:rsidRPr="00E35D9D" w:rsidR="00E35D9D" w:rsidP="00E35D9D" w:rsidRDefault="00E35D9D" w14:paraId="2805EB3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 </w:t>
      </w:r>
    </w:p>
    <w:p w:rsidRPr="00E35D9D" w:rsidR="00E35D9D" w:rsidP="00E35D9D" w:rsidRDefault="00E35D9D" w14:paraId="061C7D2A"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DOKUMENTENZUSAMMENFASSUNG:</w:t>
      </w:r>
    </w:p>
    <w:p w:rsidRPr="00E35D9D" w:rsidR="00E35D9D" w:rsidP="00E35D9D" w:rsidRDefault="00E52C24" w14:paraId="0DFA56E1"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"https://eur-lex.europa.eu/legal-content/FR/AUTO/?uri=celex:52004XC0427%2806%29"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Leitlinien zum Begriff der Beeinträchtigung des Handels in den Artikeln 101 und 102 des Vertrags über die Arbeitsweise der Europäischen Union</w:t>
      </w:r>
      <w:r>
        <w:rPr>
          <w:rFonts w:ascii="Times New Roman" w:hAnsi="Times New Roman" w:eastAsia="Times New Roman" w:cs="Times New Roman"/>
          <w:color w:val="0000FF"/>
          <w:sz w:val="27"/>
          <w:szCs w:val="27"/>
          <w:u w:val="single"/>
          <w:lang w:val="fr-FR" w:eastAsia="de-DE"/>
        </w:rPr>
        <w:fldChar w:fldCharType="end"/>
      </w:r>
    </w:p>
    <w:p w:rsidRPr="00E35D9D" w:rsidR="00E35D9D" w:rsidP="00E35D9D" w:rsidRDefault="00E35D9D" w14:paraId="57E3A611"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WAS IST DER ZWECK DIESER RICHTLINIEN?</w:t>
      </w:r>
    </w:p>
    <w:p w:rsidRPr="00E35D9D" w:rsidR="00E35D9D" w:rsidP="00E35D9D" w:rsidRDefault="00E35D9D" w14:paraId="5366BA15" w14:textId="77777777">
      <w:pPr>
        <w:numPr>
          <w:ilvl w:val="0"/>
          <w:numId w:val="12"/>
        </w:numPr>
        <w:spacing w:before="240" w:after="240" w:line="240" w:lineRule="auto"/>
        <w:ind w:start="1200"/>
        <w:rPr>
          <w:rFonts w:ascii="Times New Roman" w:hAnsi="Times New Roman" w:eastAsia="Times New Roman" w:cs="Times New Roman"/>
          <w:color w:val="000000"/>
          <w:sz w:val="27"/>
          <w:szCs w:val="27"/>
          <w:lang w:val="fr-FR" w:eastAsia="de-DE"/>
        </w:rPr>
      </w:pPr>
      <w:r w:rsidR="00E52C24">
        <w:fldChar w:fldCharType="begin"/>
      </w:r>
      <w:r w:rsidRPr="00E52C24" w:rsidR="00E52C24">
        <w:rPr>
          <w:lang w:val="fr-FR"/>
        </w:rPr>
        <w:instrText xml:space="preserve"> HYPERLINK "http://eur-lex.europa.eu/legal-content/FR/TXT/?uri=celex:12016E101"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Artikel 101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des Vertrags über die Arbeitsweise der Europäischen Union (AEUV) (ehemals Artikel 81 des Vertrags zur Gründung der Europäischen Gemeinschaft (EGV)) verbietet Kartelle* </w:t>
      </w:r>
      <w:r w:rsidRPr="00E35D9D">
        <w:rPr>
          <w:rFonts w:ascii="Times New Roman" w:hAnsi="Times New Roman" w:eastAsia="Times New Roman" w:cs="Times New Roman"/>
          <w:color w:val="000000"/>
          <w:sz w:val="27"/>
          <w:szCs w:val="27"/>
          <w:lang w:val="fr-FR" w:eastAsia="de-DE"/>
        </w:rPr>
        <w:t xml:space="preserve">und Verhaltensweisen, die eine Verhinderung, Einschränkung oder Verfälschung des Wettbewerbs bewirken (vertikale* </w:t>
      </w:r>
      <w:r w:rsidRPr="00E35D9D">
        <w:rPr>
          <w:rFonts w:ascii="Times New Roman" w:hAnsi="Times New Roman" w:eastAsia="Times New Roman" w:cs="Times New Roman"/>
          <w:color w:val="000000"/>
          <w:sz w:val="27"/>
          <w:szCs w:val="27"/>
          <w:lang w:val="fr-FR" w:eastAsia="de-DE"/>
        </w:rPr>
        <w:t xml:space="preserve">und horizontale* </w:t>
      </w:r>
      <w:r w:rsidRPr="00E35D9D">
        <w:rPr>
          <w:rFonts w:ascii="Times New Roman" w:hAnsi="Times New Roman" w:eastAsia="Times New Roman" w:cs="Times New Roman"/>
          <w:color w:val="000000"/>
          <w:sz w:val="27"/>
          <w:szCs w:val="27"/>
          <w:lang w:val="fr-FR" w:eastAsia="de-DE"/>
        </w:rPr>
        <w:t xml:space="preserve">Vereinbarungen</w:t>
      </w:r>
      <w:r w:rsidRPr="00E35D9D">
        <w:rPr>
          <w:rFonts w:ascii="Times New Roman" w:hAnsi="Times New Roman" w:eastAsia="Times New Roman" w:cs="Times New Roman"/>
          <w:color w:val="000000"/>
          <w:sz w:val="27"/>
          <w:szCs w:val="27"/>
          <w:lang w:val="fr-FR" w:eastAsia="de-DE"/>
        </w:rPr>
        <w:t xml:space="preserve">), mit bestimmten Ausnahmen (in Absatz 3 aufgeführt)</w:t>
      </w:r>
    </w:p>
    <w:p w:rsidRPr="00E35D9D" w:rsidR="00E35D9D" w:rsidP="00E35D9D" w:rsidRDefault="00E35D9D" w14:paraId="26FDA4A7" w14:textId="77777777">
      <w:pPr>
        <w:numPr>
          <w:ilvl w:val="0"/>
          <w:numId w:val="12"/>
        </w:numPr>
        <w:spacing w:before="240" w:after="240" w:line="240" w:lineRule="auto"/>
        <w:ind w:start="1200"/>
        <w:rPr>
          <w:rFonts w:ascii="Times New Roman" w:hAnsi="Times New Roman" w:eastAsia="Times New Roman" w:cs="Times New Roman"/>
          <w:color w:val="000000"/>
          <w:sz w:val="27"/>
          <w:szCs w:val="27"/>
          <w:lang w:val="fr-FR" w:eastAsia="de-DE"/>
        </w:rPr>
      </w:pPr>
      <w:r w:rsidR="00E52C24">
        <w:fldChar w:fldCharType="begin"/>
      </w:r>
      <w:r w:rsidRPr="00E52C24" w:rsidR="00E52C24">
        <w:rPr>
          <w:lang w:val="fr-FR"/>
        </w:rPr>
        <w:instrText xml:space="preserve"> HYPERLINK "http://eur-lex.europa.eu/legal-content/FR/TXT/?uri=celex:12016E102"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Artikel 102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AEUV (ex-Artikel 82 EGV) verbietet Missbräuche durch Unternehmen in beherrschender Stellung.</w:t>
      </w:r>
    </w:p>
    <w:p w:rsidRPr="00E35D9D" w:rsidR="00E35D9D" w:rsidP="00E35D9D" w:rsidRDefault="00E35D9D" w14:paraId="6BA25928" w14:textId="77777777">
      <w:pPr>
        <w:numPr>
          <w:ilvl w:val="0"/>
          <w:numId w:val="12"/>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Beide Artikel finden nur Anwendung, wenn festgestellt werden kann, dass die Vereinbarungen und Verhaltensweisen </w:t>
      </w:r>
      <w:r w:rsidRPr="00E35D9D">
        <w:rPr>
          <w:rFonts w:ascii="Times New Roman" w:hAnsi="Times New Roman" w:eastAsia="Times New Roman" w:cs="Times New Roman"/>
          <w:b/>
          <w:bCs/>
          <w:color w:val="000000"/>
          <w:sz w:val="27"/>
          <w:szCs w:val="27"/>
          <w:lang w:val="fr-FR" w:eastAsia="de-DE"/>
        </w:rPr>
        <w:t xml:space="preserve">den Handel zwischen den Ländern der Europäischen Union (EU) </w:t>
      </w:r>
      <w:r w:rsidRPr="00E35D9D">
        <w:rPr>
          <w:rFonts w:ascii="Times New Roman" w:hAnsi="Times New Roman" w:eastAsia="Times New Roman" w:cs="Times New Roman"/>
          <w:b/>
          <w:bCs/>
          <w:i/>
          <w:iCs/>
          <w:color w:val="000000"/>
          <w:sz w:val="27"/>
          <w:szCs w:val="27"/>
          <w:lang w:val="fr-FR" w:eastAsia="de-DE"/>
        </w:rPr>
        <w:t xml:space="preserve">spürbar </w:t>
      </w:r>
      <w:r w:rsidRPr="00E35D9D">
        <w:rPr>
          <w:rFonts w:ascii="Times New Roman" w:hAnsi="Times New Roman" w:eastAsia="Times New Roman" w:cs="Times New Roman"/>
          <w:b/>
          <w:bCs/>
          <w:color w:val="000000"/>
          <w:sz w:val="27"/>
          <w:szCs w:val="27"/>
          <w:lang w:val="fr-FR" w:eastAsia="de-DE"/>
        </w:rPr>
        <w:t xml:space="preserve">beeinträchtigen </w:t>
      </w:r>
      <w:r w:rsidRPr="00E35D9D">
        <w:rPr>
          <w:rFonts w:ascii="Times New Roman" w:hAnsi="Times New Roman" w:eastAsia="Times New Roman" w:cs="Times New Roman"/>
          <w:color w:val="000000"/>
          <w:sz w:val="27"/>
          <w:szCs w:val="27"/>
          <w:lang w:val="fr-FR" w:eastAsia="de-DE"/>
        </w:rPr>
        <w:t xml:space="preserve">können</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4E43401A" w14:textId="77777777">
      <w:pPr>
        <w:numPr>
          <w:ilvl w:val="0"/>
          <w:numId w:val="12"/>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Diese Leitlinien </w:t>
      </w:r>
      <w:r w:rsidR="00E52C24">
        <w:fldChar w:fldCharType="begin"/>
      </w:r>
      <w:r w:rsidRPr="00E52C24" w:rsidR="00E52C24">
        <w:rPr>
          <w:lang w:val="fr-FR"/>
        </w:rPr>
        <w:instrText xml:space="preserve"> HYPERLINK "http://eur-lex.europa.eu</w:instrText>
      </w:r>
      <w:r w:rsidRPr="00E52C24" w:rsidR="00E52C24">
        <w:rPr>
          <w:lang w:val="fr-FR"/>
        </w:rPr>
        <w:instrText xml:space="preserve">/summary/glossary/european_commission.html"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der Europäischen Kommission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zielen darauf ab, die Methodik für die Anwendung des Konzepts der </w:t>
      </w:r>
      <w:r w:rsidRPr="00E35D9D">
        <w:rPr>
          <w:rFonts w:ascii="Times New Roman" w:hAnsi="Times New Roman" w:eastAsia="Times New Roman" w:cs="Times New Roman"/>
          <w:b/>
          <w:bCs/>
          <w:color w:val="000000"/>
          <w:sz w:val="27"/>
          <w:szCs w:val="27"/>
          <w:lang w:val="fr-FR" w:eastAsia="de-DE"/>
        </w:rPr>
        <w:t xml:space="preserve">Beeinträchtigung des Handels </w:t>
      </w:r>
      <w:r w:rsidRPr="00E35D9D">
        <w:rPr>
          <w:rFonts w:ascii="Times New Roman" w:hAnsi="Times New Roman" w:eastAsia="Times New Roman" w:cs="Times New Roman"/>
          <w:color w:val="000000"/>
          <w:sz w:val="27"/>
          <w:szCs w:val="27"/>
          <w:lang w:val="fr-FR" w:eastAsia="de-DE"/>
        </w:rPr>
        <w:t xml:space="preserve">zwischen EU-Ländern in Bezug auf Wettbewerbsfälle </w:t>
      </w:r>
      <w:r w:rsidRPr="00E35D9D">
        <w:rPr>
          <w:rFonts w:ascii="Times New Roman" w:hAnsi="Times New Roman" w:eastAsia="Times New Roman" w:cs="Times New Roman"/>
          <w:color w:val="000000"/>
          <w:sz w:val="27"/>
          <w:szCs w:val="27"/>
          <w:lang w:val="fr-FR" w:eastAsia="de-DE"/>
        </w:rPr>
        <w:t xml:space="preserve">zu erläutern und festzulegen</w:t>
      </w:r>
      <w:r w:rsidRPr="00E35D9D">
        <w:rPr>
          <w:rFonts w:ascii="Times New Roman" w:hAnsi="Times New Roman" w:eastAsia="Times New Roman" w:cs="Times New Roman"/>
          <w:color w:val="000000"/>
          <w:sz w:val="27"/>
          <w:szCs w:val="27"/>
          <w:lang w:val="fr-FR" w:eastAsia="de-DE"/>
        </w:rPr>
        <w:t xml:space="preserve">, und spiegeln damit die Rechtsprechung des </w:t>
      </w:r>
      <w:r w:rsidR="00E52C24">
        <w:fldChar w:fldCharType="begin"/>
      </w:r>
      <w:r w:rsidRPr="00E52C24" w:rsidR="00E52C24">
        <w:rPr>
          <w:lang w:val="fr-FR"/>
        </w:rPr>
        <w:instrText xml:space="preserve"> HYPERLINK "http://eur-lex.europa.eu/summary/glossary/eu_court_justice.html"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Europäischen Gerichtshofs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wider</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04FF06EE"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lastRenderedPageBreak/>
        <w:t xml:space="preserve">SCHLÜSSELPUNKTE</w:t>
      </w:r>
    </w:p>
    <w:p w:rsidRPr="00E35D9D" w:rsidR="00E35D9D" w:rsidP="00E35D9D" w:rsidRDefault="00E35D9D" w14:paraId="46B99800" w14:textId="77777777">
      <w:pPr>
        <w:numPr>
          <w:ilvl w:val="0"/>
          <w:numId w:val="1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Im Hinblick </w:t>
      </w:r>
      <w:r w:rsidRPr="00E35D9D">
        <w:rPr>
          <w:rFonts w:ascii="Times New Roman" w:hAnsi="Times New Roman" w:eastAsia="Times New Roman" w:cs="Times New Roman"/>
          <w:color w:val="000000"/>
          <w:sz w:val="27"/>
          <w:szCs w:val="27"/>
          <w:lang w:val="fr-FR" w:eastAsia="de-DE"/>
        </w:rPr>
        <w:t xml:space="preserve">auf </w:t>
      </w:r>
      <w:r w:rsidRPr="00E35D9D">
        <w:rPr>
          <w:rFonts w:ascii="Times New Roman" w:hAnsi="Times New Roman" w:eastAsia="Times New Roman" w:cs="Times New Roman"/>
          <w:b/>
          <w:bCs/>
          <w:color w:val="000000"/>
          <w:sz w:val="27"/>
          <w:szCs w:val="27"/>
          <w:lang w:val="fr-FR" w:eastAsia="de-DE"/>
        </w:rPr>
        <w:t xml:space="preserve">Artikel 101 AEUV </w:t>
      </w:r>
      <w:r w:rsidRPr="00E35D9D">
        <w:rPr>
          <w:rFonts w:ascii="Times New Roman" w:hAnsi="Times New Roman" w:eastAsia="Times New Roman" w:cs="Times New Roman"/>
          <w:color w:val="000000"/>
          <w:sz w:val="27"/>
          <w:szCs w:val="27"/>
          <w:lang w:val="fr-FR" w:eastAsia="de-DE"/>
        </w:rPr>
        <w:t xml:space="preserve">gilt, wenn die Vereinbarung als Ganzes den Handel zwischen EU-Ländern beeinträchtigen kann, das EU-Recht für die gesamte Vereinbarung, einschließlich der Teile der Vereinbarung, die für sich genommen den Handel zwischen EU-Ländern nicht beeinträchtigen. Wenn sich die vertraglichen Beziehungen zwischen denselben Parteien auf mehrere Tätigkeiten erstrecken, müssen diese Tätigkeiten, um Teil derselben Vereinbarung zu sein, unmittelbar miteinander verbunden und Teil derselben umfassenden Handelsvereinbarung sein. Ist dies nicht der Fall, stellt jede Aktivität eine separate Vereinbarung dar.</w:t>
      </w:r>
    </w:p>
    <w:p w:rsidRPr="00E35D9D" w:rsidR="00E35D9D" w:rsidP="00E35D9D" w:rsidRDefault="00E35D9D" w14:paraId="59091309" w14:textId="77777777">
      <w:pPr>
        <w:numPr>
          <w:ilvl w:val="0"/>
          <w:numId w:val="1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Im Falle von </w:t>
      </w:r>
      <w:r w:rsidRPr="00E35D9D">
        <w:rPr>
          <w:rFonts w:ascii="Times New Roman" w:hAnsi="Times New Roman" w:eastAsia="Times New Roman" w:cs="Times New Roman"/>
          <w:b/>
          <w:bCs/>
          <w:color w:val="000000"/>
          <w:sz w:val="27"/>
          <w:szCs w:val="27"/>
          <w:lang w:val="fr-FR" w:eastAsia="de-DE"/>
        </w:rPr>
        <w:t xml:space="preserve">Artikel 102 AEUV </w:t>
      </w:r>
      <w:r w:rsidRPr="00E35D9D">
        <w:rPr>
          <w:rFonts w:ascii="Times New Roman" w:hAnsi="Times New Roman" w:eastAsia="Times New Roman" w:cs="Times New Roman"/>
          <w:color w:val="000000"/>
          <w:sz w:val="27"/>
          <w:szCs w:val="27"/>
          <w:lang w:val="fr-FR" w:eastAsia="de-DE"/>
        </w:rPr>
        <w:t xml:space="preserve">muss der Missbrauch den Handel zwischen EU-Ländern beeinträchtigen. Verhaltensweisen, die Teil einer allgemeinen Strategie des marktbeherrschenden Unternehmens sind, müssen im Hinblick auf ihre Gesamtauswirkungen beurteilt werden. Verfolgt ein marktbeherrschendes Unternehmen mit einer Vielzahl von Praktiken dasselbe Ziel (z. B. Praktiken, die auf die Ausschaltung oder den Ausschluss von Wettbewerbern abzielen), so reicht es aus, dass Artikel 102 auf alle Praktiken Anwendung findet, die Teil dieser Gesamtstrategie sind, wenn mindestens eine von ihnen geeignet ist, den Handel zwischen EU-Ländern zu beeinträchtigen.</w:t>
      </w:r>
    </w:p>
    <w:p w:rsidRPr="00E35D9D" w:rsidR="00E35D9D" w:rsidP="00E35D9D" w:rsidRDefault="00E35D9D" w14:paraId="4C2C34B5" w14:textId="77777777">
      <w:pPr>
        <w:numPr>
          <w:ilvl w:val="0"/>
          <w:numId w:val="1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Richtlinien behandeln drei Hauptaspekte und zielen darauf ab, Klarheit zu schaffen:</w:t>
      </w:r>
    </w:p>
    <w:p w:rsidRPr="00E35D9D" w:rsidR="00E35D9D" w:rsidP="00E35D9D" w:rsidRDefault="00E35D9D" w14:paraId="56EEE7EF" w14:textId="77777777">
      <w:pPr>
        <w:numPr>
          <w:ilvl w:val="1"/>
          <w:numId w:val="13"/>
        </w:numPr>
        <w:spacing w:before="240" w:after="240" w:line="240" w:lineRule="auto"/>
        <w:ind w:start="24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das </w:t>
      </w:r>
      <w:r w:rsidRPr="00E35D9D">
        <w:rPr>
          <w:rFonts w:ascii="Times New Roman" w:hAnsi="Times New Roman" w:eastAsia="Times New Roman" w:cs="Times New Roman"/>
          <w:b/>
          <w:bCs/>
          <w:color w:val="000000"/>
          <w:sz w:val="27"/>
          <w:szCs w:val="27"/>
          <w:lang w:val="fr-FR" w:eastAsia="de-DE"/>
        </w:rPr>
        <w:t xml:space="preserve">Konzept des Handels zwischen EU-Ländern</w:t>
      </w:r>
      <w:r w:rsidRPr="00E35D9D">
        <w:rPr>
          <w:rFonts w:ascii="Times New Roman" w:hAnsi="Times New Roman" w:eastAsia="Times New Roman" w:cs="Times New Roman"/>
          <w:color w:val="000000"/>
          <w:sz w:val="27"/>
          <w:szCs w:val="27"/>
          <w:lang w:val="fr-FR" w:eastAsia="de-DE"/>
        </w:rPr>
        <w:t xml:space="preserve">, das sich nicht auf den traditionellen grenzüberschreitenden Handel mit Waren und Dienstleistungen beschränkt. Sie hat einen breiteren Anwendungsbereich, der alle internationalen wirtschaftlichen Aktivitäten, einschließlich Niederlassungen*, umfasst</w:t>
      </w:r>
      <w:r w:rsidRPr="00E35D9D">
        <w:rPr>
          <w:rFonts w:ascii="Times New Roman" w:hAnsi="Times New Roman" w:eastAsia="Times New Roman" w:cs="Times New Roman"/>
          <w:color w:val="000000"/>
          <w:sz w:val="27"/>
          <w:szCs w:val="27"/>
          <w:lang w:val="fr-FR" w:eastAsia="de-DE"/>
        </w:rPr>
        <w:t xml:space="preserve">. Das Konzept impliziert, dass eine Auswirkung auf grenzüberschreitende wirtschaftliche Aktivitäten vorliegen muss, die zumindest (Teile von) zwei EU-Ländern betreffen;</w:t>
      </w:r>
    </w:p>
    <w:p w:rsidRPr="00E35D9D" w:rsidR="00E35D9D" w:rsidP="00E35D9D" w:rsidRDefault="00E35D9D" w14:paraId="2644900C" w14:textId="77777777">
      <w:pPr>
        <w:numPr>
          <w:ilvl w:val="1"/>
          <w:numId w:val="13"/>
        </w:numPr>
        <w:spacing w:before="240" w:after="240" w:line="240" w:lineRule="auto"/>
        <w:ind w:start="24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Das Konzept der </w:t>
      </w:r>
      <w:r w:rsidRPr="00E35D9D">
        <w:rPr>
          <w:rFonts w:ascii="Times New Roman" w:hAnsi="Times New Roman" w:eastAsia="Times New Roman" w:cs="Times New Roman"/>
          <w:b/>
          <w:bCs/>
          <w:color w:val="000000"/>
          <w:sz w:val="27"/>
          <w:szCs w:val="27"/>
          <w:lang w:val="fr-FR" w:eastAsia="de-DE"/>
        </w:rPr>
        <w:t xml:space="preserve">"möglichen Beeinträchtigung" </w:t>
      </w:r>
      <w:r w:rsidRPr="00E35D9D">
        <w:rPr>
          <w:rFonts w:ascii="Times New Roman" w:hAnsi="Times New Roman" w:eastAsia="Times New Roman" w:cs="Times New Roman"/>
          <w:color w:val="000000"/>
          <w:sz w:val="27"/>
          <w:szCs w:val="27"/>
          <w:lang w:val="fr-FR" w:eastAsia="de-DE"/>
        </w:rPr>
        <w:t xml:space="preserve">hat die Aufgabe, die Art der erforderlichen Auswirkung auf den Handel zwischen EU-Ländern zu definieren. Nach dem vom Gerichtshof entwickelten Standardtest muss auf der Grundlage einer </w:t>
      </w:r>
      <w:r w:rsidRPr="00E35D9D">
        <w:rPr>
          <w:rFonts w:ascii="Times New Roman" w:hAnsi="Times New Roman" w:eastAsia="Times New Roman" w:cs="Times New Roman"/>
          <w:color w:val="000000"/>
          <w:sz w:val="27"/>
          <w:szCs w:val="27"/>
          <w:lang w:val="fr-FR" w:eastAsia="de-DE"/>
        </w:rPr>
        <w:t xml:space="preserve">Reihe objektiver rechtlicher oder tatsächlicher Umstände </w:t>
      </w:r>
      <w:r w:rsidRPr="00E35D9D">
        <w:rPr>
          <w:rFonts w:ascii="Times New Roman" w:hAnsi="Times New Roman" w:eastAsia="Times New Roman" w:cs="Times New Roman"/>
          <w:color w:val="000000"/>
          <w:sz w:val="27"/>
          <w:szCs w:val="27"/>
          <w:lang w:val="fr-FR" w:eastAsia="de-DE"/>
        </w:rPr>
        <w:t xml:space="preserve">mit </w:t>
      </w:r>
      <w:r w:rsidRPr="00E35D9D">
        <w:rPr>
          <w:rFonts w:ascii="Times New Roman" w:hAnsi="Times New Roman" w:eastAsia="Times New Roman" w:cs="Times New Roman"/>
          <w:b/>
          <w:bCs/>
          <w:color w:val="000000"/>
          <w:sz w:val="27"/>
          <w:szCs w:val="27"/>
          <w:lang w:val="fr-FR" w:eastAsia="de-DE"/>
        </w:rPr>
        <w:t xml:space="preserve">hinreichender Wahrscheinlichkeit </w:t>
      </w:r>
      <w:r w:rsidRPr="00E35D9D">
        <w:rPr>
          <w:rFonts w:ascii="Times New Roman" w:hAnsi="Times New Roman" w:eastAsia="Times New Roman" w:cs="Times New Roman"/>
          <w:color w:val="000000"/>
          <w:sz w:val="27"/>
          <w:szCs w:val="27"/>
          <w:lang w:val="fr-FR" w:eastAsia="de-DE"/>
        </w:rPr>
        <w:t xml:space="preserve">vorhersehbar sein, </w:t>
      </w:r>
      <w:r w:rsidRPr="00E35D9D">
        <w:rPr>
          <w:rFonts w:ascii="Times New Roman" w:hAnsi="Times New Roman" w:eastAsia="Times New Roman" w:cs="Times New Roman"/>
          <w:color w:val="000000"/>
          <w:sz w:val="27"/>
          <w:szCs w:val="27"/>
          <w:lang w:val="fr-FR" w:eastAsia="de-DE"/>
        </w:rPr>
        <w:t xml:space="preserve">dass die Vereinbarung oder Verhaltensweise den Warenverkehr zwischen EU-Ländern unmittelbar oder mittelbar, tatsächlich oder potenziell beeinflussen kann. Wenn die Vereinbarung oder Verhaltensweise geeignet ist, die Wettbewerbsstruktur in der EU zu beeinträchtigen, fällt der Fall unter EU-Recht;</w:t>
      </w:r>
    </w:p>
    <w:p w:rsidRPr="00E35D9D" w:rsidR="00E35D9D" w:rsidP="00E35D9D" w:rsidRDefault="00E35D9D" w14:paraId="2F56D621" w14:textId="77777777">
      <w:pPr>
        <w:numPr>
          <w:ilvl w:val="1"/>
          <w:numId w:val="13"/>
        </w:numPr>
        <w:spacing w:before="240" w:after="240" w:line="240" w:lineRule="auto"/>
        <w:ind w:start="24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das Konzept der </w:t>
      </w:r>
      <w:r w:rsidRPr="00E35D9D">
        <w:rPr>
          <w:rFonts w:ascii="Times New Roman" w:hAnsi="Times New Roman" w:eastAsia="Times New Roman" w:cs="Times New Roman"/>
          <w:b/>
          <w:bCs/>
          <w:color w:val="000000"/>
          <w:sz w:val="27"/>
          <w:szCs w:val="27"/>
          <w:lang w:val="fr-FR" w:eastAsia="de-DE"/>
        </w:rPr>
        <w:t xml:space="preserve">"Spürbarkeit"</w:t>
      </w:r>
      <w:r w:rsidRPr="00E35D9D">
        <w:rPr>
          <w:rFonts w:ascii="Times New Roman" w:hAnsi="Times New Roman" w:eastAsia="Times New Roman" w:cs="Times New Roman"/>
          <w:color w:val="000000"/>
          <w:sz w:val="27"/>
          <w:szCs w:val="27"/>
          <w:lang w:val="fr-FR" w:eastAsia="de-DE"/>
        </w:rPr>
        <w:t xml:space="preserve">: Der Test zur Beeinträchtigung des Handels enthält ein </w:t>
      </w:r>
      <w:r w:rsidRPr="00E35D9D">
        <w:rPr>
          <w:rFonts w:ascii="Times New Roman" w:hAnsi="Times New Roman" w:eastAsia="Times New Roman" w:cs="Times New Roman"/>
          <w:b/>
          <w:bCs/>
          <w:color w:val="000000"/>
          <w:sz w:val="27"/>
          <w:szCs w:val="27"/>
          <w:lang w:val="fr-FR" w:eastAsia="de-DE"/>
        </w:rPr>
        <w:t xml:space="preserve">quantitatives Element</w:t>
      </w:r>
      <w:r w:rsidRPr="00E35D9D">
        <w:rPr>
          <w:rFonts w:ascii="Times New Roman" w:hAnsi="Times New Roman" w:eastAsia="Times New Roman" w:cs="Times New Roman"/>
          <w:color w:val="000000"/>
          <w:sz w:val="27"/>
          <w:szCs w:val="27"/>
          <w:lang w:val="fr-FR" w:eastAsia="de-DE"/>
        </w:rPr>
        <w:t xml:space="preserve">, das die </w:t>
      </w:r>
      <w:r w:rsidRPr="00E35D9D">
        <w:rPr>
          <w:rFonts w:ascii="Times New Roman" w:hAnsi="Times New Roman" w:eastAsia="Times New Roman" w:cs="Times New Roman"/>
          <w:color w:val="000000"/>
          <w:sz w:val="27"/>
          <w:szCs w:val="27"/>
          <w:lang w:val="fr-FR" w:eastAsia="de-DE"/>
        </w:rPr>
        <w:lastRenderedPageBreak/>
        <w:t xml:space="preserve">Anwendbarkeit des EU-Rechts auf Vereinbarungen und Verhaltensweisen </w:t>
      </w:r>
      <w:r w:rsidRPr="00E35D9D">
        <w:rPr>
          <w:rFonts w:ascii="Times New Roman" w:hAnsi="Times New Roman" w:eastAsia="Times New Roman" w:cs="Times New Roman"/>
          <w:color w:val="000000"/>
          <w:sz w:val="27"/>
          <w:szCs w:val="27"/>
          <w:lang w:val="fr-FR" w:eastAsia="de-DE"/>
        </w:rPr>
        <w:t xml:space="preserve">beschränkt</w:t>
      </w:r>
      <w:r w:rsidRPr="00E35D9D">
        <w:rPr>
          <w:rFonts w:ascii="Times New Roman" w:hAnsi="Times New Roman" w:eastAsia="Times New Roman" w:cs="Times New Roman"/>
          <w:color w:val="000000"/>
          <w:sz w:val="27"/>
          <w:szCs w:val="27"/>
          <w:lang w:val="fr-FR" w:eastAsia="de-DE"/>
        </w:rPr>
        <w:lastRenderedPageBreak/>
        <w:t xml:space="preserve">, die geeignet sind, Auswirkungen einer bestimmten Größenordnung zu haben. Die Spürbarkeit kann insbesondere anhand der Stellung und Bedeutung der beteiligten Unternehmen auf dem relevanten Produktmarkt beurteilt werden. Diese Beurteilung hängt von den Umständen des jeweiligen Einzelfalls ab, insbesondere von der Art der Vereinbarung oder Verhaltensweise, der Art der betroffenen Produkte und der Marktstellung der beteiligten Unternehmen.</w:t>
      </w:r>
    </w:p>
    <w:p w:rsidRPr="00E35D9D" w:rsidR="00E35D9D" w:rsidP="00E35D9D" w:rsidRDefault="00E35D9D" w14:paraId="31618B8D" w14:textId="77777777">
      <w:pPr>
        <w:numPr>
          <w:ilvl w:val="0"/>
          <w:numId w:val="1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Kommission ist der Auffassung, dass Vereinbarungen </w:t>
      </w:r>
      <w:r w:rsidRPr="00E35D9D">
        <w:rPr>
          <w:rFonts w:ascii="Times New Roman" w:hAnsi="Times New Roman" w:eastAsia="Times New Roman" w:cs="Times New Roman"/>
          <w:color w:val="000000"/>
          <w:sz w:val="27"/>
          <w:szCs w:val="27"/>
          <w:lang w:val="fr-FR" w:eastAsia="de-DE"/>
        </w:rPr>
        <w:t xml:space="preserve">den Handel zwischen EU-Ländern </w:t>
      </w:r>
      <w:r w:rsidRPr="00E35D9D">
        <w:rPr>
          <w:rFonts w:ascii="Times New Roman" w:hAnsi="Times New Roman" w:eastAsia="Times New Roman" w:cs="Times New Roman"/>
          <w:color w:val="000000"/>
          <w:sz w:val="27"/>
          <w:szCs w:val="27"/>
          <w:lang w:val="fr-FR" w:eastAsia="de-DE"/>
        </w:rPr>
        <w:t xml:space="preserve">grundsätzlich </w:t>
      </w:r>
      <w:r w:rsidRPr="00E35D9D">
        <w:rPr>
          <w:rFonts w:ascii="Times New Roman" w:hAnsi="Times New Roman" w:eastAsia="Times New Roman" w:cs="Times New Roman"/>
          <w:b/>
          <w:bCs/>
          <w:color w:val="000000"/>
          <w:sz w:val="27"/>
          <w:szCs w:val="27"/>
          <w:lang w:val="fr-FR" w:eastAsia="de-DE"/>
        </w:rPr>
        <w:t xml:space="preserve">nicht </w:t>
      </w:r>
      <w:r w:rsidRPr="00E35D9D">
        <w:rPr>
          <w:rFonts w:ascii="Times New Roman" w:hAnsi="Times New Roman" w:eastAsia="Times New Roman" w:cs="Times New Roman"/>
          <w:color w:val="000000"/>
          <w:sz w:val="27"/>
          <w:szCs w:val="27"/>
          <w:lang w:val="fr-FR" w:eastAsia="de-DE"/>
        </w:rPr>
        <w:t xml:space="preserve">spürbar beeinträchtigen </w:t>
      </w:r>
      <w:r w:rsidRPr="00E35D9D">
        <w:rPr>
          <w:rFonts w:ascii="Times New Roman" w:hAnsi="Times New Roman" w:eastAsia="Times New Roman" w:cs="Times New Roman"/>
          <w:b/>
          <w:bCs/>
          <w:color w:val="000000"/>
          <w:sz w:val="27"/>
          <w:szCs w:val="27"/>
          <w:lang w:val="fr-FR" w:eastAsia="de-DE"/>
        </w:rPr>
        <w:t xml:space="preserve">können</w:t>
      </w:r>
      <w:r w:rsidRPr="00E35D9D">
        <w:rPr>
          <w:rFonts w:ascii="Times New Roman" w:hAnsi="Times New Roman" w:eastAsia="Times New Roman" w:cs="Times New Roman"/>
          <w:color w:val="000000"/>
          <w:sz w:val="27"/>
          <w:szCs w:val="27"/>
          <w:lang w:val="fr-FR" w:eastAsia="de-DE"/>
        </w:rPr>
        <w:t xml:space="preserve">, wenn zwei Bedingungen gleichzeitig erfüllt sind:</w:t>
      </w:r>
    </w:p>
    <w:p w:rsidRPr="00E35D9D" w:rsidR="00E35D9D" w:rsidP="00E35D9D" w:rsidRDefault="00E35D9D" w14:paraId="063378B8" w14:textId="77777777">
      <w:pPr>
        <w:numPr>
          <w:ilvl w:val="1"/>
          <w:numId w:val="13"/>
        </w:numPr>
        <w:spacing w:before="240" w:after="240" w:line="240" w:lineRule="auto"/>
        <w:ind w:start="24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der </w:t>
      </w:r>
      <w:r w:rsidRPr="00E35D9D">
        <w:rPr>
          <w:rFonts w:ascii="Times New Roman" w:hAnsi="Times New Roman" w:eastAsia="Times New Roman" w:cs="Times New Roman"/>
          <w:b/>
          <w:bCs/>
          <w:color w:val="000000"/>
          <w:sz w:val="27"/>
          <w:szCs w:val="27"/>
          <w:lang w:val="fr-FR" w:eastAsia="de-DE"/>
        </w:rPr>
        <w:t xml:space="preserve">gemeinsame Marktanteil </w:t>
      </w:r>
      <w:r w:rsidRPr="00E35D9D">
        <w:rPr>
          <w:rFonts w:ascii="Times New Roman" w:hAnsi="Times New Roman" w:eastAsia="Times New Roman" w:cs="Times New Roman"/>
          <w:color w:val="000000"/>
          <w:sz w:val="27"/>
          <w:szCs w:val="27"/>
          <w:lang w:val="fr-FR" w:eastAsia="de-DE"/>
        </w:rPr>
        <w:t xml:space="preserve">der </w:t>
      </w:r>
      <w:r w:rsidRPr="00E35D9D">
        <w:rPr>
          <w:rFonts w:ascii="Times New Roman" w:hAnsi="Times New Roman" w:eastAsia="Times New Roman" w:cs="Times New Roman"/>
          <w:color w:val="000000"/>
          <w:sz w:val="27"/>
          <w:szCs w:val="27"/>
          <w:lang w:val="fr-FR" w:eastAsia="de-DE"/>
        </w:rPr>
        <w:t xml:space="preserve">Parteien auf einem relevanten EU-Markt beträgt nicht mehr als 5 %; und</w:t>
      </w:r>
    </w:p>
    <w:p w:rsidRPr="00E35D9D" w:rsidR="00E35D9D" w:rsidP="00E35D9D" w:rsidRDefault="00E35D9D" w14:paraId="7FAACBCF" w14:textId="77777777">
      <w:pPr>
        <w:numPr>
          <w:ilvl w:val="1"/>
          <w:numId w:val="13"/>
        </w:numPr>
        <w:spacing w:before="240" w:after="240" w:line="240" w:lineRule="auto"/>
        <w:ind w:start="24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bei </w:t>
      </w:r>
      <w:r w:rsidRPr="00E35D9D">
        <w:rPr>
          <w:rFonts w:ascii="Times New Roman" w:hAnsi="Times New Roman" w:eastAsia="Times New Roman" w:cs="Times New Roman"/>
          <w:b/>
          <w:bCs/>
          <w:color w:val="000000"/>
          <w:sz w:val="27"/>
          <w:szCs w:val="27"/>
          <w:lang w:val="fr-FR" w:eastAsia="de-DE"/>
        </w:rPr>
        <w:t xml:space="preserve">horizontalen Vereinbarungen </w:t>
      </w:r>
      <w:r w:rsidRPr="00E35D9D">
        <w:rPr>
          <w:rFonts w:ascii="Times New Roman" w:hAnsi="Times New Roman" w:eastAsia="Times New Roman" w:cs="Times New Roman"/>
          <w:color w:val="000000"/>
          <w:sz w:val="27"/>
          <w:szCs w:val="27"/>
          <w:lang w:val="fr-FR" w:eastAsia="de-DE"/>
        </w:rPr>
        <w:t xml:space="preserve">der </w:t>
      </w:r>
      <w:r w:rsidRPr="00E35D9D">
        <w:rPr>
          <w:rFonts w:ascii="Times New Roman" w:hAnsi="Times New Roman" w:eastAsia="Times New Roman" w:cs="Times New Roman"/>
          <w:b/>
          <w:bCs/>
          <w:color w:val="000000"/>
          <w:sz w:val="27"/>
          <w:szCs w:val="27"/>
          <w:lang w:val="fr-FR" w:eastAsia="de-DE"/>
        </w:rPr>
        <w:t xml:space="preserve">durchschnittliche Jahresumsatz der </w:t>
      </w:r>
      <w:r w:rsidRPr="00E35D9D">
        <w:rPr>
          <w:rFonts w:ascii="Times New Roman" w:hAnsi="Times New Roman" w:eastAsia="Times New Roman" w:cs="Times New Roman"/>
          <w:color w:val="000000"/>
          <w:sz w:val="27"/>
          <w:szCs w:val="27"/>
          <w:lang w:val="fr-FR" w:eastAsia="de-DE"/>
        </w:rPr>
        <w:t xml:space="preserve">Unternehmen mit den betreffenden Produkten 40 Mio. EUR nicht überschreitet. Bei </w:t>
      </w:r>
      <w:r w:rsidRPr="00E35D9D">
        <w:rPr>
          <w:rFonts w:ascii="Times New Roman" w:hAnsi="Times New Roman" w:eastAsia="Times New Roman" w:cs="Times New Roman"/>
          <w:b/>
          <w:bCs/>
          <w:color w:val="000000"/>
          <w:sz w:val="27"/>
          <w:szCs w:val="27"/>
          <w:lang w:val="fr-FR" w:eastAsia="de-DE"/>
        </w:rPr>
        <w:t xml:space="preserve">vertikalen </w:t>
      </w:r>
      <w:r w:rsidRPr="00E35D9D">
        <w:rPr>
          <w:rFonts w:ascii="Times New Roman" w:hAnsi="Times New Roman" w:eastAsia="Times New Roman" w:cs="Times New Roman"/>
          <w:color w:val="000000"/>
          <w:sz w:val="27"/>
          <w:szCs w:val="27"/>
          <w:lang w:val="fr-FR" w:eastAsia="de-DE"/>
        </w:rPr>
        <w:t xml:space="preserve">Vereinbarungen </w:t>
      </w:r>
      <w:r w:rsidRPr="00E35D9D">
        <w:rPr>
          <w:rFonts w:ascii="Times New Roman" w:hAnsi="Times New Roman" w:eastAsia="Times New Roman" w:cs="Times New Roman"/>
          <w:color w:val="000000"/>
          <w:sz w:val="27"/>
          <w:szCs w:val="27"/>
          <w:lang w:val="fr-FR" w:eastAsia="de-DE"/>
        </w:rPr>
        <w:t xml:space="preserve">übersteigt </w:t>
      </w:r>
      <w:r w:rsidRPr="00E35D9D">
        <w:rPr>
          <w:rFonts w:ascii="Times New Roman" w:hAnsi="Times New Roman" w:eastAsia="Times New Roman" w:cs="Times New Roman"/>
          <w:color w:val="000000"/>
          <w:sz w:val="27"/>
          <w:szCs w:val="27"/>
          <w:lang w:val="fr-FR" w:eastAsia="de-DE"/>
        </w:rPr>
        <w:t xml:space="preserve">der </w:t>
      </w:r>
      <w:r w:rsidRPr="00E35D9D">
        <w:rPr>
          <w:rFonts w:ascii="Times New Roman" w:hAnsi="Times New Roman" w:eastAsia="Times New Roman" w:cs="Times New Roman"/>
          <w:b/>
          <w:bCs/>
          <w:color w:val="000000"/>
          <w:sz w:val="27"/>
          <w:szCs w:val="27"/>
          <w:lang w:val="fr-FR" w:eastAsia="de-DE"/>
        </w:rPr>
        <w:t xml:space="preserve">Gesamtumsatz des Lieferanten </w:t>
      </w:r>
      <w:r w:rsidRPr="00E35D9D">
        <w:rPr>
          <w:rFonts w:ascii="Times New Roman" w:hAnsi="Times New Roman" w:eastAsia="Times New Roman" w:cs="Times New Roman"/>
          <w:color w:val="000000"/>
          <w:sz w:val="27"/>
          <w:szCs w:val="27"/>
          <w:lang w:val="fr-FR" w:eastAsia="de-DE"/>
        </w:rPr>
        <w:t xml:space="preserve">mit den betreffenden Produkten nicht 40 Mio. EUR.</w:t>
      </w:r>
    </w:p>
    <w:p w:rsidRPr="00E35D9D" w:rsidR="00E35D9D" w:rsidP="00E35D9D" w:rsidRDefault="00E35D9D" w14:paraId="5659C167" w14:textId="77777777">
      <w:pPr>
        <w:numPr>
          <w:ilvl w:val="0"/>
          <w:numId w:val="1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Leitlinien enthalten eine Analyse der verschiedenen Formen von Vereinbarungen und Praktiken, die Aufschluss darüber geben, wie das Konzept der Beeinträchtigung des Handels in der Praxis angewendet werden sollte.</w:t>
      </w:r>
    </w:p>
    <w:p w:rsidRPr="00E35D9D" w:rsidR="00E35D9D" w:rsidP="00E35D9D" w:rsidRDefault="00E35D9D" w14:paraId="4C5D7A56" w14:textId="77777777">
      <w:pPr>
        <w:numPr>
          <w:ilvl w:val="0"/>
          <w:numId w:val="13"/>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Das Kriterium der Beeinträchtigung des Handels ist ein eigenständiges Kriterium des EU-Rechts, das der Rechtsprechung unterliegt. Sie wird in jedem Einzelfall gesondert und getrennt von der Beurteilung der Wettbewerbsbeschränkung beurteilt.</w:t>
      </w:r>
    </w:p>
    <w:p w:rsidRPr="00E35D9D" w:rsidR="00E35D9D" w:rsidP="00E35D9D" w:rsidRDefault="00E35D9D" w14:paraId="392B20FD"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SEIT WANN GELTEN DIESE RICHTLINIEN?</w:t>
      </w:r>
    </w:p>
    <w:p w:rsidRPr="00E35D9D" w:rsidR="00E35D9D" w:rsidP="00E35D9D" w:rsidRDefault="00E35D9D" w14:paraId="469D6B6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Sie haben sich seit dem 27. April 2004 beworben.</w:t>
      </w:r>
    </w:p>
    <w:p w:rsidRPr="00E35D9D" w:rsidR="00E35D9D" w:rsidP="00E35D9D" w:rsidRDefault="00E35D9D" w14:paraId="202DC13C"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t xml:space="preserve">HINTERGRUND</w:t>
      </w:r>
    </w:p>
    <w:p w:rsidRPr="00E35D9D" w:rsidR="00E35D9D" w:rsidP="00E35D9D" w:rsidRDefault="00E35D9D" w14:paraId="165ACF79" w14:textId="77777777">
      <w:pPr>
        <w:spacing w:before="195" w:after="0" w:line="240" w:lineRule="auto"/>
        <w:jc w:val="both"/>
        <w:rPr>
          <w:rFonts w:ascii="Times New Roman" w:hAnsi="Times New Roman" w:eastAsia="Times New Roman" w:cs="Times New Roman"/>
          <w:color w:val="000000"/>
          <w:sz w:val="27"/>
          <w:szCs w:val="27"/>
          <w:lang w:eastAsia="de-DE"/>
        </w:rPr>
      </w:pPr>
      <w:r w:rsidRPr="00E35D9D">
        <w:rPr>
          <w:rFonts w:ascii="Times New Roman" w:hAnsi="Times New Roman" w:eastAsia="Times New Roman" w:cs="Times New Roman"/>
          <w:color w:val="000000"/>
          <w:sz w:val="27"/>
          <w:szCs w:val="27"/>
          <w:lang w:eastAsia="de-DE"/>
        </w:rPr>
        <w:t xml:space="preserve">Siehe </w:t>
      </w:r>
      <w:r w:rsidRPr="00E35D9D">
        <w:rPr>
          <w:rFonts w:ascii="Times New Roman" w:hAnsi="Times New Roman" w:eastAsia="Times New Roman" w:cs="Times New Roman"/>
          <w:color w:val="000000"/>
          <w:sz w:val="27"/>
          <w:szCs w:val="27"/>
          <w:lang w:eastAsia="de-DE"/>
        </w:rPr>
        <w:t xml:space="preserve">auch</w:t>
      </w:r>
      <w:r w:rsidRPr="00E35D9D">
        <w:rPr>
          <w:rFonts w:ascii="Times New Roman" w:hAnsi="Times New Roman" w:eastAsia="Times New Roman" w:cs="Times New Roman"/>
          <w:color w:val="000000"/>
          <w:sz w:val="27"/>
          <w:szCs w:val="27"/>
          <w:lang w:eastAsia="de-DE"/>
        </w:rPr>
        <w:t xml:space="preserve">:</w:t>
      </w:r>
    </w:p>
    <w:p w:rsidRPr="00E35D9D" w:rsidR="00E35D9D" w:rsidP="00E35D9D" w:rsidRDefault="00E52C24" w14:paraId="34D62309" w14:textId="77777777">
      <w:pPr>
        <w:numPr>
          <w:ilvl w:val="0"/>
          <w:numId w:val="14"/>
        </w:numPr>
        <w:spacing w:before="240" w:after="240" w:line="240" w:lineRule="auto"/>
        <w:ind w:start="1200"/>
        <w:rPr>
          <w:rFonts w:ascii="Times New Roman" w:hAnsi="Times New Roman" w:eastAsia="Times New Roman" w:cs="Times New Roman"/>
          <w:color w:val="000000"/>
          <w:sz w:val="27"/>
          <w:szCs w:val="27"/>
          <w:lang w:eastAsia="de-DE"/>
        </w:rPr>
      </w:pPr>
      <w:hyperlink w:history="1" r:id="rId20">
        <w:r w:rsidRPr="00E35D9D" w:rsidR="00E35D9D">
          <w:rPr>
            <w:rFonts w:ascii="Times New Roman" w:hAnsi="Times New Roman" w:eastAsia="Times New Roman" w:cs="Times New Roman"/>
            <w:color w:val="0000FF"/>
            <w:sz w:val="27"/>
            <w:szCs w:val="27"/>
            <w:u w:val="single"/>
            <w:lang w:eastAsia="de-DE"/>
          </w:rPr>
          <w:t xml:space="preserve">Kartellrecht - Überblick </w:t>
        </w:r>
      </w:hyperlink>
      <w:r w:rsidRPr="00E35D9D" w:rsidR="00E35D9D">
        <w:rPr>
          <w:rFonts w:ascii="Times New Roman" w:hAnsi="Times New Roman" w:eastAsia="Times New Roman" w:cs="Times New Roman"/>
          <w:color w:val="000000"/>
          <w:sz w:val="27"/>
          <w:szCs w:val="27"/>
          <w:lang w:eastAsia="de-DE"/>
        </w:rPr>
        <w:t xml:space="preserve">(</w:t>
      </w:r>
      <w:r w:rsidRPr="00E35D9D" w:rsidR="00E35D9D">
        <w:rPr>
          <w:rFonts w:ascii="Times New Roman" w:hAnsi="Times New Roman" w:eastAsia="Times New Roman" w:cs="Times New Roman"/>
          <w:i/>
          <w:iCs/>
          <w:color w:val="000000"/>
          <w:sz w:val="27"/>
          <w:szCs w:val="27"/>
          <w:lang w:eastAsia="de-DE"/>
        </w:rPr>
        <w:t xml:space="preserve">Europäische </w:t>
      </w:r>
      <w:r w:rsidRPr="00E35D9D" w:rsidR="00E35D9D">
        <w:rPr>
          <w:rFonts w:ascii="Times New Roman" w:hAnsi="Times New Roman" w:eastAsia="Times New Roman" w:cs="Times New Roman"/>
          <w:i/>
          <w:iCs/>
          <w:color w:val="000000"/>
          <w:sz w:val="27"/>
          <w:szCs w:val="27"/>
          <w:lang w:eastAsia="de-DE"/>
        </w:rPr>
        <w:t xml:space="preserve">Kommission</w:t>
      </w:r>
      <w:r w:rsidRPr="00E35D9D" w:rsidR="00E35D9D">
        <w:rPr>
          <w:rFonts w:ascii="Times New Roman" w:hAnsi="Times New Roman" w:eastAsia="Times New Roman" w:cs="Times New Roman"/>
          <w:color w:val="000000"/>
          <w:sz w:val="27"/>
          <w:szCs w:val="27"/>
          <w:lang w:eastAsia="de-DE"/>
        </w:rPr>
        <w:t xml:space="preserve">).</w:t>
      </w:r>
    </w:p>
    <w:p w:rsidRPr="00E35D9D" w:rsidR="00E35D9D" w:rsidP="00E35D9D" w:rsidRDefault="00E35D9D" w14:paraId="160ACE17" w14:textId="77777777">
      <w:pPr>
        <w:spacing w:before="390" w:after="195" w:line="240" w:lineRule="auto"/>
        <w:rPr>
          <w:rFonts w:ascii="Times New Roman" w:hAnsi="Times New Roman" w:eastAsia="Times New Roman" w:cs="Times New Roman"/>
          <w:b/>
          <w:bCs/>
          <w:color w:val="444444"/>
          <w:sz w:val="27"/>
          <w:szCs w:val="27"/>
          <w:lang w:eastAsia="de-DE"/>
        </w:rPr>
      </w:pPr>
      <w:r w:rsidRPr="00E35D9D">
        <w:rPr>
          <w:rFonts w:ascii="Times New Roman" w:hAnsi="Times New Roman" w:eastAsia="Times New Roman" w:cs="Times New Roman"/>
          <w:b/>
          <w:bCs/>
          <w:color w:val="444444"/>
          <w:sz w:val="27"/>
          <w:szCs w:val="27"/>
          <w:lang w:eastAsia="de-DE"/>
        </w:rPr>
        <w:t xml:space="preserve">SCHLÜSSELBEGRIFFE</w:t>
      </w:r>
    </w:p>
    <w:p w:rsidRPr="00E35D9D" w:rsidR="00E35D9D" w:rsidP="00E35D9D" w:rsidRDefault="00E35D9D" w14:paraId="3790F636"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lastRenderedPageBreak/>
        <w:t xml:space="preserve">Kartell: </w:t>
      </w:r>
      <w:r w:rsidRPr="00E35D9D">
        <w:rPr>
          <w:rFonts w:ascii="Times New Roman" w:hAnsi="Times New Roman" w:eastAsia="Times New Roman" w:cs="Times New Roman"/>
          <w:color w:val="000000"/>
          <w:sz w:val="27"/>
          <w:szCs w:val="27"/>
          <w:lang w:val="fr-FR" w:eastAsia="de-DE"/>
        </w:rPr>
        <w:t xml:space="preserve">eine Gruppe ähnlicher, aber unabhängiger Unternehmen, die sich zusammenschließen, um Preise festzulegen, die Produktion zu begrenzen oder Märkte oder Kunden aufzuteilen.</w:t>
      </w:r>
    </w:p>
    <w:p w:rsidRPr="00E35D9D" w:rsidR="00E35D9D" w:rsidP="00E35D9D" w:rsidRDefault="00E35D9D" w14:paraId="4F4255C0"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Vertikale Vereinbarungen: </w:t>
      </w:r>
      <w:r w:rsidRPr="00E35D9D">
        <w:rPr>
          <w:rFonts w:ascii="Times New Roman" w:hAnsi="Times New Roman" w:eastAsia="Times New Roman" w:cs="Times New Roman"/>
          <w:color w:val="000000"/>
          <w:sz w:val="27"/>
          <w:szCs w:val="27"/>
          <w:lang w:val="fr-FR" w:eastAsia="de-DE"/>
        </w:rPr>
        <w:t xml:space="preserve">Vereinbarungen zwischen Unternehmen, die auf verschiedenen Stufen der Lieferkette tätig sind, z. B. wenn ein Unternehmen das zweite mit Produktionsmaterial beliefert.</w:t>
      </w:r>
    </w:p>
    <w:p w:rsidRPr="00E35D9D" w:rsidR="00E35D9D" w:rsidP="00E35D9D" w:rsidRDefault="00E35D9D" w14:paraId="3EE08250"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Horizontale Vereinbarungen: </w:t>
      </w:r>
      <w:r w:rsidRPr="00E35D9D">
        <w:rPr>
          <w:rFonts w:ascii="Times New Roman" w:hAnsi="Times New Roman" w:eastAsia="Times New Roman" w:cs="Times New Roman"/>
          <w:color w:val="000000"/>
          <w:sz w:val="27"/>
          <w:szCs w:val="27"/>
          <w:lang w:val="fr-FR" w:eastAsia="de-DE"/>
        </w:rPr>
        <w:t xml:space="preserve">Vereinbarungen zwischen konkurrierenden Unternehmen.</w:t>
      </w:r>
    </w:p>
    <w:p w:rsidRPr="00E35D9D" w:rsidR="00E35D9D" w:rsidP="00E35D9D" w:rsidRDefault="00E35D9D" w14:paraId="45F40F8E" w14:textId="77777777">
      <w:pPr>
        <w:spacing w:after="0" w:line="240" w:lineRule="auto"/>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b/>
          <w:bCs/>
          <w:color w:val="000000"/>
          <w:sz w:val="27"/>
          <w:szCs w:val="27"/>
          <w:lang w:val="fr-FR" w:eastAsia="de-DE"/>
        </w:rPr>
        <w:t xml:space="preserve">Niederlassung: </w:t>
      </w:r>
      <w:r w:rsidRPr="00E35D9D">
        <w:rPr>
          <w:rFonts w:ascii="Times New Roman" w:hAnsi="Times New Roman" w:eastAsia="Times New Roman" w:cs="Times New Roman"/>
          <w:color w:val="000000"/>
          <w:sz w:val="27"/>
          <w:szCs w:val="27"/>
          <w:lang w:val="fr-FR" w:eastAsia="de-DE"/>
        </w:rPr>
        <w:t xml:space="preserve">die Freiheit von Unternehmen (ob Selbstständige, Freiberufler oder juristische Personen, wie z. B. Gesellschaften), die in einem EU-Land rechtmäßig tätig sind, eine wirtschaftliche Tätigkeit in einem anderen EU-Land dauerhaft und kontinuierlich auszuüben.</w:t>
      </w:r>
    </w:p>
    <w:p w:rsidRPr="00E35D9D" w:rsidR="00E35D9D" w:rsidP="00E35D9D" w:rsidRDefault="00E35D9D" w14:paraId="3F0581EB"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HAUPTDOKUMENT</w:t>
      </w:r>
    </w:p>
    <w:p w:rsidRPr="00E35D9D" w:rsidR="00E35D9D" w:rsidP="00E35D9D" w:rsidRDefault="00E52C24" w14:paraId="5155EB36"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"https://eur-lex.europa.eu/legal-content/FR/AUTO/?uri=celex:52004XC0427%2806%29"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Bekanntmachung der Kommission über </w:t>
      </w:r>
      <w:r>
        <w:rPr>
          <w:rFonts w:ascii="Times New Roman" w:hAnsi="Times New Roman" w:eastAsia="Times New Roman" w:cs="Times New Roman"/>
          <w:color w:val="0000FF"/>
          <w:sz w:val="27"/>
          <w:szCs w:val="27"/>
          <w:u w:val="single"/>
          <w:lang w:val="fr-FR" w:eastAsia="de-DE"/>
        </w:rPr>
        <w:fldChar w:fldCharType="end"/>
      </w:r>
      <w:r w:rsidRPr="00E35D9D" w:rsidR="00E35D9D">
        <w:rPr>
          <w:rFonts w:ascii="Times New Roman" w:hAnsi="Times New Roman" w:eastAsia="Times New Roman" w:cs="Times New Roman"/>
          <w:color w:val="000000"/>
          <w:sz w:val="27"/>
          <w:szCs w:val="27"/>
          <w:lang w:val="fr-FR" w:eastAsia="de-DE"/>
        </w:rPr>
        <w:t xml:space="preserve">Leitlinien zum Begriff der Beeinträchtigung des Handels in den Artikeln 81 und 82 EG-Vertrag (ABl. C 101 vom 27.4.2004, S. 81-96)</w:t>
      </w:r>
    </w:p>
    <w:p w:rsidRPr="00E35D9D" w:rsidR="00E35D9D" w:rsidP="00E35D9D" w:rsidRDefault="00E35D9D" w14:paraId="682D6476"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ZUGEHÖRIGE DOKUMENTE</w:t>
      </w:r>
    </w:p>
    <w:p w:rsidRPr="00E35D9D" w:rsidR="00E35D9D" w:rsidP="00E35D9D" w:rsidRDefault="00E35D9D" w14:paraId="3073E7A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Konsolidierte Fassung des Vertrags über die Arbeitsweise der Europäischen Union - Dritter Teil - Die internen Politikbereiche und Tätigkeiten der Union - Titel VII - Gemeinsame Regeln für den Wettbewerb, die Besteuerung und die Rechtsangleichung - Kapitel 1 - Wettbewerbsregeln - Abschnitt 1 - Auf Unternehmen anwendbare Regeln - </w:t>
      </w:r>
      <w:r w:rsidR="00E52C24">
        <w:fldChar w:fldCharType="begin"/>
      </w:r>
      <w:r w:rsidRPr="00E52C24" w:rsidR="00E52C24">
        <w:rPr>
          <w:lang w:val="fr-FR"/>
        </w:rPr>
        <w:instrText xml:space="preserve"> HYPERLINK "http:/</w:instrText>
      </w:r>
      <w:r w:rsidRPr="00E52C24" w:rsidR="00E52C24">
        <w:rPr>
          <w:lang w:val="fr-FR"/>
        </w:rPr>
        <w:instrText xml:space="preserve">/eur-lex.europa.eu/legal-content/FR/TXT/?uri=celex:12016E101"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Artikel 101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(ex-Artikel 81 EGV) (ABl. C 202 vom 7.6.2016, S. 88-89)</w:t>
      </w:r>
    </w:p>
    <w:p w:rsidRPr="00E35D9D" w:rsidR="00E35D9D" w:rsidP="00E35D9D" w:rsidRDefault="00E35D9D" w14:paraId="698A8A8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Konsolidierte Fassung des Vertrags über die Arbeitsweise der Europäischen Union - Dritter Teil - Die internen Politikbereiche und Tätigkeiten der Union - Titel VII - Gemeinsame Regeln für den Wettbewerb, die Besteuerung und die Rechtsangleichung - Kapitel 1 - Wettbewerbsregeln - Abschnitt 1 - Auf Unternehmen anwendbare Regeln - </w:t>
      </w:r>
      <w:r w:rsidR="00E52C24">
        <w:fldChar w:fldCharType="begin"/>
      </w:r>
      <w:r w:rsidRPr="00E52C24" w:rsidR="00E52C24">
        <w:rPr>
          <w:lang w:val="fr-FR"/>
        </w:rPr>
        <w:instrText xml:space="preserve"> HYPERLINK "http://eur-lex.europa.eu/legal</w:instrText>
      </w:r>
      <w:r w:rsidRPr="00E52C24" w:rsidR="00E52C24">
        <w:rPr>
          <w:lang w:val="fr-FR"/>
        </w:rPr>
        <w:instrText xml:space="preserve">-content/FR/TXT/?uri=celex:12016E102"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Artikel 102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(ex-Artikel 82 EGV) (ABl. C 202 vom 7.6.2016, S. 89)</w:t>
      </w:r>
    </w:p>
    <w:p w:rsidRPr="00E35D9D" w:rsidR="00E35D9D" w:rsidP="00E35D9D" w:rsidRDefault="00E35D9D" w14:paraId="02F1DC0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Verordnung (EG) </w:t>
      </w:r>
      <w:r w:rsidRPr="00E35D9D">
        <w:rPr>
          <w:rFonts w:ascii="Times New Roman" w:hAnsi="Times New Roman" w:eastAsia="Times New Roman" w:cs="Times New Roman"/>
          <w:color w:val="000000"/>
          <w:sz w:val="27"/>
          <w:szCs w:val="27"/>
          <w:vertAlign w:val="superscript"/>
          <w:lang w:val="fr-FR" w:eastAsia="de-DE"/>
        </w:rPr>
        <w:t xml:space="preserve">Nr. </w:t>
      </w:r>
      <w:r w:rsidR="00E52C24">
        <w:fldChar w:fldCharType="begin"/>
      </w:r>
      <w:r w:rsidRPr="00E52C24" w:rsidR="00E52C24">
        <w:rPr>
          <w:lang w:val="fr-FR"/>
        </w:rPr>
        <w:instrText xml:space="preserve"> HYPERLINK "http://eur-lex.europa.eu/legal-content/FR/TXT/?uri=celex:32003R0001"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1/2003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des Rates vom 16. Dezember 2002 zur Durchführung der in den Artikeln 81 und 82 des Vertrags niedergelegten Wettbewerbsregeln (ABl. L 1 vom 4.1.2003, S. 1-25)</w:t>
      </w:r>
    </w:p>
    <w:p w:rsidRPr="00E35D9D" w:rsidR="00E35D9D" w:rsidP="00E35D9D" w:rsidRDefault="00E35D9D" w14:paraId="1392B0B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aufeinanderfolgenden Änderungen der Verordnung (EG) </w:t>
      </w:r>
      <w:r w:rsidRPr="00E35D9D">
        <w:rPr>
          <w:rFonts w:ascii="Times New Roman" w:hAnsi="Times New Roman" w:eastAsia="Times New Roman" w:cs="Times New Roman"/>
          <w:color w:val="000000"/>
          <w:sz w:val="27"/>
          <w:szCs w:val="27"/>
          <w:vertAlign w:val="superscript"/>
          <w:lang w:val="fr-FR" w:eastAsia="de-DE"/>
        </w:rPr>
        <w:t xml:space="preserve">Nr. </w:t>
      </w:r>
      <w:r w:rsidRPr="00E35D9D">
        <w:rPr>
          <w:rFonts w:ascii="Times New Roman" w:hAnsi="Times New Roman" w:eastAsia="Times New Roman" w:cs="Times New Roman"/>
          <w:color w:val="000000"/>
          <w:sz w:val="27"/>
          <w:szCs w:val="27"/>
          <w:lang w:val="fr-FR" w:eastAsia="de-DE"/>
        </w:rPr>
        <w:t xml:space="preserve">1/2003 wurden in das Originaldokument eingearbeitet. Diese </w:t>
      </w:r>
      <w:r w:rsidR="00E52C24">
        <w:fldChar w:fldCharType="begin"/>
      </w:r>
      <w:r w:rsidRPr="00E52C24" w:rsidR="00E52C24">
        <w:rPr>
          <w:lang w:val="fr-FR"/>
        </w:rPr>
        <w:instrText xml:space="preserve"> HYPERLINK "https://eur-lex.europa.eu/lega</w:instrText>
      </w:r>
      <w:r w:rsidRPr="00E52C24" w:rsidR="00E52C24">
        <w:rPr>
          <w:lang w:val="fr-FR"/>
        </w:rPr>
        <w:instrText xml:space="preserve">l-content/FR/AUTO/?uri=celex:02003R0001-20090701"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konsolidierte Version hat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nur dokumentarischen Wert.</w:t>
      </w:r>
    </w:p>
    <w:p w:rsidRPr="00E35D9D" w:rsidR="00E35D9D" w:rsidP="00E35D9D" w:rsidRDefault="00E35D9D" w14:paraId="7D932557"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letzte Änderung 29.05.2020</w:t>
      </w:r>
    </w:p>
    <w:p w:rsidRPr="00E35D9D" w:rsidR="00E35D9D" w:rsidP="00E35D9D" w:rsidRDefault="00E35D9D" w14:paraId="1DEF2D8B"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E35D9D">
        <w:rPr>
          <w:rFonts w:ascii="Times New Roman" w:hAnsi="Times New Roman" w:eastAsia="Times New Roman" w:cs="Times New Roman"/>
          <w:b/>
          <w:bCs/>
          <w:color w:val="444444"/>
          <w:sz w:val="42"/>
          <w:szCs w:val="42"/>
          <w:lang w:val="fr-FR" w:eastAsia="de-DE"/>
        </w:rPr>
        <w:t xml:space="preserve">Stärkung der Verbraucherrechte und Förderung des Vertrauens</w:t>
      </w:r>
    </w:p>
    <w:p w:rsidRPr="00E35D9D" w:rsidR="00E35D9D" w:rsidP="00E35D9D" w:rsidRDefault="00E35D9D" w14:paraId="7BB2F18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lastRenderedPageBreak/>
        <w:t xml:space="preserve">Das Vertrauen der Verbraucher ist ein wesentliches Element für eine starke und wettbewerbsfähige europäische Wirtschaft.</w:t>
      </w:r>
    </w:p>
    <w:p w:rsidRPr="00E35D9D" w:rsidR="00E35D9D" w:rsidP="00E35D9D" w:rsidRDefault="00E35D9D" w14:paraId="1AE8C58D"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ACT</w:t>
      </w:r>
    </w:p>
    <w:p w:rsidRPr="00E35D9D" w:rsidR="00E35D9D" w:rsidP="00E35D9D" w:rsidRDefault="00E35D9D" w14:paraId="6EEF6F4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Mitteilung der Kommission an das Europäische Parlament, den Rat, den Europäischen Wirtschafts- und Sozialausschuss und den Ausschuss der Regionen: Eine europäische Verbraucheragenda - Impulse für Vertrauen und Wachstum [</w:t>
      </w:r>
      <w:r w:rsidR="00E52C24">
        <w:fldChar w:fldCharType="begin"/>
      </w:r>
      <w:r w:rsidRPr="00E52C24" w:rsidR="00E52C24">
        <w:rPr>
          <w:lang w:val="fr-FR"/>
        </w:rPr>
        <w:instrText xml:space="preserve"> HYPERLINK "https://eur-lex.europa.eu/legal-content/FR/AUTO/?uri=celex:52012DC0225"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KOM(2012) 225 endgültig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vom 22.5.2014].</w:t>
      </w:r>
    </w:p>
    <w:p w:rsidRPr="00E35D9D" w:rsidR="00E35D9D" w:rsidP="00E35D9D" w:rsidRDefault="00E35D9D" w14:paraId="728D4525"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SYNTHESE</w:t>
      </w:r>
    </w:p>
    <w:p w:rsidRPr="00E35D9D" w:rsidR="00E35D9D" w:rsidP="00E35D9D" w:rsidRDefault="00E35D9D" w14:paraId="30A27F9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Im Jahr 2012 legte die Europäische Kommission eine Mitteilung zur Verabschiedung einer europäischen Verbraucheragenda vor, um Vertrauen und Wachstum zu fördern, indem die Verbraucher in den Mittelpunkt des Binnenmarktes gestellt werden.</w:t>
      </w:r>
    </w:p>
    <w:p w:rsidRPr="00E35D9D" w:rsidR="00E35D9D" w:rsidP="00E35D9D" w:rsidRDefault="00E35D9D" w14:paraId="6504E9D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Zwei Jahre später veröffentlichte die Kommission einen Bericht über die zwischen Januar 2012 und Dezember 2013 durchgeführte Verbraucherpolitik, um die seit 2012 ergriffenen Initiativen zur Stärkung des Vertrauens zu bewerten, insbesondere zur Steigerung des Online- und grenzüberschreitenden Einkaufs.</w:t>
      </w:r>
    </w:p>
    <w:p w:rsidRPr="00E35D9D" w:rsidR="00E35D9D" w:rsidP="00E35D9D" w:rsidRDefault="00E35D9D" w14:paraId="088CBDB9"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WAS IST DER ZWECK DER KOMMUNIKATION?</w:t>
      </w:r>
    </w:p>
    <w:p w:rsidRPr="00E35D9D" w:rsidR="00E35D9D" w:rsidP="00E35D9D" w:rsidRDefault="00E35D9D" w14:paraId="1A570E0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Im Jahr 2012 hat die Kommission ihre strategische Vision für die Verbraucherpolitik der kommenden Jahre dargelegt. Darin werden 61 Maßnahmen zur Sicherung und Stärkung des Verbrauchervertrauens in einem sich schnell wandelnden Handelssektor genannt. Die Maßnahmen konzentrieren sich auf die Bereiche Verbrauchersicherheit, Zugang zu Informationen, </w:t>
      </w:r>
      <w:r w:rsidR="00E52C24">
        <w:fldChar w:fldCharType="begin"/>
      </w:r>
      <w:r w:rsidRPr="00E52C24" w:rsidR="00E52C24">
        <w:rPr>
          <w:lang w:val="fr-FR"/>
        </w:rPr>
        <w:instrText xml:space="preserve"> HYPERLINK "https://eur-lex.europa.eu/legal-content/FR/AUTO/?uri=uriserv:090402_1"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Rechtsschutz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und </w:t>
      </w:r>
      <w:r w:rsidR="00E52C24">
        <w:fldChar w:fldCharType="begin"/>
      </w:r>
      <w:r w:rsidRPr="00E52C24" w:rsidR="00E52C24">
        <w:rPr>
          <w:lang w:val="fr-FR"/>
        </w:rPr>
        <w:instrText xml:space="preserve"> HYPERLINK "https://eur-lex.europa.eu/legal-content/FR/AUTO/?uri=uriserv:l32047"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Durchsetzung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und sollen sicherstellen, dass die Verbraucherrechte mit den sich schnell verändernden Technologien Schritt halten.</w:t>
      </w:r>
    </w:p>
    <w:p w:rsidRPr="00E35D9D" w:rsidR="00E35D9D" w:rsidP="00E35D9D" w:rsidRDefault="00E35D9D" w14:paraId="18C27971"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WAS SIND DIE ERGEBNISSE?</w:t>
      </w:r>
    </w:p>
    <w:p w:rsidRPr="00E35D9D" w:rsidR="00E35D9D" w:rsidP="00E35D9D" w:rsidRDefault="00E35D9D" w14:paraId="77B9956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Ein 2014 veröffentlichter Bericht der Kommission kam zu dem Schluss, dass 50 der im Rahmen der Europäischen Verbraucheragenda ermittelten Maßnahmen bis Dezember 2013 umgesetzt worden waren. Damit verbleiben 11 zu implementierende.</w:t>
      </w:r>
    </w:p>
    <w:p w:rsidRPr="00E35D9D" w:rsidR="00E35D9D" w:rsidP="00E35D9D" w:rsidRDefault="00E35D9D" w14:paraId="25A66B5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Der Bericht 2014 zeigt, dass:</w:t>
      </w:r>
    </w:p>
    <w:p w:rsidRPr="00E35D9D" w:rsidR="00E35D9D" w:rsidP="00E35D9D" w:rsidRDefault="00E35D9D" w14:paraId="7C709C14" w14:textId="77777777">
      <w:pPr>
        <w:numPr>
          <w:ilvl w:val="0"/>
          <w:numId w:val="1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Zur Förderung der </w:t>
      </w:r>
      <w:r w:rsidRPr="00E35D9D">
        <w:rPr>
          <w:rFonts w:ascii="Times New Roman" w:hAnsi="Times New Roman" w:eastAsia="Times New Roman" w:cs="Times New Roman"/>
          <w:b/>
          <w:bCs/>
          <w:color w:val="000000"/>
          <w:sz w:val="27"/>
          <w:szCs w:val="27"/>
          <w:lang w:val="fr-FR" w:eastAsia="de-DE"/>
        </w:rPr>
        <w:t xml:space="preserve">Verbrauchersicherheit </w:t>
      </w:r>
      <w:r w:rsidRPr="00E35D9D">
        <w:rPr>
          <w:rFonts w:ascii="Times New Roman" w:hAnsi="Times New Roman" w:eastAsia="Times New Roman" w:cs="Times New Roman"/>
          <w:color w:val="000000"/>
          <w:sz w:val="27"/>
          <w:szCs w:val="27"/>
          <w:lang w:val="fr-FR" w:eastAsia="de-DE"/>
        </w:rPr>
        <w:t xml:space="preserve">hat die Kommission mehrere Vorschläge zur allgemeinen Produktsicherheit und zur Marktüberwachung angenommen. Andere, spezifischere Initiativen betreffen Beherbergungsbetriebe, medizinische Geräte, Kosmetika sowie die Gesundheit von Tieren und Pflanzen;</w:t>
      </w:r>
    </w:p>
    <w:p w:rsidRPr="00E35D9D" w:rsidR="00E35D9D" w:rsidP="00E35D9D" w:rsidRDefault="00E35D9D" w14:paraId="0720A34E" w14:textId="77777777">
      <w:pPr>
        <w:numPr>
          <w:ilvl w:val="0"/>
          <w:numId w:val="1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Zur </w:t>
      </w:r>
      <w:r w:rsidRPr="00E35D9D">
        <w:rPr>
          <w:rFonts w:ascii="Times New Roman" w:hAnsi="Times New Roman" w:eastAsia="Times New Roman" w:cs="Times New Roman"/>
          <w:b/>
          <w:bCs/>
          <w:color w:val="000000"/>
          <w:sz w:val="27"/>
          <w:szCs w:val="27"/>
          <w:lang w:val="fr-FR" w:eastAsia="de-DE"/>
        </w:rPr>
        <w:t xml:space="preserve">Verbesserung der Kenntnisse über Verbraucherrechte </w:t>
      </w:r>
      <w:r w:rsidRPr="00E35D9D">
        <w:rPr>
          <w:rFonts w:ascii="Times New Roman" w:hAnsi="Times New Roman" w:eastAsia="Times New Roman" w:cs="Times New Roman"/>
          <w:color w:val="000000"/>
          <w:sz w:val="27"/>
          <w:szCs w:val="27"/>
          <w:lang w:val="fr-FR" w:eastAsia="de-DE"/>
        </w:rPr>
        <w:t xml:space="preserve">hat die Kommission gezielte Informationen zum </w:t>
      </w:r>
      <w:r w:rsidRPr="00E35D9D">
        <w:rPr>
          <w:rFonts w:ascii="Times New Roman" w:hAnsi="Times New Roman" w:eastAsia="Times New Roman" w:cs="Times New Roman"/>
          <w:color w:val="000000"/>
          <w:sz w:val="27"/>
          <w:szCs w:val="27"/>
          <w:lang w:val="fr-FR" w:eastAsia="de-DE"/>
        </w:rPr>
        <w:lastRenderedPageBreak/>
        <w:t xml:space="preserve">Verbraucherschutz </w:t>
      </w:r>
      <w:r w:rsidRPr="00E35D9D">
        <w:rPr>
          <w:rFonts w:ascii="Times New Roman" w:hAnsi="Times New Roman" w:eastAsia="Times New Roman" w:cs="Times New Roman"/>
          <w:color w:val="000000"/>
          <w:sz w:val="27"/>
          <w:szCs w:val="27"/>
          <w:lang w:val="fr-FR" w:eastAsia="de-DE"/>
        </w:rPr>
        <w:t xml:space="preserve">veröffentlicht </w:t>
      </w:r>
      <w:r w:rsidRPr="00E35D9D">
        <w:rPr>
          <w:rFonts w:ascii="Times New Roman" w:hAnsi="Times New Roman" w:eastAsia="Times New Roman" w:cs="Times New Roman"/>
          <w:color w:val="000000"/>
          <w:sz w:val="27"/>
          <w:szCs w:val="27"/>
          <w:lang w:val="fr-FR" w:eastAsia="de-DE"/>
        </w:rPr>
        <w:lastRenderedPageBreak/>
        <w:t xml:space="preserve">und benutzerfreundliche Websites und Datenbanken eingerichtet. Sie hat einen Dialog mit den wichtigsten Interessengruppen, wie Verbraucherverbänden, Industrie und Regulierungsbehörden, zu den beiden Schlüsselthemen Umweltangaben und Online-Vergleichskauf geführt;</w:t>
      </w:r>
    </w:p>
    <w:p w:rsidRPr="00E35D9D" w:rsidR="00E35D9D" w:rsidP="00E35D9D" w:rsidRDefault="00E35D9D" w14:paraId="0A259A84" w14:textId="77777777">
      <w:pPr>
        <w:numPr>
          <w:ilvl w:val="0"/>
          <w:numId w:val="1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Was die </w:t>
      </w:r>
      <w:r w:rsidRPr="00E35D9D">
        <w:rPr>
          <w:rFonts w:ascii="Times New Roman" w:hAnsi="Times New Roman" w:eastAsia="Times New Roman" w:cs="Times New Roman"/>
          <w:color w:val="000000"/>
          <w:sz w:val="27"/>
          <w:szCs w:val="27"/>
          <w:lang w:val="fr-FR" w:eastAsia="de-DE"/>
        </w:rPr>
        <w:t xml:space="preserve">Stärkung der </w:t>
      </w:r>
      <w:r w:rsidRPr="00E35D9D">
        <w:rPr>
          <w:rFonts w:ascii="Times New Roman" w:hAnsi="Times New Roman" w:eastAsia="Times New Roman" w:cs="Times New Roman"/>
          <w:b/>
          <w:bCs/>
          <w:color w:val="000000"/>
          <w:sz w:val="27"/>
          <w:szCs w:val="27"/>
          <w:lang w:val="fr-FR" w:eastAsia="de-DE"/>
        </w:rPr>
        <w:t xml:space="preserve">Durchsetzung von Verbraucherschutzvorschriften betrifft</w:t>
      </w:r>
      <w:r w:rsidRPr="00E35D9D">
        <w:rPr>
          <w:rFonts w:ascii="Times New Roman" w:hAnsi="Times New Roman" w:eastAsia="Times New Roman" w:cs="Times New Roman"/>
          <w:color w:val="000000"/>
          <w:sz w:val="27"/>
          <w:szCs w:val="27"/>
          <w:lang w:val="fr-FR" w:eastAsia="de-DE"/>
        </w:rPr>
        <w:t xml:space="preserve">, so wurden wichtige Vorschläge zur </w:t>
      </w:r>
      <w:r w:rsidR="00E52C24">
        <w:fldChar w:fldCharType="begin"/>
      </w:r>
      <w:r w:rsidRPr="00E52C24" w:rsidR="00E52C24">
        <w:rPr>
          <w:lang w:val="fr-FR"/>
        </w:rPr>
        <w:instrText xml:space="preserve"> HYPERLINK "http</w:instrText>
      </w:r>
      <w:r w:rsidRPr="00E52C24" w:rsidR="00E52C24">
        <w:rPr>
          <w:lang w:val="fr-FR"/>
        </w:rPr>
        <w:instrText xml:space="preserve">s://eur-lex.europa.eu/legal-content/FR/AUTO/?uri=uriserv:0904_3"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alternativen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und </w:t>
      </w:r>
      <w:r w:rsidR="00E52C24">
        <w:fldChar w:fldCharType="begin"/>
      </w:r>
      <w:r w:rsidRPr="00E52C24" w:rsidR="00E52C24">
        <w:rPr>
          <w:lang w:val="fr-FR"/>
        </w:rPr>
        <w:instrText xml:space="preserve"> HYPERLINK "https://eur-lex.europa.eu/legal-content/FR/AUTO/?uri=uriserv:0904_2"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Online-Streitbeilegung</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 und zum kollektiven Rechtsschutz angenommen</w:t>
      </w:r>
      <w:r w:rsidRPr="00E35D9D">
        <w:rPr>
          <w:rFonts w:ascii="Times New Roman" w:hAnsi="Times New Roman" w:eastAsia="Times New Roman" w:cs="Times New Roman"/>
          <w:color w:val="000000"/>
          <w:sz w:val="27"/>
          <w:szCs w:val="27"/>
          <w:lang w:val="fr-FR" w:eastAsia="de-DE"/>
        </w:rPr>
        <w:t xml:space="preserve">;</w:t>
      </w:r>
    </w:p>
    <w:p w:rsidRPr="00E35D9D" w:rsidR="00E35D9D" w:rsidP="00E35D9D" w:rsidRDefault="00E35D9D" w14:paraId="5FA56FC0" w14:textId="77777777">
      <w:pPr>
        <w:numPr>
          <w:ilvl w:val="0"/>
          <w:numId w:val="15"/>
        </w:numPr>
        <w:spacing w:before="240" w:after="240" w:line="240" w:lineRule="auto"/>
        <w:ind w:start="1200"/>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Was die Berücksichtigung der </w:t>
      </w:r>
      <w:r w:rsidRPr="00E35D9D">
        <w:rPr>
          <w:rFonts w:ascii="Times New Roman" w:hAnsi="Times New Roman" w:eastAsia="Times New Roman" w:cs="Times New Roman"/>
          <w:b/>
          <w:bCs/>
          <w:color w:val="000000"/>
          <w:sz w:val="27"/>
          <w:szCs w:val="27"/>
          <w:lang w:val="fr-FR" w:eastAsia="de-DE"/>
        </w:rPr>
        <w:t xml:space="preserve">Verbraucherinteressen in wichtigen Politikbereichen betrifft</w:t>
      </w:r>
      <w:r w:rsidRPr="00E35D9D">
        <w:rPr>
          <w:rFonts w:ascii="Times New Roman" w:hAnsi="Times New Roman" w:eastAsia="Times New Roman" w:cs="Times New Roman"/>
          <w:color w:val="000000"/>
          <w:sz w:val="27"/>
          <w:szCs w:val="27"/>
          <w:lang w:val="fr-FR" w:eastAsia="de-DE"/>
        </w:rPr>
        <w:t xml:space="preserve">, so hat die Kommission Finanzdienstleistungen, digitale Märkte, Energie, Verkehr, Lebensmittel und nachhaltigen Konsum als vorrangig eingestuft.</w:t>
      </w:r>
    </w:p>
    <w:p w:rsidRPr="00E35D9D" w:rsidR="00E35D9D" w:rsidP="00E35D9D" w:rsidRDefault="00E35D9D" w14:paraId="68BD029F"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HINTERGRUND</w:t>
      </w:r>
    </w:p>
    <w:p w:rsidRPr="00E35D9D" w:rsidR="00E35D9D" w:rsidP="00E35D9D" w:rsidRDefault="00E35D9D" w14:paraId="361A80D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Die Konsumausgaben machen etwas mehr als 50% des Bruttoinlandsprodukts der EU aus. Damit hat jeder einen großen kollektiven Einfluss auf die Gesundheit der europäischen Wirtschaft. Die Gewährleistung des Vertrauens und der Sicherheit der Verbraucher ist daher ein Grundpfeiler des EU-Binnenmarktes.</w:t>
      </w:r>
    </w:p>
    <w:p w:rsidRPr="00E35D9D" w:rsidR="00E35D9D" w:rsidP="00E35D9D" w:rsidRDefault="00E35D9D" w14:paraId="31CE050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Weitere Informationen finden Sie auf der Website der </w:t>
      </w:r>
      <w:r w:rsidR="00E52C24">
        <w:fldChar w:fldCharType="begin"/>
      </w:r>
      <w:r w:rsidRPr="00E52C24" w:rsidR="00E52C24">
        <w:rPr>
          <w:lang w:val="fr-FR"/>
        </w:rPr>
        <w:instrText xml:space="preserve"> HYPERLINK "http://ec.europa.eu/consumers/eu_consumer_policy/our-strategy/index_en.htm"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Generaldirektion Justiz und Verbraucher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der Europäischen Kommission.</w:t>
      </w:r>
    </w:p>
    <w:p w:rsidRPr="00E35D9D" w:rsidR="00E35D9D" w:rsidP="00E35D9D" w:rsidRDefault="00E35D9D" w14:paraId="47A3FBF1"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E35D9D">
        <w:rPr>
          <w:rFonts w:ascii="Times New Roman" w:hAnsi="Times New Roman" w:eastAsia="Times New Roman" w:cs="Times New Roman"/>
          <w:b/>
          <w:bCs/>
          <w:color w:val="444444"/>
          <w:sz w:val="27"/>
          <w:szCs w:val="27"/>
          <w:lang w:val="fr-FR" w:eastAsia="de-DE"/>
        </w:rPr>
        <w:t xml:space="preserve">VERBUNDENE TATSACHEN</w:t>
      </w:r>
    </w:p>
    <w:p w:rsidRPr="00E35D9D" w:rsidR="00E35D9D" w:rsidP="00E35D9D" w:rsidRDefault="00E35D9D" w14:paraId="790525F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35D9D">
        <w:rPr>
          <w:rFonts w:ascii="Times New Roman" w:hAnsi="Times New Roman" w:eastAsia="Times New Roman" w:cs="Times New Roman"/>
          <w:color w:val="000000"/>
          <w:sz w:val="27"/>
          <w:szCs w:val="27"/>
          <w:lang w:val="fr-FR" w:eastAsia="de-DE"/>
        </w:rPr>
        <w:t xml:space="preserve">Arbeitsdokument der Kommissionsdienststellen: Bericht über die Verbraucherpolitik (Juli 2010-Dezember 2011), Begleitdokument zur Mitteilung der Kommission an das Europäische Parlament, den Rat, den Europäischen Wirtschafts- und Sozialausschuss und den Ausschuss der Regionen: Eine europäische Verbraucheragenda - Impulse für Vertrauen und Wachstum [</w:t>
      </w:r>
      <w:r w:rsidR="00E52C24">
        <w:fldChar w:fldCharType="begin"/>
      </w:r>
      <w:r w:rsidRPr="00E52C24" w:rsidR="00E52C24">
        <w:rPr>
          <w:lang w:val="fr-FR"/>
        </w:rPr>
        <w:instrText xml:space="preserve"> HYPERLINK "https://eur-lex.europa.eu/legal-content/FR/AUTO/?uri=celex:52012SC0132" </w:instrText>
      </w:r>
      <w:r w:rsidR="00E52C24">
        <w:fldChar w:fldCharType="separate"/>
      </w:r>
      <w:r w:rsidRPr="00E35D9D">
        <w:rPr>
          <w:rFonts w:ascii="Times New Roman" w:hAnsi="Times New Roman" w:eastAsia="Times New Roman" w:cs="Times New Roman"/>
          <w:color w:val="0000FF"/>
          <w:sz w:val="27"/>
          <w:szCs w:val="27"/>
          <w:u w:val="single"/>
          <w:lang w:val="fr-FR" w:eastAsia="de-DE"/>
        </w:rPr>
        <w:t xml:space="preserve">SWD(2012) 132 endgültig </w:t>
      </w:r>
      <w:r w:rsidR="00E52C24">
        <w:rPr>
          <w:rFonts w:ascii="Times New Roman" w:hAnsi="Times New Roman" w:eastAsia="Times New Roman" w:cs="Times New Roman"/>
          <w:color w:val="0000FF"/>
          <w:sz w:val="27"/>
          <w:szCs w:val="27"/>
          <w:u w:val="single"/>
          <w:lang w:val="fr-FR" w:eastAsia="de-DE"/>
        </w:rPr>
        <w:fldChar w:fldCharType="end"/>
      </w:r>
      <w:r w:rsidRPr="00E35D9D">
        <w:rPr>
          <w:rFonts w:ascii="Times New Roman" w:hAnsi="Times New Roman" w:eastAsia="Times New Roman" w:cs="Times New Roman"/>
          <w:color w:val="000000"/>
          <w:sz w:val="27"/>
          <w:szCs w:val="27"/>
          <w:lang w:val="fr-FR" w:eastAsia="de-DE"/>
        </w:rPr>
        <w:t xml:space="preserve">vom 22.5.2012].</w:t>
      </w:r>
    </w:p>
    <w:p w:rsidRPr="00E35D9D" w:rsidR="00E35D9D" w:rsidP="00E35D9D" w:rsidRDefault="00E52C24" w14:paraId="558D5CC6"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"http://ec.europa.eu/consumers/strategy-programme/policy-strategy/documents/consumer_policy_report_2014_en.pdf" </w:instrText>
      </w:r>
      <w:r>
        <w:fldChar w:fldCharType="separate"/>
      </w:r>
      <w:r w:rsidRPr="00E35D9D" w:rsidR="00E35D9D">
        <w:rPr>
          <w:rFonts w:ascii="Times New Roman" w:hAnsi="Times New Roman" w:eastAsia="Times New Roman" w:cs="Times New Roman"/>
          <w:color w:val="0000FF"/>
          <w:sz w:val="27"/>
          <w:szCs w:val="27"/>
          <w:u w:val="single"/>
          <w:lang w:val="fr-FR" w:eastAsia="de-DE"/>
        </w:rPr>
        <w:t xml:space="preserve">Verbraucherpolitischer Bericht der </w:t>
      </w:r>
      <w:r>
        <w:rPr>
          <w:rFonts w:ascii="Times New Roman" w:hAnsi="Times New Roman" w:eastAsia="Times New Roman" w:cs="Times New Roman"/>
          <w:color w:val="0000FF"/>
          <w:sz w:val="27"/>
          <w:szCs w:val="27"/>
          <w:u w:val="single"/>
          <w:lang w:val="fr-FR" w:eastAsia="de-DE"/>
        </w:rPr>
        <w:fldChar w:fldCharType="end"/>
      </w:r>
      <w:r w:rsidRPr="00E35D9D" w:rsidR="00E35D9D">
        <w:rPr>
          <w:rFonts w:ascii="Times New Roman" w:hAnsi="Times New Roman" w:eastAsia="Times New Roman" w:cs="Times New Roman"/>
          <w:color w:val="000000"/>
          <w:sz w:val="27"/>
          <w:szCs w:val="27"/>
          <w:lang w:val="fr-FR" w:eastAsia="de-DE"/>
        </w:rPr>
        <w:t xml:space="preserve">Europäischen Kommission von Januar 2012 bis Dezember 2013.</w:t>
      </w:r>
    </w:p>
    <w:p w:rsidRPr="001D488E" w:rsidR="00E35D9D" w:rsidP="00E35D9D" w:rsidRDefault="00E35D9D" w14:paraId="2B2D0A0C"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letzte Änderung 05.01.2015</w:t>
      </w:r>
    </w:p>
    <w:p w:rsidRPr="001D488E" w:rsidR="001D488E" w:rsidP="001D488E" w:rsidRDefault="001D488E" w14:paraId="22369E9A"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1D488E">
        <w:rPr>
          <w:rFonts w:ascii="Times New Roman" w:hAnsi="Times New Roman" w:eastAsia="Times New Roman" w:cs="Times New Roman"/>
          <w:b/>
          <w:bCs/>
          <w:color w:val="444444"/>
          <w:sz w:val="42"/>
          <w:szCs w:val="42"/>
          <w:lang w:val="fr-FR" w:eastAsia="de-DE"/>
        </w:rPr>
        <w:t xml:space="preserve">Internationale </w:t>
      </w:r>
      <w:r w:rsidRPr="001D488E">
        <w:rPr>
          <w:rFonts w:ascii="Times New Roman" w:hAnsi="Times New Roman" w:eastAsia="Times New Roman" w:cs="Times New Roman"/>
          <w:b/>
          <w:bCs/>
          <w:color w:val="444444"/>
          <w:sz w:val="42"/>
          <w:szCs w:val="42"/>
          <w:lang w:val="fr-FR" w:eastAsia="de-DE"/>
        </w:rPr>
        <w:t xml:space="preserve">Kulturbeziehungen </w:t>
      </w:r>
      <w:r w:rsidRPr="001D488E">
        <w:rPr>
          <w:rFonts w:ascii="Times New Roman" w:hAnsi="Times New Roman" w:eastAsia="Times New Roman" w:cs="Times New Roman"/>
          <w:b/>
          <w:bCs/>
          <w:color w:val="444444"/>
          <w:sz w:val="42"/>
          <w:szCs w:val="42"/>
          <w:lang w:val="fr-FR" w:eastAsia="de-DE"/>
        </w:rPr>
        <w:t xml:space="preserve">- eine EU-Strategie</w:t>
      </w:r>
    </w:p>
    <w:p w:rsidRPr="001D488E" w:rsidR="001D488E" w:rsidP="001D488E" w:rsidRDefault="001D488E" w14:paraId="246F372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lastRenderedPageBreak/>
        <w:t xml:space="preserve"> </w:t>
      </w:r>
    </w:p>
    <w:p w:rsidRPr="001D488E" w:rsidR="001D488E" w:rsidP="001D488E" w:rsidRDefault="001D488E" w14:paraId="59A40918"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SYNTHESE VON DOKUMENTEN:</w:t>
      </w:r>
    </w:p>
    <w:p w:rsidRPr="001D488E" w:rsidR="001D488E" w:rsidP="001D488E" w:rsidRDefault="00E52C24" w14:paraId="04FDB876"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"https://eur-lex.europa.eu/legal-content/FR/AUTO/?uri=celex:52016JC0029" </w:instrText>
      </w:r>
      <w:r>
        <w:fldChar w:fldCharType="separate"/>
      </w:r>
      <w:r w:rsidRPr="001D488E" w:rsidR="001D488E">
        <w:rPr>
          <w:rFonts w:ascii="Times New Roman" w:hAnsi="Times New Roman" w:eastAsia="Times New Roman" w:cs="Times New Roman"/>
          <w:color w:val="0000FF"/>
          <w:sz w:val="27"/>
          <w:szCs w:val="27"/>
          <w:u w:val="single"/>
          <w:lang w:val="fr-FR" w:eastAsia="de-DE"/>
        </w:rPr>
        <w:t xml:space="preserve">Gemeinsame Mitteilung [JOIN (2016) 29 final] - Hin zu einer EU-Strategie für internationale Kulturbeziehungen</w:t>
      </w:r>
      <w:r>
        <w:rPr>
          <w:rFonts w:ascii="Times New Roman" w:hAnsi="Times New Roman" w:eastAsia="Times New Roman" w:cs="Times New Roman"/>
          <w:color w:val="0000FF"/>
          <w:sz w:val="27"/>
          <w:szCs w:val="27"/>
          <w:u w:val="single"/>
          <w:lang w:val="fr-FR" w:eastAsia="de-DE"/>
        </w:rPr>
        <w:fldChar w:fldCharType="end"/>
      </w:r>
    </w:p>
    <w:p w:rsidRPr="001D488E" w:rsidR="001D488E" w:rsidP="001D488E" w:rsidRDefault="00E52C24" w14:paraId="149A3912"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"https://eur-lex.europa.eu/legal-content/FR/AUTO/?uri=celex:12016E006" </w:instrText>
      </w:r>
      <w:r>
        <w:fldChar w:fldCharType="separate"/>
      </w:r>
      <w:r w:rsidRPr="001D488E" w:rsidR="001D488E">
        <w:rPr>
          <w:rFonts w:ascii="Times New Roman" w:hAnsi="Times New Roman" w:eastAsia="Times New Roman" w:cs="Times New Roman"/>
          <w:color w:val="0000FF"/>
          <w:sz w:val="27"/>
          <w:szCs w:val="27"/>
          <w:u w:val="single"/>
          <w:lang w:val="fr-FR" w:eastAsia="de-DE"/>
        </w:rPr>
        <w:t xml:space="preserve">Artikel 6 des Vertrags über die Arbeitsweise der Europäischen Union (AEUV)</w:t>
      </w:r>
      <w:r>
        <w:rPr>
          <w:rFonts w:ascii="Times New Roman" w:hAnsi="Times New Roman" w:eastAsia="Times New Roman" w:cs="Times New Roman"/>
          <w:color w:val="0000FF"/>
          <w:sz w:val="27"/>
          <w:szCs w:val="27"/>
          <w:u w:val="single"/>
          <w:lang w:val="fr-FR" w:eastAsia="de-DE"/>
        </w:rPr>
        <w:fldChar w:fldCharType="end"/>
      </w:r>
    </w:p>
    <w:p w:rsidRPr="001D488E" w:rsidR="001D488E" w:rsidP="001D488E" w:rsidRDefault="001D488E" w14:paraId="7B8C35D6"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WAS IST DER ZWECK DER MITTEILUNG UND VON ARTIKEL 6 TFUE?</w:t>
      </w:r>
    </w:p>
    <w:p w:rsidRPr="001D488E" w:rsidR="001D488E" w:rsidP="001D488E" w:rsidRDefault="001D488E" w14:paraId="4CFA4BD3" w14:textId="77777777">
      <w:pPr>
        <w:numPr>
          <w:ilvl w:val="0"/>
          <w:numId w:val="16"/>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In der Mitteilung wird eine Strategie für wirksamere internationale Kulturbeziehungen (z. B. den Austausch von Ideen, Ansichten und Meinungen zwischen verschiedenen Kulturen) vorgeschlagen, um der Priorität der </w:t>
      </w:r>
      <w:r w:rsidR="00E52C24">
        <w:fldChar w:fldCharType="begin"/>
      </w:r>
      <w:r w:rsidRPr="00E52C24" w:rsidR="00E52C24">
        <w:rPr>
          <w:lang w:val="fr-FR"/>
        </w:rPr>
        <w:instrText xml:space="preserve"> HYPERLINK "http://eur-lex.europa.eu/summary/glossary/european_commission.html" </w:instrText>
      </w:r>
      <w:r w:rsidR="00E52C24">
        <w:fldChar w:fldCharType="separate"/>
      </w:r>
      <w:r w:rsidRPr="001D488E">
        <w:rPr>
          <w:rFonts w:ascii="Times New Roman" w:hAnsi="Times New Roman" w:eastAsia="Times New Roman" w:cs="Times New Roman"/>
          <w:color w:val="0000FF"/>
          <w:sz w:val="27"/>
          <w:szCs w:val="27"/>
          <w:u w:val="single"/>
          <w:lang w:val="fr-FR" w:eastAsia="de-DE"/>
        </w:rPr>
        <w:t xml:space="preserve">Europäischen Kommission gerecht zu werden, die </w:t>
      </w:r>
      <w:r w:rsidR="00E52C24">
        <w:rPr>
          <w:rFonts w:ascii="Times New Roman" w:hAnsi="Times New Roman" w:eastAsia="Times New Roman" w:cs="Times New Roman"/>
          <w:color w:val="0000FF"/>
          <w:sz w:val="27"/>
          <w:szCs w:val="27"/>
          <w:u w:val="single"/>
          <w:lang w:val="fr-FR" w:eastAsia="de-DE"/>
        </w:rPr>
        <w:fldChar w:fldCharType="end"/>
      </w:r>
      <w:r w:rsidRPr="001D488E">
        <w:rPr>
          <w:rFonts w:ascii="Times New Roman" w:hAnsi="Times New Roman" w:eastAsia="Times New Roman" w:cs="Times New Roman"/>
          <w:color w:val="000000"/>
          <w:sz w:val="27"/>
          <w:szCs w:val="27"/>
          <w:lang w:val="fr-FR" w:eastAsia="de-DE"/>
        </w:rPr>
        <w:t xml:space="preserve">Europäische Union (EU) zu einem stärkeren Akteur auf der Weltbühne, einem besseren internationalen Partner und einem wichtigen Beitrag zum nachhaltigen Wachstum zu machen.</w:t>
      </w:r>
    </w:p>
    <w:p w:rsidRPr="001D488E" w:rsidR="001D488E" w:rsidP="001D488E" w:rsidRDefault="001D488E" w14:paraId="393BCBDF" w14:textId="77777777">
      <w:pPr>
        <w:numPr>
          <w:ilvl w:val="0"/>
          <w:numId w:val="16"/>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Es </w:t>
      </w:r>
      <w:r w:rsidRPr="001D488E">
        <w:rPr>
          <w:rFonts w:ascii="Times New Roman" w:hAnsi="Times New Roman" w:eastAsia="Times New Roman" w:cs="Times New Roman"/>
          <w:color w:val="000000"/>
          <w:sz w:val="27"/>
          <w:szCs w:val="27"/>
          <w:lang w:val="fr-FR" w:eastAsia="de-DE"/>
        </w:rPr>
        <w:t xml:space="preserve">stellt ein </w:t>
      </w:r>
      <w:r w:rsidRPr="001D488E">
        <w:rPr>
          <w:rFonts w:ascii="Times New Roman" w:hAnsi="Times New Roman" w:eastAsia="Times New Roman" w:cs="Times New Roman"/>
          <w:b/>
          <w:bCs/>
          <w:color w:val="000000"/>
          <w:sz w:val="27"/>
          <w:szCs w:val="27"/>
          <w:lang w:val="fr-FR" w:eastAsia="de-DE"/>
        </w:rPr>
        <w:t xml:space="preserve">Modell für die kulturelle Zusammenarbeit </w:t>
      </w:r>
      <w:r w:rsidRPr="001D488E">
        <w:rPr>
          <w:rFonts w:ascii="Times New Roman" w:hAnsi="Times New Roman" w:eastAsia="Times New Roman" w:cs="Times New Roman"/>
          <w:color w:val="000000"/>
          <w:sz w:val="27"/>
          <w:szCs w:val="27"/>
          <w:lang w:val="fr-FR" w:eastAsia="de-DE"/>
        </w:rPr>
        <w:t xml:space="preserve">zwischen EU-Ländern, nationalen Kulturorganisationen und öffentlichen und privaten Einrichtungen </w:t>
      </w:r>
      <w:r w:rsidRPr="001D488E">
        <w:rPr>
          <w:rFonts w:ascii="Times New Roman" w:hAnsi="Times New Roman" w:eastAsia="Times New Roman" w:cs="Times New Roman"/>
          <w:color w:val="000000"/>
          <w:sz w:val="27"/>
          <w:szCs w:val="27"/>
          <w:lang w:val="fr-FR" w:eastAsia="de-DE"/>
        </w:rPr>
        <w:t xml:space="preserve">vor, </w:t>
      </w:r>
      <w:r w:rsidRPr="001D488E">
        <w:rPr>
          <w:rFonts w:ascii="Times New Roman" w:hAnsi="Times New Roman" w:eastAsia="Times New Roman" w:cs="Times New Roman"/>
          <w:color w:val="000000"/>
          <w:sz w:val="27"/>
          <w:szCs w:val="27"/>
          <w:lang w:val="fr-FR" w:eastAsia="de-DE"/>
        </w:rPr>
        <w:t xml:space="preserve">die sich der "Kulturdiplomatie" bedienen, um eine Weltordnung zu fördern, die auf Frieden, </w:t>
      </w:r>
      <w:r w:rsidR="00E52C24">
        <w:fldChar w:fldCharType="begin"/>
      </w:r>
      <w:r w:rsidRPr="00E52C24" w:rsidR="00E52C24">
        <w:rPr>
          <w:lang w:val="fr-FR"/>
        </w:rPr>
        <w:instrText xml:space="preserve"> HYPERLINK "http://eur-lex.europa.eu/summary/glossary/rule_of_law.html?locale=fr" </w:instrText>
      </w:r>
      <w:r w:rsidR="00E52C24">
        <w:fldChar w:fldCharType="separate"/>
      </w:r>
      <w:r w:rsidRPr="001D488E">
        <w:rPr>
          <w:rFonts w:ascii="Times New Roman" w:hAnsi="Times New Roman" w:eastAsia="Times New Roman" w:cs="Times New Roman"/>
          <w:color w:val="0000FF"/>
          <w:sz w:val="27"/>
          <w:szCs w:val="27"/>
          <w:u w:val="single"/>
          <w:lang w:val="fr-FR" w:eastAsia="de-DE"/>
        </w:rPr>
        <w:t xml:space="preserve">Rechtsstaatlichkeit</w:t>
      </w:r>
      <w:r w:rsidR="00E52C24">
        <w:rPr>
          <w:rFonts w:ascii="Times New Roman" w:hAnsi="Times New Roman" w:eastAsia="Times New Roman" w:cs="Times New Roman"/>
          <w:color w:val="0000FF"/>
          <w:sz w:val="27"/>
          <w:szCs w:val="27"/>
          <w:u w:val="single"/>
          <w:lang w:val="fr-FR" w:eastAsia="de-DE"/>
        </w:rPr>
        <w:fldChar w:fldCharType="end"/>
      </w:r>
      <w:r w:rsidRPr="001D488E">
        <w:rPr>
          <w:rFonts w:ascii="Times New Roman" w:hAnsi="Times New Roman" w:eastAsia="Times New Roman" w:cs="Times New Roman"/>
          <w:color w:val="000000"/>
          <w:sz w:val="27"/>
          <w:szCs w:val="27"/>
          <w:lang w:val="fr-FR" w:eastAsia="de-DE"/>
        </w:rPr>
        <w:t xml:space="preserve">, Meinungsfreiheit, gegenseitigem Verständnis und der Achtung grundlegender Werte beruht.</w:t>
      </w:r>
    </w:p>
    <w:p w:rsidRPr="001D488E" w:rsidR="001D488E" w:rsidP="001D488E" w:rsidRDefault="001D488E" w14:paraId="46090B45" w14:textId="77777777">
      <w:pPr>
        <w:numPr>
          <w:ilvl w:val="0"/>
          <w:numId w:val="16"/>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Obwohl die Kulturpolitik im Wesentlichen ein Vorrecht der EU-Länder ist, kann die EU gemäß Artikel 6 AEUV zur Unterstützung, Koordinierung und Ergänzung der Aktivitäten der EU-Länder in diesem Bereich beitragen.</w:t>
      </w:r>
    </w:p>
    <w:p w:rsidRPr="001D488E" w:rsidR="001D488E" w:rsidP="001D488E" w:rsidRDefault="001D488E" w14:paraId="64022710"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SCHLÜSSELPUNKTE</w:t>
      </w:r>
    </w:p>
    <w:p w:rsidRPr="001D488E" w:rsidR="001D488E" w:rsidP="001D488E" w:rsidRDefault="001D488E" w14:paraId="41A1783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Kultur ist nicht auf Kunst oder Literatur beschränkt. Sie deckt ein breites Spektrum an Aktivitäten ab, vom interkulturellen Dialog* </w:t>
      </w:r>
      <w:r w:rsidRPr="001D488E">
        <w:rPr>
          <w:rFonts w:ascii="Times New Roman" w:hAnsi="Times New Roman" w:eastAsia="Times New Roman" w:cs="Times New Roman"/>
          <w:color w:val="000000"/>
          <w:sz w:val="27"/>
          <w:szCs w:val="27"/>
          <w:lang w:val="fr-FR" w:eastAsia="de-DE"/>
        </w:rPr>
        <w:t xml:space="preserve">bis zum Tourismus, von Bildung und Forschung bis zum Kreativsektor, vom Schutz des kulturellen Erbes bis zur Förderung neuer Technologien und vom Handwerk bis zur Entwicklungszusammenarbeit.</w:t>
      </w:r>
    </w:p>
    <w:p w:rsidRPr="001D488E" w:rsidR="001D488E" w:rsidP="001D488E" w:rsidRDefault="001D488E" w14:paraId="6A8DA2E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Sie spielt auch eine wichtige Rolle in der </w:t>
      </w:r>
      <w:r w:rsidRPr="001D488E">
        <w:rPr>
          <w:rFonts w:ascii="Times New Roman" w:hAnsi="Times New Roman" w:eastAsia="Times New Roman" w:cs="Times New Roman"/>
          <w:b/>
          <w:bCs/>
          <w:color w:val="000000"/>
          <w:sz w:val="27"/>
          <w:szCs w:val="27"/>
          <w:lang w:val="fr-FR" w:eastAsia="de-DE"/>
        </w:rPr>
        <w:t xml:space="preserve">EU-Außenpolitik</w:t>
      </w:r>
      <w:r w:rsidRPr="001D488E">
        <w:rPr>
          <w:rFonts w:ascii="Times New Roman" w:hAnsi="Times New Roman" w:eastAsia="Times New Roman" w:cs="Times New Roman"/>
          <w:color w:val="000000"/>
          <w:sz w:val="27"/>
          <w:szCs w:val="27"/>
          <w:lang w:val="fr-FR" w:eastAsia="de-DE"/>
        </w:rPr>
        <w:t xml:space="preserve">, wo die kulturelle Zusammenarbeit Stereotypen und Vorurteile abbauen kann und wo der Dialog Konflikte verhindern und die Versöhnung fördern kann. Sie hilft uns, auf globale Herausforderungen wie die Integration von Flüchtlingen, den Kampf gegen gewalttätige Radikalisierung und den Schutz des kulturellen Erbes der Welt zu reagieren.</w:t>
      </w:r>
    </w:p>
    <w:p w:rsidRPr="001D488E" w:rsidR="001D488E" w:rsidP="001D488E" w:rsidRDefault="001D488E" w14:paraId="56B0733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lastRenderedPageBreak/>
        <w:t xml:space="preserve">Kultur kann auch ein Instrument zur Realisierung </w:t>
      </w:r>
      <w:r w:rsidRPr="001D488E">
        <w:rPr>
          <w:rFonts w:ascii="Times New Roman" w:hAnsi="Times New Roman" w:eastAsia="Times New Roman" w:cs="Times New Roman"/>
          <w:b/>
          <w:bCs/>
          <w:color w:val="000000"/>
          <w:sz w:val="27"/>
          <w:szCs w:val="27"/>
          <w:lang w:val="fr-FR" w:eastAsia="de-DE"/>
        </w:rPr>
        <w:t xml:space="preserve">wichtiger wirtschaftlicher und sozialer Vorteile sein, </w:t>
      </w:r>
      <w:r w:rsidRPr="001D488E">
        <w:rPr>
          <w:rFonts w:ascii="Times New Roman" w:hAnsi="Times New Roman" w:eastAsia="Times New Roman" w:cs="Times New Roman"/>
          <w:color w:val="000000"/>
          <w:sz w:val="27"/>
          <w:szCs w:val="27"/>
          <w:lang w:val="fr-FR" w:eastAsia="de-DE"/>
        </w:rPr>
        <w:t xml:space="preserve">wie z. B. Bürgerbeteiligung und Tourismuseinnahmen, sowohl innerhalb als auch außerhalb der EU.</w:t>
      </w:r>
    </w:p>
    <w:p w:rsidRPr="001D488E" w:rsidR="001D488E" w:rsidP="001D488E" w:rsidRDefault="001D488E" w14:paraId="4A407D9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Die Strategie baut auf früheren Mitteilungen über </w:t>
      </w:r>
      <w:hyperlink w:history="1" r:id="rId21">
        <w:r w:rsidRPr="001D488E">
          <w:rPr>
            <w:rFonts w:ascii="Times New Roman" w:hAnsi="Times New Roman" w:eastAsia="Times New Roman" w:cs="Times New Roman"/>
            <w:color w:val="0000FF"/>
            <w:sz w:val="27"/>
            <w:szCs w:val="27"/>
            <w:u w:val="single"/>
            <w:lang w:val="fr-FR" w:eastAsia="de-DE"/>
          </w:rPr>
          <w:t xml:space="preserve">Kultur und die internationalen Beziehungen der EU </w:t>
        </w:r>
      </w:hyperlink>
      <w:r w:rsidRPr="001D488E">
        <w:rPr>
          <w:rFonts w:ascii="Times New Roman" w:hAnsi="Times New Roman" w:eastAsia="Times New Roman" w:cs="Times New Roman"/>
          <w:color w:val="000000"/>
          <w:sz w:val="27"/>
          <w:szCs w:val="27"/>
          <w:lang w:val="fr-FR" w:eastAsia="de-DE"/>
        </w:rPr>
        <w:t xml:space="preserve">sowie über die </w:t>
      </w:r>
      <w:hyperlink w:history="1" r:id="rId22">
        <w:r w:rsidRPr="001D488E">
          <w:rPr>
            <w:rFonts w:ascii="Times New Roman" w:hAnsi="Times New Roman" w:eastAsia="Times New Roman" w:cs="Times New Roman"/>
            <w:color w:val="0000FF"/>
            <w:sz w:val="27"/>
            <w:szCs w:val="27"/>
            <w:u w:val="single"/>
            <w:lang w:val="fr-FR" w:eastAsia="de-DE"/>
          </w:rPr>
          <w:t xml:space="preserve">Rolle der Kultur in der Entwicklungszusammenarbeit der EU </w:t>
        </w:r>
      </w:hyperlink>
      <w:r w:rsidRPr="001D488E">
        <w:rPr>
          <w:rFonts w:ascii="Times New Roman" w:hAnsi="Times New Roman" w:eastAsia="Times New Roman" w:cs="Times New Roman"/>
          <w:color w:val="000000"/>
          <w:sz w:val="27"/>
          <w:szCs w:val="27"/>
          <w:lang w:val="fr-FR" w:eastAsia="de-DE"/>
        </w:rPr>
        <w:t xml:space="preserve">auf </w:t>
      </w:r>
      <w:r w:rsidRPr="001D488E">
        <w:rPr>
          <w:rFonts w:ascii="Times New Roman" w:hAnsi="Times New Roman" w:eastAsia="Times New Roman" w:cs="Times New Roman"/>
          <w:color w:val="000000"/>
          <w:sz w:val="27"/>
          <w:szCs w:val="27"/>
          <w:lang w:val="fr-FR" w:eastAsia="de-DE"/>
        </w:rPr>
        <w:t xml:space="preserve">und aktualisiert diese; sie konzentriert sich auf die Stärkung der kulturellen Zusammenarbeit in </w:t>
      </w:r>
      <w:r w:rsidRPr="001D488E">
        <w:rPr>
          <w:rFonts w:ascii="Times New Roman" w:hAnsi="Times New Roman" w:eastAsia="Times New Roman" w:cs="Times New Roman"/>
          <w:b/>
          <w:bCs/>
          <w:color w:val="000000"/>
          <w:sz w:val="27"/>
          <w:szCs w:val="27"/>
          <w:lang w:val="fr-FR" w:eastAsia="de-DE"/>
        </w:rPr>
        <w:t xml:space="preserve">drei Hauptbereichen</w:t>
      </w:r>
      <w:r w:rsidRP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271DD7D4" w14:textId="77777777">
      <w:pPr>
        <w:numPr>
          <w:ilvl w:val="0"/>
          <w:numId w:val="17"/>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b/>
          <w:bCs/>
          <w:color w:val="000000"/>
          <w:sz w:val="27"/>
          <w:szCs w:val="27"/>
          <w:lang w:val="fr-FR" w:eastAsia="de-DE"/>
        </w:rPr>
        <w:t xml:space="preserve">Stimulierung einer nachhaltigen sozialen und wirtschaftlichen Entwicklung</w:t>
      </w:r>
      <w:r w:rsidRPr="001D488E">
        <w:rPr>
          <w:rFonts w:ascii="Times New Roman" w:hAnsi="Times New Roman" w:eastAsia="Times New Roman" w:cs="Times New Roman"/>
          <w:color w:val="000000"/>
          <w:sz w:val="27"/>
          <w:szCs w:val="27"/>
          <w:lang w:val="fr-FR" w:eastAsia="de-DE"/>
        </w:rPr>
        <w:t xml:space="preserve">, Stärkung der Kultur- und Kreativwirtschaft und Unterstützung der Rolle der lokalen Behörden. </w:t>
      </w:r>
      <w:r w:rsidRPr="001D488E">
        <w:rPr>
          <w:rFonts w:ascii="Times New Roman" w:hAnsi="Times New Roman" w:eastAsia="Times New Roman" w:cs="Times New Roman"/>
          <w:color w:val="000000"/>
          <w:sz w:val="27"/>
          <w:szCs w:val="27"/>
          <w:lang w:eastAsia="de-DE"/>
        </w:rPr>
        <w:t xml:space="preserve">Hier sind </w:t>
      </w:r>
      <w:r w:rsidRPr="001D488E">
        <w:rPr>
          <w:rFonts w:ascii="Times New Roman" w:hAnsi="Times New Roman" w:eastAsia="Times New Roman" w:cs="Times New Roman"/>
          <w:color w:val="000000"/>
          <w:sz w:val="27"/>
          <w:szCs w:val="27"/>
          <w:lang w:eastAsia="de-DE"/>
        </w:rPr>
        <w:t xml:space="preserve">einige </w:t>
      </w:r>
      <w:r w:rsidRPr="001D488E">
        <w:rPr>
          <w:rFonts w:ascii="Times New Roman" w:hAnsi="Times New Roman" w:eastAsia="Times New Roman" w:cs="Times New Roman"/>
          <w:color w:val="000000"/>
          <w:sz w:val="27"/>
          <w:szCs w:val="27"/>
          <w:lang w:eastAsia="de-DE"/>
        </w:rPr>
        <w:t xml:space="preserve">konkrete </w:t>
      </w:r>
      <w:r w:rsidRPr="001D488E">
        <w:rPr>
          <w:rFonts w:ascii="Times New Roman" w:hAnsi="Times New Roman" w:eastAsia="Times New Roman" w:cs="Times New Roman"/>
          <w:color w:val="000000"/>
          <w:sz w:val="27"/>
          <w:szCs w:val="27"/>
          <w:lang w:eastAsia="de-DE"/>
        </w:rPr>
        <w:t xml:space="preserve">Beispiele</w:t>
      </w:r>
      <w:r w:rsidRPr="001D488E">
        <w:rPr>
          <w:rFonts w:ascii="Times New Roman" w:hAnsi="Times New Roman" w:eastAsia="Times New Roman" w:cs="Times New Roman"/>
          <w:color w:val="000000"/>
          <w:sz w:val="27"/>
          <w:szCs w:val="27"/>
          <w:lang w:eastAsia="de-DE"/>
        </w:rPr>
        <w:t xml:space="preserve">:</w:t>
      </w:r>
    </w:p>
    <w:p w:rsidRPr="001D488E" w:rsidR="001D488E" w:rsidP="001D488E" w:rsidRDefault="001D488E" w14:paraId="3EEDA3AD" w14:textId="77777777">
      <w:pPr>
        <w:numPr>
          <w:ilvl w:val="1"/>
          <w:numId w:val="17"/>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das </w:t>
      </w:r>
      <w:hyperlink w:history="1" r:id="rId23">
        <w:r w:rsidRPr="001D488E">
          <w:rPr>
            <w:rFonts w:ascii="Times New Roman" w:hAnsi="Times New Roman" w:eastAsia="Times New Roman" w:cs="Times New Roman"/>
            <w:color w:val="0000FF"/>
            <w:sz w:val="27"/>
            <w:szCs w:val="27"/>
            <w:u w:val="single"/>
            <w:lang w:val="fr-FR" w:eastAsia="de-DE"/>
          </w:rPr>
          <w:t xml:space="preserve">Programm "Creative Networks" </w:t>
        </w:r>
      </w:hyperlink>
      <w:r w:rsidRPr="001D488E">
        <w:rPr>
          <w:rFonts w:ascii="Times New Roman" w:hAnsi="Times New Roman" w:eastAsia="Times New Roman" w:cs="Times New Roman"/>
          <w:color w:val="000000"/>
          <w:sz w:val="27"/>
          <w:szCs w:val="27"/>
          <w:lang w:val="fr-FR" w:eastAsia="de-DE"/>
        </w:rPr>
        <w:t xml:space="preserve">der Asia-Europe Foundation;</w:t>
      </w:r>
    </w:p>
    <w:p w:rsidRPr="001D488E" w:rsidR="001D488E" w:rsidP="001D488E" w:rsidRDefault="001D488E" w14:paraId="3DACFE83" w14:textId="77777777">
      <w:pPr>
        <w:numPr>
          <w:ilvl w:val="1"/>
          <w:numId w:val="17"/>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EU-Unterstützung im südlichen Mittelmeerraum für ein Projekt zur Entwicklung von Clustern in der Kultur- und Kreativwirtschaft mit der </w:t>
      </w:r>
      <w:hyperlink w:history="1" r:id="rId24">
        <w:r w:rsidRPr="001D488E">
          <w:rPr>
            <w:rFonts w:ascii="Times New Roman" w:hAnsi="Times New Roman" w:eastAsia="Times New Roman" w:cs="Times New Roman"/>
            <w:color w:val="0000FF"/>
            <w:sz w:val="27"/>
            <w:szCs w:val="27"/>
            <w:u w:val="single"/>
            <w:lang w:val="fr-FR" w:eastAsia="de-DE"/>
          </w:rPr>
          <w:t xml:space="preserve">UNIDO (United Nations Industrial Development Organisation</w:t>
        </w:r>
      </w:hyperlink>
      <w:r w:rsidRP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30ACB930" w14:textId="77777777">
      <w:pPr>
        <w:numPr>
          <w:ilvl w:val="1"/>
          <w:numId w:val="17"/>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ein </w:t>
      </w:r>
      <w:hyperlink w:history="1" r:id="rId25">
        <w:r w:rsidRPr="001D488E">
          <w:rPr>
            <w:rFonts w:ascii="Times New Roman" w:hAnsi="Times New Roman" w:eastAsia="Times New Roman" w:cs="Times New Roman"/>
            <w:color w:val="0000FF"/>
            <w:sz w:val="27"/>
            <w:szCs w:val="27"/>
            <w:u w:val="single"/>
            <w:lang w:val="fr-FR" w:eastAsia="de-DE"/>
          </w:rPr>
          <w:t xml:space="preserve">europäisches Netzwerk von Kreativplattformen</w:t>
        </w:r>
      </w:hyperlink>
      <w:r w:rsidRPr="001D488E">
        <w:rPr>
          <w:rFonts w:ascii="Times New Roman" w:hAnsi="Times New Roman" w:eastAsia="Times New Roman" w:cs="Times New Roman"/>
          <w:color w:val="000000"/>
          <w:sz w:val="27"/>
          <w:szCs w:val="27"/>
          <w:lang w:val="fr-FR" w:eastAsia="de-DE"/>
        </w:rPr>
        <w:t xml:space="preserve">, an dem alle am </w:t>
      </w:r>
      <w:hyperlink w:history="1" r:id="rId26">
        <w:r w:rsidRPr="001D488E">
          <w:rPr>
            <w:rFonts w:ascii="Times New Roman" w:hAnsi="Times New Roman" w:eastAsia="Times New Roman" w:cs="Times New Roman"/>
            <w:color w:val="0000FF"/>
            <w:sz w:val="27"/>
            <w:szCs w:val="27"/>
            <w:u w:val="single"/>
            <w:lang w:val="fr-FR" w:eastAsia="de-DE"/>
          </w:rPr>
          <w:t xml:space="preserve">Programm "Kreatives Europa" </w:t>
        </w:r>
      </w:hyperlink>
      <w:r w:rsidRPr="001D488E">
        <w:rPr>
          <w:rFonts w:ascii="Times New Roman" w:hAnsi="Times New Roman" w:eastAsia="Times New Roman" w:cs="Times New Roman"/>
          <w:color w:val="000000"/>
          <w:sz w:val="27"/>
          <w:szCs w:val="27"/>
          <w:lang w:val="fr-FR" w:eastAsia="de-DE"/>
        </w:rPr>
        <w:t xml:space="preserve">teilnehmenden Länder beteiligt sind </w:t>
      </w:r>
      <w:r w:rsidRPr="001D488E">
        <w:rPr>
          <w:rFonts w:ascii="Times New Roman" w:hAnsi="Times New Roman" w:eastAsia="Times New Roman" w:cs="Times New Roman"/>
          <w:color w:val="000000"/>
          <w:sz w:val="27"/>
          <w:szCs w:val="27"/>
          <w:lang w:val="fr-FR" w:eastAsia="de-DE"/>
        </w:rPr>
        <w:t xml:space="preserve">(einschließlich Georgien, Moldawien, Serbien, Türkei und Ukraine).</w:t>
      </w:r>
    </w:p>
    <w:p w:rsidRPr="001D488E" w:rsidR="001D488E" w:rsidP="001D488E" w:rsidRDefault="001D488E" w14:paraId="6D4938DB" w14:textId="77777777">
      <w:pPr>
        <w:numPr>
          <w:ilvl w:val="0"/>
          <w:numId w:val="17"/>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color w:val="000000"/>
          <w:sz w:val="27"/>
          <w:szCs w:val="27"/>
          <w:lang w:val="fr-FR" w:eastAsia="de-DE"/>
        </w:rPr>
        <w:t xml:space="preserve">Förderung der friedlichen Beziehungen zwischen Gemeinschaften und Völkern mit unterschiedlichen religiösen Überzeugungen. Der Dialog kann dazu beitragen, gerechte, friedliche und inklusive Gesellschaften zu fördern, die die Menschenrechte respektieren und lokale Befindlichkeiten berücksichtigen, und zwar durch Maßnahmen, die an die jeweiligen kulturellen Kontexte und Interessen angepasst sind. </w:t>
      </w:r>
      <w:r w:rsidRPr="001D488E">
        <w:rPr>
          <w:rFonts w:ascii="Times New Roman" w:hAnsi="Times New Roman" w:eastAsia="Times New Roman" w:cs="Times New Roman"/>
          <w:color w:val="000000"/>
          <w:sz w:val="27"/>
          <w:szCs w:val="27"/>
          <w:lang w:eastAsia="de-DE"/>
        </w:rPr>
        <w:t xml:space="preserve">Sie </w:t>
      </w:r>
      <w:r w:rsidRPr="001D488E">
        <w:rPr>
          <w:rFonts w:ascii="Times New Roman" w:hAnsi="Times New Roman" w:eastAsia="Times New Roman" w:cs="Times New Roman"/>
          <w:color w:val="000000"/>
          <w:sz w:val="27"/>
          <w:szCs w:val="27"/>
          <w:lang w:eastAsia="de-DE"/>
        </w:rPr>
        <w:t xml:space="preserve">umfassen</w:t>
      </w:r>
      <w:r w:rsidRPr="001D488E">
        <w:rPr>
          <w:rFonts w:ascii="Times New Roman" w:hAnsi="Times New Roman" w:eastAsia="Times New Roman" w:cs="Times New Roman"/>
          <w:color w:val="000000"/>
          <w:sz w:val="27"/>
          <w:szCs w:val="27"/>
          <w:lang w:eastAsia="de-DE"/>
        </w:rPr>
        <w:t xml:space="preserve">:</w:t>
      </w:r>
    </w:p>
    <w:p w:rsidRPr="001D488E" w:rsidR="001D488E" w:rsidP="001D488E" w:rsidRDefault="001D488E" w14:paraId="2D172245" w14:textId="77777777">
      <w:pPr>
        <w:numPr>
          <w:ilvl w:val="1"/>
          <w:numId w:val="17"/>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Programme zur Entwicklung der Kultur im Rahmen der </w:t>
      </w:r>
      <w:hyperlink w:history="1" r:id="rId27">
        <w:r w:rsidRPr="001D488E">
          <w:rPr>
            <w:rFonts w:ascii="Times New Roman" w:hAnsi="Times New Roman" w:eastAsia="Times New Roman" w:cs="Times New Roman"/>
            <w:color w:val="0000FF"/>
            <w:sz w:val="27"/>
            <w:szCs w:val="27"/>
            <w:u w:val="single"/>
            <w:lang w:val="fr-FR" w:eastAsia="de-DE"/>
          </w:rPr>
          <w:t xml:space="preserve">Östlichen Partnerschaft</w:t>
        </w:r>
      </w:hyperlink>
      <w:r w:rsidRPr="001D488E">
        <w:rPr>
          <w:rFonts w:ascii="Times New Roman" w:hAnsi="Times New Roman" w:eastAsia="Times New Roman" w:cs="Times New Roman"/>
          <w:color w:val="000000"/>
          <w:sz w:val="27"/>
          <w:szCs w:val="27"/>
          <w:lang w:val="fr-FR" w:eastAsia="de-DE"/>
        </w:rPr>
        <w:t xml:space="preserve">, die Armenien, Aserbaidschan, Belarus, Georgien, Moldawien und die Ukraine umfasst;</w:t>
      </w:r>
    </w:p>
    <w:p w:rsidRPr="001D488E" w:rsidR="001D488E" w:rsidP="001D488E" w:rsidRDefault="001D488E" w14:paraId="6B8A7C84" w14:textId="77777777">
      <w:pPr>
        <w:numPr>
          <w:ilvl w:val="1"/>
          <w:numId w:val="17"/>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Unterstützung der </w:t>
      </w:r>
      <w:hyperlink w:history="1" r:id="rId28">
        <w:r w:rsidRPr="001D488E">
          <w:rPr>
            <w:rFonts w:ascii="Times New Roman" w:hAnsi="Times New Roman" w:eastAsia="Times New Roman" w:cs="Times New Roman"/>
            <w:color w:val="0000FF"/>
            <w:sz w:val="27"/>
            <w:szCs w:val="27"/>
            <w:u w:val="single"/>
            <w:lang w:val="fr-FR" w:eastAsia="de-DE"/>
          </w:rPr>
          <w:t xml:space="preserve">Anna-Lindh-Stiftung </w:t>
        </w:r>
      </w:hyperlink>
      <w:r w:rsidRPr="001D488E">
        <w:rPr>
          <w:rFonts w:ascii="Times New Roman" w:hAnsi="Times New Roman" w:eastAsia="Times New Roman" w:cs="Times New Roman"/>
          <w:color w:val="000000"/>
          <w:sz w:val="27"/>
          <w:szCs w:val="27"/>
          <w:lang w:val="fr-FR" w:eastAsia="de-DE"/>
        </w:rPr>
        <w:t xml:space="preserve">und ihres Netzwerks von Organisationen in 42 Ländern der </w:t>
      </w:r>
      <w:hyperlink w:history="1" r:id="rId29">
        <w:r w:rsidRPr="001D488E">
          <w:rPr>
            <w:rFonts w:ascii="Times New Roman" w:hAnsi="Times New Roman" w:eastAsia="Times New Roman" w:cs="Times New Roman"/>
            <w:color w:val="0000FF"/>
            <w:sz w:val="27"/>
            <w:szCs w:val="27"/>
            <w:u w:val="single"/>
            <w:lang w:val="fr-FR" w:eastAsia="de-DE"/>
          </w:rPr>
          <w:t xml:space="preserve">Union für das Mittelmeer</w:t>
        </w:r>
      </w:hyperlink>
      <w:r w:rsidRP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3AD7D0C9" w14:textId="77777777">
      <w:pPr>
        <w:numPr>
          <w:ilvl w:val="0"/>
          <w:numId w:val="18"/>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b/>
          <w:bCs/>
          <w:color w:val="000000"/>
          <w:sz w:val="27"/>
          <w:szCs w:val="27"/>
          <w:lang w:val="fr-FR" w:eastAsia="de-DE"/>
        </w:rPr>
        <w:t xml:space="preserve">Verbesserung der Zusammenarbeit im Bereich des kulturellen Erbes </w:t>
      </w:r>
      <w:r w:rsidRPr="001D488E">
        <w:rPr>
          <w:rFonts w:ascii="Times New Roman" w:hAnsi="Times New Roman" w:eastAsia="Times New Roman" w:cs="Times New Roman"/>
          <w:color w:val="000000"/>
          <w:sz w:val="27"/>
          <w:szCs w:val="27"/>
          <w:lang w:val="fr-FR" w:eastAsia="de-DE"/>
        </w:rPr>
        <w:t xml:space="preserve">durch Förderung der Forschung, Bekämpfung des illegalen Handels mit Kulturgütern und Beteiligung am Schutz von Kulturerbestätten. Die Restaurierung und Förderung des kulturellen Erbes zieht Touristen an und stimuliert das Wirtschaftswachstum. </w:t>
      </w:r>
      <w:r w:rsidRPr="001D488E">
        <w:rPr>
          <w:rFonts w:ascii="Times New Roman" w:hAnsi="Times New Roman" w:eastAsia="Times New Roman" w:cs="Times New Roman"/>
          <w:color w:val="000000"/>
          <w:sz w:val="27"/>
          <w:szCs w:val="27"/>
          <w:lang w:eastAsia="de-DE"/>
        </w:rPr>
        <w:t xml:space="preserve">Als Beispiele seien hier genannt:</w:t>
      </w:r>
    </w:p>
    <w:p w:rsidRPr="001D488E" w:rsidR="001D488E" w:rsidP="001D488E" w:rsidRDefault="001D488E" w14:paraId="04717A2D" w14:textId="77777777">
      <w:pPr>
        <w:numPr>
          <w:ilvl w:val="1"/>
          <w:numId w:val="18"/>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lastRenderedPageBreak/>
        <w:t xml:space="preserve">Forschung im Rahmen von </w:t>
      </w:r>
      <w:hyperlink w:history="1" r:id="rId30">
        <w:r w:rsidRPr="001D488E">
          <w:rPr>
            <w:rFonts w:ascii="Times New Roman" w:hAnsi="Times New Roman" w:eastAsia="Times New Roman" w:cs="Times New Roman"/>
            <w:color w:val="0000FF"/>
            <w:sz w:val="27"/>
            <w:szCs w:val="27"/>
            <w:u w:val="single"/>
            <w:lang w:val="fr-FR" w:eastAsia="de-DE"/>
          </w:rPr>
          <w:t xml:space="preserve">Horizon 2020</w:t>
        </w:r>
      </w:hyperlink>
      <w:r w:rsidRPr="001D488E">
        <w:rPr>
          <w:rFonts w:ascii="Times New Roman" w:hAnsi="Times New Roman" w:eastAsia="Times New Roman" w:cs="Times New Roman"/>
          <w:color w:val="000000"/>
          <w:sz w:val="27"/>
          <w:szCs w:val="27"/>
          <w:lang w:val="fr-FR" w:eastAsia="de-DE"/>
        </w:rPr>
        <w:t xml:space="preserve">, um neue Lösungen für die Erhaltung und das Management des vom Klimawandel bedrohten Kulturerbes zu finden, an der sich auch Nicht-EU-Länder beteiligen können;</w:t>
      </w:r>
    </w:p>
    <w:p w:rsidRPr="001D488E" w:rsidR="001D488E" w:rsidP="001D488E" w:rsidRDefault="001D488E" w14:paraId="1068CAF2" w14:textId="77777777">
      <w:pPr>
        <w:numPr>
          <w:ilvl w:val="1"/>
          <w:numId w:val="18"/>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die Bekämpfung des Handels mit Kulturgütern, einschließlich der Unterstützung der Ausbildung von Zollbeamten bei Grenzkontrollen, um die frühzeitige Erkennung von gestohlenen Gegenständen zu unterstützen;</w:t>
      </w:r>
    </w:p>
    <w:p w:rsidRPr="001D488E" w:rsidR="001D488E" w:rsidP="001D488E" w:rsidRDefault="001D488E" w14:paraId="1F3E5B0A" w14:textId="77777777">
      <w:pPr>
        <w:numPr>
          <w:ilvl w:val="1"/>
          <w:numId w:val="18"/>
        </w:numPr>
        <w:spacing w:before="240" w:after="240" w:line="240" w:lineRule="auto"/>
        <w:ind w:start="24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Zusammenarbeit mit der </w:t>
      </w:r>
      <w:hyperlink w:history="1" r:id="rId31">
        <w:r w:rsidRPr="001D488E">
          <w:rPr>
            <w:rFonts w:ascii="Times New Roman" w:hAnsi="Times New Roman" w:eastAsia="Times New Roman" w:cs="Times New Roman"/>
            <w:color w:val="0000FF"/>
            <w:sz w:val="27"/>
            <w:szCs w:val="27"/>
            <w:u w:val="single"/>
            <w:lang w:val="fr-FR" w:eastAsia="de-DE"/>
          </w:rPr>
          <w:t xml:space="preserve">UNESCO (Organisation der Vereinten Nationen für Erziehung, Wissenschaft und Kultur) zur Einrichtung </w:t>
        </w:r>
      </w:hyperlink>
      <w:r w:rsidRPr="001D488E">
        <w:rPr>
          <w:rFonts w:ascii="Times New Roman" w:hAnsi="Times New Roman" w:eastAsia="Times New Roman" w:cs="Times New Roman"/>
          <w:color w:val="000000"/>
          <w:sz w:val="27"/>
          <w:szCs w:val="27"/>
          <w:lang w:val="fr-FR" w:eastAsia="de-DE"/>
        </w:rPr>
        <w:t xml:space="preserve">eines </w:t>
      </w:r>
      <w:r w:rsidRPr="001D488E">
        <w:rPr>
          <w:rFonts w:ascii="Times New Roman" w:hAnsi="Times New Roman" w:eastAsia="Times New Roman" w:cs="Times New Roman"/>
          <w:b/>
          <w:bCs/>
          <w:color w:val="000000"/>
          <w:sz w:val="27"/>
          <w:szCs w:val="27"/>
          <w:lang w:val="fr-FR" w:eastAsia="de-DE"/>
        </w:rPr>
        <w:t xml:space="preserve">Schnellreaktionsmechanismus </w:t>
      </w:r>
      <w:r w:rsidRPr="001D488E">
        <w:rPr>
          <w:rFonts w:ascii="Times New Roman" w:hAnsi="Times New Roman" w:eastAsia="Times New Roman" w:cs="Times New Roman"/>
          <w:color w:val="000000"/>
          <w:sz w:val="27"/>
          <w:szCs w:val="27"/>
          <w:lang w:val="fr-FR" w:eastAsia="de-DE"/>
        </w:rPr>
        <w:t xml:space="preserve">für den Schutz von Kulturerbestätten. Der </w:t>
      </w:r>
      <w:hyperlink w:history="1" r:id="rId32">
        <w:r w:rsidRPr="001D488E">
          <w:rPr>
            <w:rFonts w:ascii="Times New Roman" w:hAnsi="Times New Roman" w:eastAsia="Times New Roman" w:cs="Times New Roman"/>
            <w:color w:val="0000FF"/>
            <w:sz w:val="27"/>
            <w:szCs w:val="27"/>
            <w:u w:val="single"/>
            <w:lang w:val="fr-FR" w:eastAsia="de-DE"/>
          </w:rPr>
          <w:t xml:space="preserve">EU-Regionalfonds als Reaktion auf die Syrien-Krise </w:t>
        </w:r>
      </w:hyperlink>
      <w:r w:rsidRPr="001D488E">
        <w:rPr>
          <w:rFonts w:ascii="Times New Roman" w:hAnsi="Times New Roman" w:eastAsia="Times New Roman" w:cs="Times New Roman"/>
          <w:color w:val="000000"/>
          <w:sz w:val="27"/>
          <w:szCs w:val="27"/>
          <w:lang w:val="fr-FR" w:eastAsia="de-DE"/>
        </w:rPr>
        <w:t xml:space="preserve">wird auch zum Schutz des kulturellen Erbes und zur Förderung der kulturellen Vielfalt beitragen.</w:t>
      </w:r>
    </w:p>
    <w:p w:rsidRPr="001D488E" w:rsidR="001D488E" w:rsidP="001D488E" w:rsidRDefault="001D488E" w14:paraId="3637602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Die europäische Zusammenarbeit im Bereich der Kultur umfasst sowohl die EU als auch die Entwicklungsländer und kann verstärkt werden:</w:t>
      </w:r>
    </w:p>
    <w:p w:rsidRPr="001D488E" w:rsidR="001D488E" w:rsidP="001D488E" w:rsidRDefault="001D488E" w14:paraId="0570A9FD"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Ressourcen zu bündeln und in Nicht-EU-Ländern zusammenzuarbeiten;</w:t>
      </w:r>
    </w:p>
    <w:p w:rsidRPr="001D488E" w:rsidR="001D488E" w:rsidP="001D488E" w:rsidRDefault="001D488E" w14:paraId="4E35FF03"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Stärkung der Zusammenarbeit mit nationalen Kulturinstituten innerhalb der EU;</w:t>
      </w:r>
    </w:p>
    <w:p w:rsidRPr="001D488E" w:rsidR="001D488E" w:rsidP="001D488E" w:rsidRDefault="001D488E" w14:paraId="08850776"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durch zunehmende Nutzung von EU-Botschaften in Nicht-EU-Ländern (</w:t>
      </w:r>
      <w:hyperlink w:history="1" r:id="rId33">
        <w:r w:rsidRPr="001D488E">
          <w:rPr>
            <w:rFonts w:ascii="Times New Roman" w:hAnsi="Times New Roman" w:eastAsia="Times New Roman" w:cs="Times New Roman"/>
            <w:color w:val="0000FF"/>
            <w:sz w:val="27"/>
            <w:szCs w:val="27"/>
            <w:u w:val="single"/>
            <w:lang w:val="fr-FR" w:eastAsia="de-DE"/>
          </w:rPr>
          <w:t xml:space="preserve">Delegationen</w:t>
        </w:r>
      </w:hyperlink>
      <w:r w:rsidRP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727BE686"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Schaffung europäischer Kulturzentren, die Dienstleistungen für die lokale Bevölkerung anbieten, an gemeinsamen Projekten teilnehmen und Stipendien sowie Kultur- und Bildungsaustausch anbieten;</w:t>
      </w:r>
    </w:p>
    <w:p w:rsidRPr="001D488E" w:rsidR="001D488E" w:rsidP="001D488E" w:rsidRDefault="001D488E" w14:paraId="1647866A"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die Organisation von gemeinsamen EU-Kulturveranstaltungen;</w:t>
      </w:r>
    </w:p>
    <w:p w:rsidRPr="001D488E" w:rsidR="001D488E" w:rsidP="001D488E" w:rsidRDefault="001D488E" w14:paraId="50FC3AFE"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mit einem Fokus auf strategische internationale Partner;</w:t>
      </w:r>
    </w:p>
    <w:p w:rsidRPr="001D488E" w:rsidR="001D488E" w:rsidP="001D488E" w:rsidRDefault="001D488E" w14:paraId="776FFBBC" w14:textId="77777777">
      <w:pPr>
        <w:numPr>
          <w:ilvl w:val="0"/>
          <w:numId w:val="19"/>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Austausch von Studenten, Forschern und Alumni zwischen EU- und Nicht-EU-Ländern.</w:t>
      </w:r>
    </w:p>
    <w:p w:rsidRPr="001D488E" w:rsidR="001D488E" w:rsidP="001D488E" w:rsidRDefault="001D488E" w14:paraId="1E1956D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Diese kulturelle Strategie kann durch die Nutzung vorhandener Ressourcen gefördert werden, wie z. B.</w:t>
      </w:r>
    </w:p>
    <w:p w:rsidRPr="001D488E" w:rsidR="001D488E" w:rsidP="001D488E" w:rsidRDefault="00E52C24" w14:paraId="4D25D744"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34">
        <w:r w:rsidRPr="001D488E" w:rsidR="001D488E">
          <w:rPr>
            <w:rFonts w:ascii="Times New Roman" w:hAnsi="Times New Roman" w:eastAsia="Times New Roman" w:cs="Times New Roman"/>
            <w:color w:val="0000FF"/>
            <w:sz w:val="27"/>
            <w:szCs w:val="27"/>
            <w:u w:val="single"/>
            <w:lang w:val="fr-FR" w:eastAsia="de-DE"/>
          </w:rPr>
          <w:t xml:space="preserve">das Partnerschaftsinstrument </w:t>
        </w:r>
      </w:hyperlink>
      <w:r w:rsidRPr="001D488E" w:rsidR="001D488E">
        <w:rPr>
          <w:rFonts w:ascii="Times New Roman" w:hAnsi="Times New Roman" w:eastAsia="Times New Roman" w:cs="Times New Roman"/>
          <w:color w:val="000000"/>
          <w:sz w:val="27"/>
          <w:szCs w:val="27"/>
          <w:lang w:val="fr-FR" w:eastAsia="de-DE"/>
        </w:rPr>
        <w:t xml:space="preserve">(europäisches Instrument zur Bewusstseinsbildung);</w:t>
      </w:r>
    </w:p>
    <w:p w:rsidRPr="001D488E" w:rsidR="001D488E" w:rsidP="001D488E" w:rsidRDefault="00E52C24" w14:paraId="3FC01F06"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35">
        <w:r w:rsidRPr="001D488E" w:rsidR="001D488E">
          <w:rPr>
            <w:rFonts w:ascii="Times New Roman" w:hAnsi="Times New Roman" w:eastAsia="Times New Roman" w:cs="Times New Roman"/>
            <w:color w:val="0000FF"/>
            <w:sz w:val="27"/>
            <w:szCs w:val="27"/>
            <w:u w:val="single"/>
            <w:lang w:val="fr-FR" w:eastAsia="de-DE"/>
          </w:rPr>
          <w:t xml:space="preserve">das Europäische Instrument für Demokratie und Menschenrechte</w:t>
        </w:r>
      </w:hyperlink>
      <w:r w:rsidRPr="001D488E" w:rsid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E52C24" w14:paraId="4873026B"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36">
        <w:r w:rsidRPr="001D488E" w:rsidR="001D488E">
          <w:rPr>
            <w:rFonts w:ascii="Times New Roman" w:hAnsi="Times New Roman" w:eastAsia="Times New Roman" w:cs="Times New Roman"/>
            <w:color w:val="0000FF"/>
            <w:sz w:val="27"/>
            <w:szCs w:val="27"/>
            <w:u w:val="single"/>
            <w:lang w:val="fr-FR" w:eastAsia="de-DE"/>
          </w:rPr>
          <w:t xml:space="preserve">das Instrument, das zu Stabilität und Frieden beiträgt</w:t>
        </w:r>
      </w:hyperlink>
      <w:r w:rsidRPr="001D488E" w:rsid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E52C24" w14:paraId="7F30A985"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37">
        <w:r w:rsidRPr="001D488E" w:rsidR="001D488E">
          <w:rPr>
            <w:rFonts w:ascii="Times New Roman" w:hAnsi="Times New Roman" w:eastAsia="Times New Roman" w:cs="Times New Roman"/>
            <w:color w:val="0000FF"/>
            <w:sz w:val="27"/>
            <w:szCs w:val="27"/>
            <w:u w:val="single"/>
            <w:lang w:val="fr-FR" w:eastAsia="de-DE"/>
          </w:rPr>
          <w:t xml:space="preserve">das Programm Kreatives Europa </w:t>
        </w:r>
      </w:hyperlink>
      <w:r w:rsidRPr="001D488E" w:rsidR="001D488E">
        <w:rPr>
          <w:rFonts w:ascii="Times New Roman" w:hAnsi="Times New Roman" w:eastAsia="Times New Roman" w:cs="Times New Roman"/>
          <w:color w:val="000000"/>
          <w:sz w:val="27"/>
          <w:szCs w:val="27"/>
          <w:lang w:val="fr-FR" w:eastAsia="de-DE"/>
        </w:rPr>
        <w:t xml:space="preserve">(Förderung des kulturellen Erbes);</w:t>
      </w:r>
    </w:p>
    <w:p w:rsidRPr="001D488E" w:rsidR="001D488E" w:rsidP="001D488E" w:rsidRDefault="00E52C24" w14:paraId="08E44DAE"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38">
        <w:r w:rsidRPr="001D488E" w:rsidR="001D488E">
          <w:rPr>
            <w:rFonts w:ascii="Times New Roman" w:hAnsi="Times New Roman" w:eastAsia="Times New Roman" w:cs="Times New Roman"/>
            <w:color w:val="0000FF"/>
            <w:sz w:val="27"/>
            <w:szCs w:val="27"/>
            <w:u w:val="single"/>
            <w:lang w:val="fr-FR" w:eastAsia="de-DE"/>
          </w:rPr>
          <w:t xml:space="preserve">EU-Erweiterungspolitik </w:t>
        </w:r>
      </w:hyperlink>
      <w:r w:rsidRPr="001D488E" w:rsidR="001D488E">
        <w:rPr>
          <w:rFonts w:ascii="Times New Roman" w:hAnsi="Times New Roman" w:eastAsia="Times New Roman" w:cs="Times New Roman"/>
          <w:color w:val="000000"/>
          <w:sz w:val="27"/>
          <w:szCs w:val="27"/>
          <w:lang w:val="fr-FR" w:eastAsia="de-DE"/>
        </w:rPr>
        <w:t xml:space="preserve">(einschließlich Kulturpolitik);</w:t>
      </w:r>
    </w:p>
    <w:p w:rsidRPr="001D488E" w:rsidR="001D488E" w:rsidP="001D488E" w:rsidRDefault="00E52C24" w14:paraId="3984B127"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39">
        <w:r w:rsidRPr="001D488E" w:rsidR="001D488E">
          <w:rPr>
            <w:rFonts w:ascii="Times New Roman" w:hAnsi="Times New Roman" w:eastAsia="Times New Roman" w:cs="Times New Roman"/>
            <w:color w:val="0000FF"/>
            <w:sz w:val="27"/>
            <w:szCs w:val="27"/>
            <w:u w:val="single"/>
            <w:lang w:val="fr-FR" w:eastAsia="de-DE"/>
          </w:rPr>
          <w:t xml:space="preserve">Europäische Nachbarschaftspolitik </w:t>
        </w:r>
      </w:hyperlink>
      <w:r w:rsidRPr="001D488E" w:rsidR="001D488E">
        <w:rPr>
          <w:rFonts w:ascii="Times New Roman" w:hAnsi="Times New Roman" w:eastAsia="Times New Roman" w:cs="Times New Roman"/>
          <w:color w:val="000000"/>
          <w:sz w:val="27"/>
          <w:szCs w:val="27"/>
          <w:lang w:val="fr-FR" w:eastAsia="de-DE"/>
        </w:rPr>
        <w:t xml:space="preserve">(Beziehungen zu 16 Nachbarländern);</w:t>
      </w:r>
    </w:p>
    <w:p w:rsidRPr="001D488E" w:rsidR="001D488E" w:rsidP="001D488E" w:rsidRDefault="00E52C24" w14:paraId="328CEDB3"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40">
        <w:r w:rsidRPr="001D488E" w:rsidR="001D488E">
          <w:rPr>
            <w:rFonts w:ascii="Times New Roman" w:hAnsi="Times New Roman" w:eastAsia="Times New Roman" w:cs="Times New Roman"/>
            <w:color w:val="0000FF"/>
            <w:sz w:val="27"/>
            <w:szCs w:val="27"/>
            <w:u w:val="single"/>
            <w:lang w:val="fr-FR" w:eastAsia="de-DE"/>
          </w:rPr>
          <w:t xml:space="preserve">das Instrument der Entwicklungszusammenarbeit</w:t>
        </w:r>
      </w:hyperlink>
      <w:r w:rsidRPr="001D488E" w:rsid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E52C24" w14:paraId="6387BF45" w14:textId="77777777">
      <w:pPr>
        <w:numPr>
          <w:ilvl w:val="0"/>
          <w:numId w:val="2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41">
        <w:r w:rsidRPr="001D488E" w:rsidR="001D488E">
          <w:rPr>
            <w:rFonts w:ascii="Times New Roman" w:hAnsi="Times New Roman" w:eastAsia="Times New Roman" w:cs="Times New Roman"/>
            <w:color w:val="0000FF"/>
            <w:sz w:val="27"/>
            <w:szCs w:val="27"/>
            <w:u w:val="single"/>
            <w:lang w:val="fr-FR" w:eastAsia="de-DE"/>
          </w:rPr>
          <w:t xml:space="preserve">das Cotonou-Abkommen </w:t>
        </w:r>
      </w:hyperlink>
      <w:r w:rsidRPr="001D488E" w:rsidR="001D488E">
        <w:rPr>
          <w:rFonts w:ascii="Times New Roman" w:hAnsi="Times New Roman" w:eastAsia="Times New Roman" w:cs="Times New Roman"/>
          <w:color w:val="000000"/>
          <w:sz w:val="27"/>
          <w:szCs w:val="27"/>
          <w:lang w:val="fr-FR" w:eastAsia="de-DE"/>
        </w:rPr>
        <w:t xml:space="preserve">(Zusammenarbeit zwischen der EU und den Staaten Afrikas, der Karibik und des Pazifiks).</w:t>
      </w:r>
    </w:p>
    <w:p w:rsidRPr="001D488E" w:rsidR="001D488E" w:rsidP="001D488E" w:rsidRDefault="001D488E" w14:paraId="69C1B2B3" w14:textId="77777777">
      <w:pPr>
        <w:spacing w:before="390" w:after="195" w:line="240" w:lineRule="auto"/>
        <w:rPr>
          <w:rFonts w:ascii="Times New Roman" w:hAnsi="Times New Roman" w:eastAsia="Times New Roman" w:cs="Times New Roman"/>
          <w:b/>
          <w:bCs/>
          <w:color w:val="444444"/>
          <w:sz w:val="27"/>
          <w:szCs w:val="27"/>
          <w:lang w:eastAsia="de-DE"/>
        </w:rPr>
      </w:pPr>
      <w:r w:rsidRPr="001D488E">
        <w:rPr>
          <w:rFonts w:ascii="Times New Roman" w:hAnsi="Times New Roman" w:eastAsia="Times New Roman" w:cs="Times New Roman"/>
          <w:b/>
          <w:bCs/>
          <w:color w:val="444444"/>
          <w:sz w:val="27"/>
          <w:szCs w:val="27"/>
          <w:lang w:eastAsia="de-DE"/>
        </w:rPr>
        <w:t xml:space="preserve">HINTERGRUND</w:t>
      </w:r>
    </w:p>
    <w:p w:rsidRPr="001D488E" w:rsidR="001D488E" w:rsidP="001D488E" w:rsidRDefault="00E52C24" w14:paraId="46F167CD" w14:textId="77777777">
      <w:pPr>
        <w:numPr>
          <w:ilvl w:val="0"/>
          <w:numId w:val="21"/>
        </w:numPr>
        <w:spacing w:before="240" w:after="240" w:line="240" w:lineRule="auto"/>
        <w:ind w:start="1200"/>
        <w:rPr>
          <w:rFonts w:ascii="Times New Roman" w:hAnsi="Times New Roman" w:eastAsia="Times New Roman" w:cs="Times New Roman"/>
          <w:color w:val="000000"/>
          <w:sz w:val="27"/>
          <w:szCs w:val="27"/>
          <w:lang w:eastAsia="de-DE"/>
        </w:rPr>
      </w:pPr>
      <w:hyperlink w:history="1" r:id="rId42">
        <w:r w:rsidRPr="001D488E" w:rsidR="001D488E">
          <w:rPr>
            <w:rFonts w:ascii="Times New Roman" w:hAnsi="Times New Roman" w:eastAsia="Times New Roman" w:cs="Times New Roman"/>
            <w:color w:val="0000FF"/>
            <w:sz w:val="27"/>
            <w:szCs w:val="27"/>
            <w:u w:val="single"/>
            <w:lang w:eastAsia="de-DE"/>
          </w:rPr>
          <w:t xml:space="preserve">Europäische </w:t>
        </w:r>
        <w:r w:rsidRPr="001D488E" w:rsidR="001D488E">
          <w:rPr>
            <w:rFonts w:ascii="Times New Roman" w:hAnsi="Times New Roman" w:eastAsia="Times New Roman" w:cs="Times New Roman"/>
            <w:color w:val="0000FF"/>
            <w:sz w:val="27"/>
            <w:szCs w:val="27"/>
            <w:u w:val="single"/>
            <w:lang w:eastAsia="de-DE"/>
          </w:rPr>
          <w:t xml:space="preserve">Agenda für </w:t>
        </w:r>
        <w:r w:rsidRPr="001D488E" w:rsidR="001D488E">
          <w:rPr>
            <w:rFonts w:ascii="Times New Roman" w:hAnsi="Times New Roman" w:eastAsia="Times New Roman" w:cs="Times New Roman"/>
            <w:color w:val="0000FF"/>
            <w:sz w:val="27"/>
            <w:szCs w:val="27"/>
            <w:u w:val="single"/>
            <w:lang w:eastAsia="de-DE"/>
          </w:rPr>
          <w:t xml:space="preserve">Kultur</w:t>
        </w:r>
      </w:hyperlink>
    </w:p>
    <w:p w:rsidRPr="001D488E" w:rsidR="001D488E" w:rsidP="001D488E" w:rsidRDefault="00E52C24" w14:paraId="3627F718" w14:textId="77777777">
      <w:pPr>
        <w:numPr>
          <w:ilvl w:val="0"/>
          <w:numId w:val="21"/>
        </w:numPr>
        <w:spacing w:before="240" w:after="240" w:line="240" w:lineRule="auto"/>
        <w:ind w:start="1200"/>
        <w:rPr>
          <w:rFonts w:ascii="Times New Roman" w:hAnsi="Times New Roman" w:eastAsia="Times New Roman" w:cs="Times New Roman"/>
          <w:color w:val="000000"/>
          <w:sz w:val="27"/>
          <w:szCs w:val="27"/>
          <w:lang w:eastAsia="de-DE"/>
        </w:rPr>
      </w:pPr>
      <w:hyperlink w:history="1" r:id="rId43">
        <w:r w:rsidRPr="001D488E" w:rsidR="001D488E">
          <w:rPr>
            <w:rFonts w:ascii="Times New Roman" w:hAnsi="Times New Roman" w:eastAsia="Times New Roman" w:cs="Times New Roman"/>
            <w:color w:val="0000FF"/>
            <w:sz w:val="27"/>
            <w:szCs w:val="27"/>
            <w:u w:val="single"/>
            <w:lang w:eastAsia="de-DE"/>
          </w:rPr>
          <w:t xml:space="preserve">Globale </w:t>
        </w:r>
        <w:r w:rsidRPr="001D488E" w:rsidR="001D488E">
          <w:rPr>
            <w:rFonts w:ascii="Times New Roman" w:hAnsi="Times New Roman" w:eastAsia="Times New Roman" w:cs="Times New Roman"/>
            <w:color w:val="0000FF"/>
            <w:sz w:val="27"/>
            <w:szCs w:val="27"/>
            <w:u w:val="single"/>
            <w:lang w:eastAsia="de-DE"/>
          </w:rPr>
          <w:t xml:space="preserve">Strategie </w:t>
        </w:r>
        <w:r w:rsidRPr="001D488E" w:rsidR="001D488E">
          <w:rPr>
            <w:rFonts w:ascii="Times New Roman" w:hAnsi="Times New Roman" w:eastAsia="Times New Roman" w:cs="Times New Roman"/>
            <w:color w:val="0000FF"/>
            <w:sz w:val="27"/>
            <w:szCs w:val="27"/>
            <w:u w:val="single"/>
            <w:lang w:eastAsia="de-DE"/>
          </w:rPr>
          <w:t xml:space="preserve">für die </w:t>
        </w:r>
        <w:r w:rsidRPr="001D488E" w:rsidR="001D488E">
          <w:rPr>
            <w:rFonts w:ascii="Times New Roman" w:hAnsi="Times New Roman" w:eastAsia="Times New Roman" w:cs="Times New Roman"/>
            <w:color w:val="0000FF"/>
            <w:sz w:val="27"/>
            <w:szCs w:val="27"/>
            <w:u w:val="single"/>
            <w:lang w:eastAsia="de-DE"/>
          </w:rPr>
          <w:t xml:space="preserve">Europäische Union</w:t>
        </w:r>
      </w:hyperlink>
    </w:p>
    <w:p w:rsidRPr="001D488E" w:rsidR="001D488E" w:rsidP="001D488E" w:rsidRDefault="00E52C24" w14:paraId="363F2278" w14:textId="77777777">
      <w:pPr>
        <w:numPr>
          <w:ilvl w:val="0"/>
          <w:numId w:val="21"/>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44">
        <w:r w:rsidRPr="001D488E" w:rsidR="001D488E">
          <w:rPr>
            <w:rFonts w:ascii="Times New Roman" w:hAnsi="Times New Roman" w:eastAsia="Times New Roman" w:cs="Times New Roman"/>
            <w:color w:val="0000FF"/>
            <w:sz w:val="27"/>
            <w:szCs w:val="27"/>
            <w:u w:val="single"/>
            <w:lang w:val="fr-FR" w:eastAsia="de-DE"/>
          </w:rPr>
          <w:t xml:space="preserve">Europäisches Jahr des Kulturerbes 2018</w:t>
        </w:r>
      </w:hyperlink>
    </w:p>
    <w:p w:rsidRPr="001D488E" w:rsidR="001D488E" w:rsidP="001D488E" w:rsidRDefault="001D488E" w14:paraId="2F1A2BC3"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SCHLÜSSELBEGRIFFE</w:t>
      </w:r>
    </w:p>
    <w:p w:rsidRPr="001D488E" w:rsidR="001D488E" w:rsidP="001D488E" w:rsidRDefault="001D488E" w14:paraId="1A0DAD56" w14:textId="77777777">
      <w:pPr>
        <w:spacing w:after="0" w:line="240" w:lineRule="auto"/>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b/>
          <w:bCs/>
          <w:color w:val="000000"/>
          <w:sz w:val="27"/>
          <w:szCs w:val="27"/>
          <w:lang w:val="fr-FR" w:eastAsia="de-DE"/>
        </w:rPr>
        <w:t xml:space="preserve">Interkultureller Dialog: </w:t>
      </w:r>
      <w:r w:rsidRPr="001D488E">
        <w:rPr>
          <w:rFonts w:ascii="Times New Roman" w:hAnsi="Times New Roman" w:eastAsia="Times New Roman" w:cs="Times New Roman"/>
          <w:color w:val="000000"/>
          <w:sz w:val="27"/>
          <w:szCs w:val="27"/>
          <w:lang w:val="fr-FR" w:eastAsia="de-DE"/>
        </w:rPr>
        <w:t xml:space="preserve">der Austausch von Ideen, Ansichten und Meinungen zwischen verschiedenen Kulturen.</w:t>
      </w:r>
    </w:p>
    <w:p w:rsidRPr="001D488E" w:rsidR="001D488E" w:rsidP="001D488E" w:rsidRDefault="001D488E" w14:paraId="19BF7963"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SCHLÜSSELDOKUMENTE</w:t>
      </w:r>
    </w:p>
    <w:p w:rsidRPr="001D488E" w:rsidR="001D488E" w:rsidP="001D488E" w:rsidRDefault="001D488E" w14:paraId="61A086D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Gemeinsame Mitteilung an das Europäische Parlament und den Rat: Hin zu einer EU-Strategie im Bereich der internationalen Kulturbeziehungen [</w:t>
      </w:r>
      <w:hyperlink w:history="1" r:id="rId45">
        <w:r w:rsidRPr="001D488E">
          <w:rPr>
            <w:rFonts w:ascii="Times New Roman" w:hAnsi="Times New Roman" w:eastAsia="Times New Roman" w:cs="Times New Roman"/>
            <w:color w:val="0000FF"/>
            <w:sz w:val="27"/>
            <w:szCs w:val="27"/>
            <w:u w:val="single"/>
            <w:lang w:val="fr-FR" w:eastAsia="de-DE"/>
          </w:rPr>
          <w:t xml:space="preserve">JOIN(2016) 29 final</w:t>
        </w:r>
      </w:hyperlink>
      <w:r w:rsidRPr="001D488E">
        <w:rPr>
          <w:rFonts w:ascii="Times New Roman" w:hAnsi="Times New Roman" w:eastAsia="Times New Roman" w:cs="Times New Roman"/>
          <w:color w:val="000000"/>
          <w:sz w:val="27"/>
          <w:szCs w:val="27"/>
          <w:lang w:val="fr-FR" w:eastAsia="de-DE"/>
        </w:rPr>
        <w:t xml:space="preserve">, 8.6.2016].</w:t>
      </w:r>
    </w:p>
    <w:p w:rsidRPr="001D488E" w:rsidR="001D488E" w:rsidP="001D488E" w:rsidRDefault="001D488E" w14:paraId="6661783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Konsolidierte Fassung des Vertrags über die Arbeitsweise der Europäischen Union - Erster Teil: Grundsätze - Titel I: Kategorien und Bereiche der Zuständigkeit der Union - </w:t>
      </w:r>
      <w:hyperlink w:history="1" r:id="rId46">
        <w:r w:rsidRPr="001D488E">
          <w:rPr>
            <w:rFonts w:ascii="Times New Roman" w:hAnsi="Times New Roman" w:eastAsia="Times New Roman" w:cs="Times New Roman"/>
            <w:color w:val="0000FF"/>
            <w:sz w:val="27"/>
            <w:szCs w:val="27"/>
            <w:u w:val="single"/>
            <w:lang w:val="fr-FR" w:eastAsia="de-DE"/>
          </w:rPr>
          <w:t xml:space="preserve">Artikel 6 </w:t>
        </w:r>
      </w:hyperlink>
      <w:r w:rsidRPr="001D488E">
        <w:rPr>
          <w:rFonts w:ascii="Times New Roman" w:hAnsi="Times New Roman" w:eastAsia="Times New Roman" w:cs="Times New Roman"/>
          <w:color w:val="000000"/>
          <w:sz w:val="27"/>
          <w:szCs w:val="27"/>
          <w:lang w:val="fr-FR" w:eastAsia="de-DE"/>
        </w:rPr>
        <w:t xml:space="preserve">(ABl. C 202 vom 7.6.2016, S. 52-53)</w:t>
      </w:r>
    </w:p>
    <w:p w:rsidRPr="001D488E" w:rsidR="001D488E" w:rsidP="001D488E" w:rsidRDefault="001D488E" w14:paraId="444E945A"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ZUGEHÖRIGE DOKUMENTE</w:t>
      </w:r>
    </w:p>
    <w:p w:rsidRPr="001D488E" w:rsidR="001D488E" w:rsidP="001D488E" w:rsidRDefault="00E52C24" w14:paraId="159E1285"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47">
        <w:r w:rsidRPr="001D488E" w:rsidR="001D488E">
          <w:rPr>
            <w:rFonts w:ascii="Times New Roman" w:hAnsi="Times New Roman" w:eastAsia="Times New Roman" w:cs="Times New Roman"/>
            <w:color w:val="0000FF"/>
            <w:sz w:val="27"/>
            <w:szCs w:val="27"/>
            <w:u w:val="single"/>
            <w:lang w:val="fr-FR" w:eastAsia="de-DE"/>
          </w:rPr>
          <w:t xml:space="preserve">Schlussfolgerungen </w:t>
        </w:r>
      </w:hyperlink>
      <w:r w:rsidRPr="001D488E" w:rsidR="001D488E">
        <w:rPr>
          <w:rFonts w:ascii="Times New Roman" w:hAnsi="Times New Roman" w:eastAsia="Times New Roman" w:cs="Times New Roman"/>
          <w:color w:val="000000"/>
          <w:sz w:val="27"/>
          <w:szCs w:val="27"/>
          <w:lang w:val="fr-FR" w:eastAsia="de-DE"/>
        </w:rPr>
        <w:t xml:space="preserve">des Rates zur Kultur in den Außenbeziehungen der Europäischen Union, insbesondere im Rahmen der Entwicklungszusammenarbeit (ABl. C 417 vom 15.12.2015, S. 41-43)</w:t>
      </w:r>
    </w:p>
    <w:p w:rsidRPr="001D488E" w:rsidR="001D488E" w:rsidP="001D488E" w:rsidRDefault="00E52C24" w14:paraId="6C393947"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48">
        <w:r w:rsidRPr="001D488E" w:rsidR="001D488E">
          <w:rPr>
            <w:rFonts w:ascii="Times New Roman" w:hAnsi="Times New Roman" w:eastAsia="Times New Roman" w:cs="Times New Roman"/>
            <w:color w:val="0000FF"/>
            <w:sz w:val="27"/>
            <w:szCs w:val="27"/>
            <w:u w:val="single"/>
            <w:lang w:val="fr-FR" w:eastAsia="de-DE"/>
          </w:rPr>
          <w:t xml:space="preserve">Schlussfolgerungen </w:t>
        </w:r>
      </w:hyperlink>
      <w:r w:rsidRPr="001D488E" w:rsidR="001D488E">
        <w:rPr>
          <w:rFonts w:ascii="Times New Roman" w:hAnsi="Times New Roman" w:eastAsia="Times New Roman" w:cs="Times New Roman"/>
          <w:color w:val="000000"/>
          <w:sz w:val="27"/>
          <w:szCs w:val="27"/>
          <w:lang w:val="fr-FR" w:eastAsia="de-DE"/>
        </w:rPr>
        <w:t xml:space="preserve">des Rates und der im Rat vereinigten Vertreter der Regierungen der Mitgliedstaaten zur Förderung der kulturellen Vielfalt und des interkulturellen Dialogs in den Außenbeziehungen der Union und ihrer Mitgliedstaaten (ABl. C 320 vom 16.12.2008, S. 10-12)</w:t>
      </w:r>
    </w:p>
    <w:p w:rsidRPr="001D488E" w:rsidR="001D488E" w:rsidP="001D488E" w:rsidRDefault="001D488E" w14:paraId="6A574523"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lastRenderedPageBreak/>
        <w:t xml:space="preserve">zuletzt geändert am 17.07.2017</w:t>
      </w:r>
    </w:p>
    <w:p w:rsidRPr="001D488E" w:rsidR="001D488E" w:rsidP="001D488E" w:rsidRDefault="001D488E" w14:paraId="243D4B3E"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1D488E">
        <w:rPr>
          <w:rFonts w:ascii="Times New Roman" w:hAnsi="Times New Roman" w:eastAsia="Times New Roman" w:cs="Times New Roman"/>
          <w:b/>
          <w:bCs/>
          <w:color w:val="444444"/>
          <w:sz w:val="42"/>
          <w:szCs w:val="42"/>
          <w:lang w:val="fr-FR" w:eastAsia="de-DE"/>
        </w:rPr>
        <w:t xml:space="preserve">IT im Bereich des Zolls</w:t>
      </w:r>
    </w:p>
    <w:p w:rsidRPr="001D488E" w:rsidR="001D488E" w:rsidP="001D488E" w:rsidRDefault="001D488E" w14:paraId="5E7C61B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 </w:t>
      </w:r>
    </w:p>
    <w:p w:rsidRPr="001D488E" w:rsidR="001D488E" w:rsidP="001D488E" w:rsidRDefault="001D488E" w14:paraId="64BD7B4D"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DOKUMENTENZUSAMMENFASSUNG:</w:t>
      </w:r>
    </w:p>
    <w:p w:rsidRPr="001D488E" w:rsidR="001D488E" w:rsidP="001D488E" w:rsidRDefault="00E52C24" w14:paraId="5430204C"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49">
        <w:r w:rsidRPr="001D488E" w:rsidR="001D488E">
          <w:rPr>
            <w:rFonts w:ascii="Times New Roman" w:hAnsi="Times New Roman" w:eastAsia="Times New Roman" w:cs="Times New Roman"/>
            <w:color w:val="0000FF"/>
            <w:sz w:val="27"/>
            <w:szCs w:val="27"/>
            <w:u w:val="single"/>
            <w:lang w:val="fr-FR" w:eastAsia="de-DE"/>
          </w:rPr>
          <w:t xml:space="preserve">Beschluss 2009/917/JI über den Einsatz der Informationstechnologie im Zollbereich</w:t>
        </w:r>
      </w:hyperlink>
    </w:p>
    <w:p w:rsidRPr="001D488E" w:rsidR="001D488E" w:rsidP="001D488E" w:rsidRDefault="001D488E" w14:paraId="5553EFF4"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WAS IST DER GRUND FÜR DIESE ENTSCHEIDUNG?</w:t>
      </w:r>
    </w:p>
    <w:p w:rsidRPr="001D488E" w:rsidR="001D488E" w:rsidP="001D488E" w:rsidRDefault="001D488E" w14:paraId="10295682" w14:textId="77777777">
      <w:pPr>
        <w:numPr>
          <w:ilvl w:val="0"/>
          <w:numId w:val="22"/>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Es ersetzt und aktualisiert das </w:t>
      </w:r>
      <w:hyperlink w:history="1" r:id="rId50">
        <w:r w:rsidRPr="001D488E">
          <w:rPr>
            <w:rFonts w:ascii="Times New Roman" w:hAnsi="Times New Roman" w:eastAsia="Times New Roman" w:cs="Times New Roman"/>
            <w:color w:val="0000FF"/>
            <w:sz w:val="27"/>
            <w:szCs w:val="27"/>
            <w:u w:val="single"/>
            <w:lang w:val="fr-FR" w:eastAsia="de-DE"/>
          </w:rPr>
          <w:t xml:space="preserve">Übereinkommen über den Einsatz der Informationstechnologie im Zollbereich (ZIS-Übereinkommen) </w:t>
        </w:r>
      </w:hyperlink>
      <w:r w:rsidRPr="001D488E">
        <w:rPr>
          <w:rFonts w:ascii="Times New Roman" w:hAnsi="Times New Roman" w:eastAsia="Times New Roman" w:cs="Times New Roman"/>
          <w:color w:val="000000"/>
          <w:sz w:val="27"/>
          <w:szCs w:val="27"/>
          <w:lang w:val="fr-FR" w:eastAsia="de-DE"/>
        </w:rPr>
        <w:t xml:space="preserve">von 1995. Darüber hinaus stellt es die Einhaltung der Verordnung (EG) Nr. </w:t>
      </w:r>
      <w:hyperlink w:history="1" r:id="rId51">
        <w:r w:rsidRPr="001D488E">
          <w:rPr>
            <w:rFonts w:ascii="Times New Roman" w:hAnsi="Times New Roman" w:eastAsia="Times New Roman" w:cs="Times New Roman"/>
            <w:color w:val="0000FF"/>
            <w:sz w:val="27"/>
            <w:szCs w:val="27"/>
            <w:u w:val="single"/>
            <w:lang w:val="fr-FR" w:eastAsia="de-DE"/>
          </w:rPr>
          <w:t xml:space="preserve">766/2008 </w:t>
        </w:r>
      </w:hyperlink>
      <w:r w:rsidRPr="001D488E">
        <w:rPr>
          <w:rFonts w:ascii="Times New Roman" w:hAnsi="Times New Roman" w:eastAsia="Times New Roman" w:cs="Times New Roman"/>
          <w:color w:val="000000"/>
          <w:sz w:val="27"/>
          <w:szCs w:val="27"/>
          <w:lang w:val="fr-FR" w:eastAsia="de-DE"/>
        </w:rPr>
        <w:t xml:space="preserve">sicher</w:t>
      </w:r>
      <w:r w:rsidRPr="001D488E">
        <w:rPr>
          <w:rFonts w:ascii="Times New Roman" w:hAnsi="Times New Roman" w:eastAsia="Times New Roman" w:cs="Times New Roman"/>
          <w:color w:val="000000"/>
          <w:sz w:val="27"/>
          <w:szCs w:val="27"/>
          <w:lang w:val="fr-FR" w:eastAsia="de-DE"/>
        </w:rPr>
        <w:t xml:space="preserve">, die die Verordnung (EG) Nr. </w:t>
      </w:r>
      <w:hyperlink w:history="1" r:id="rId52">
        <w:r w:rsidRPr="001D488E">
          <w:rPr>
            <w:rFonts w:ascii="Times New Roman" w:hAnsi="Times New Roman" w:eastAsia="Times New Roman" w:cs="Times New Roman"/>
            <w:color w:val="0000FF"/>
            <w:sz w:val="27"/>
            <w:szCs w:val="27"/>
            <w:u w:val="single"/>
            <w:lang w:val="fr-FR" w:eastAsia="de-DE"/>
          </w:rPr>
          <w:t xml:space="preserve">515/97 </w:t>
        </w:r>
      </w:hyperlink>
      <w:r w:rsidRPr="001D488E">
        <w:rPr>
          <w:rFonts w:ascii="Times New Roman" w:hAnsi="Times New Roman" w:eastAsia="Times New Roman" w:cs="Times New Roman"/>
          <w:color w:val="000000"/>
          <w:sz w:val="27"/>
          <w:szCs w:val="27"/>
          <w:lang w:val="fr-FR" w:eastAsia="de-DE"/>
        </w:rPr>
        <w:t xml:space="preserve">(siehe </w:t>
      </w:r>
      <w:hyperlink w:history="1" r:id="rId53">
        <w:r w:rsidRPr="001D488E">
          <w:rPr>
            <w:rFonts w:ascii="Times New Roman" w:hAnsi="Times New Roman" w:eastAsia="Times New Roman" w:cs="Times New Roman"/>
            <w:color w:val="0000FF"/>
            <w:sz w:val="27"/>
            <w:szCs w:val="27"/>
            <w:u w:val="single"/>
            <w:lang w:val="fr-FR" w:eastAsia="de-DE"/>
          </w:rPr>
          <w:t xml:space="preserve">Zusammenfassung des Zollinformationssystems (ZIS)</w:t>
        </w:r>
      </w:hyperlink>
      <w:r w:rsidRPr="001D488E">
        <w:rPr>
          <w:rFonts w:ascii="Times New Roman" w:hAnsi="Times New Roman" w:eastAsia="Times New Roman" w:cs="Times New Roman"/>
          <w:color w:val="000000"/>
          <w:sz w:val="27"/>
          <w:szCs w:val="27"/>
          <w:lang w:val="fr-FR" w:eastAsia="de-DE"/>
        </w:rPr>
        <w:t xml:space="preserve">) über die Zusammenarbeit zwischen den Ländern der Europäischen Union (EU) und der </w:t>
      </w:r>
      <w:hyperlink w:history="1" r:id="rId54">
        <w:r w:rsidRPr="001D488E">
          <w:rPr>
            <w:rFonts w:ascii="Times New Roman" w:hAnsi="Times New Roman" w:eastAsia="Times New Roman" w:cs="Times New Roman"/>
            <w:color w:val="0000FF"/>
            <w:sz w:val="27"/>
            <w:szCs w:val="27"/>
            <w:u w:val="single"/>
            <w:lang w:val="fr-FR" w:eastAsia="de-DE"/>
          </w:rPr>
          <w:t xml:space="preserve">Europäischen Kommission zur </w:t>
        </w:r>
      </w:hyperlink>
      <w:r w:rsidRPr="001D488E">
        <w:rPr>
          <w:rFonts w:ascii="Times New Roman" w:hAnsi="Times New Roman" w:eastAsia="Times New Roman" w:cs="Times New Roman"/>
          <w:color w:val="000000"/>
          <w:sz w:val="27"/>
          <w:szCs w:val="27"/>
          <w:lang w:val="fr-FR" w:eastAsia="de-DE"/>
        </w:rPr>
        <w:t xml:space="preserve">Gewährleistung der ordnungsgemäßen Anwendung der Zoll- und Agrarregelung </w:t>
      </w:r>
      <w:r w:rsidRPr="001D488E">
        <w:rPr>
          <w:rFonts w:ascii="Times New Roman" w:hAnsi="Times New Roman" w:eastAsia="Times New Roman" w:cs="Times New Roman"/>
          <w:color w:val="000000"/>
          <w:sz w:val="27"/>
          <w:szCs w:val="27"/>
          <w:lang w:val="fr-FR" w:eastAsia="de-DE"/>
        </w:rPr>
        <w:t xml:space="preserve">ändert.</w:t>
      </w:r>
    </w:p>
    <w:p w:rsidRPr="001D488E" w:rsidR="001D488E" w:rsidP="001D488E" w:rsidRDefault="001D488E" w14:paraId="1CE87E2A" w14:textId="77777777">
      <w:pPr>
        <w:numPr>
          <w:ilvl w:val="0"/>
          <w:numId w:val="22"/>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Ziel des ZIS ist es, durch die Verbesserung der Effektivität der Zusammenarbeit und der Kontrollverfahren der Zollverwaltungen der EU-Länder durch die schnellere Verbreitung von Informationen dazu beizutragen, schwere Verstöße gegen nationale Gesetze zu verhindern, zu untersuchen und zu verfolgen.</w:t>
      </w:r>
    </w:p>
    <w:p w:rsidRPr="001D488E" w:rsidR="001D488E" w:rsidP="001D488E" w:rsidRDefault="001D488E" w14:paraId="1E3CC8EF"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SCHLÜSSELPUNKTE</w:t>
      </w:r>
    </w:p>
    <w:p w:rsidRPr="001D488E" w:rsidR="001D488E" w:rsidP="001D488E" w:rsidRDefault="001D488E" w14:paraId="1CF52AB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Das CIS besteht aus einer </w:t>
      </w:r>
      <w:r w:rsidRPr="001D488E">
        <w:rPr>
          <w:rFonts w:ascii="Times New Roman" w:hAnsi="Times New Roman" w:eastAsia="Times New Roman" w:cs="Times New Roman"/>
          <w:color w:val="000000"/>
          <w:sz w:val="27"/>
          <w:szCs w:val="27"/>
          <w:lang w:val="fr-FR" w:eastAsia="de-DE"/>
        </w:rPr>
        <w:t xml:space="preserve">zentralen Datenbank, die von jedem EU-Land aus zugänglich ist. Sie enthält nur die Daten, einschließlich personenbezogener Daten, die zur Erfüllung des Zwecks in den folgenden Bereichen erforderlich sind</w:t>
      </w:r>
    </w:p>
    <w:p w:rsidRPr="001D488E" w:rsidR="001D488E" w:rsidP="001D488E" w:rsidRDefault="001D488E" w14:paraId="0474FA5D"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Waren (Produkte, die verkauft oder gekauft werden können);</w:t>
      </w:r>
    </w:p>
    <w:p w:rsidRPr="001D488E" w:rsidR="001D488E" w:rsidP="001D488E" w:rsidRDefault="001D488E" w14:paraId="16B57EA1"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color w:val="000000"/>
          <w:sz w:val="27"/>
          <w:szCs w:val="27"/>
          <w:lang w:eastAsia="de-DE"/>
        </w:rPr>
        <w:t xml:space="preserve">Transportmittel</w:t>
      </w:r>
      <w:r w:rsidRPr="001D488E">
        <w:rPr>
          <w:rFonts w:ascii="Times New Roman" w:hAnsi="Times New Roman" w:eastAsia="Times New Roman" w:cs="Times New Roman"/>
          <w:color w:val="000000"/>
          <w:sz w:val="27"/>
          <w:szCs w:val="27"/>
          <w:lang w:eastAsia="de-DE"/>
        </w:rPr>
        <w:t xml:space="preserve">;</w:t>
      </w:r>
    </w:p>
    <w:p w:rsidRPr="001D488E" w:rsidR="001D488E" w:rsidP="001D488E" w:rsidRDefault="001D488E" w14:paraId="4BC7ACD8"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color w:val="000000"/>
          <w:sz w:val="27"/>
          <w:szCs w:val="27"/>
          <w:lang w:eastAsia="de-DE"/>
        </w:rPr>
        <w:t xml:space="preserve">Unternehmen</w:t>
      </w:r>
      <w:r w:rsidRPr="001D488E">
        <w:rPr>
          <w:rFonts w:ascii="Times New Roman" w:hAnsi="Times New Roman" w:eastAsia="Times New Roman" w:cs="Times New Roman"/>
          <w:color w:val="000000"/>
          <w:sz w:val="27"/>
          <w:szCs w:val="27"/>
          <w:lang w:eastAsia="de-DE"/>
        </w:rPr>
        <w:t xml:space="preserve">;</w:t>
      </w:r>
    </w:p>
    <w:p w:rsidRPr="001D488E" w:rsidR="001D488E" w:rsidP="001D488E" w:rsidRDefault="001D488E" w14:paraId="463EC9D0"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color w:val="000000"/>
          <w:sz w:val="27"/>
          <w:szCs w:val="27"/>
          <w:lang w:eastAsia="de-DE"/>
        </w:rPr>
        <w:t xml:space="preserve">Menschen</w:t>
      </w:r>
      <w:r w:rsidRPr="001D488E">
        <w:rPr>
          <w:rFonts w:ascii="Times New Roman" w:hAnsi="Times New Roman" w:eastAsia="Times New Roman" w:cs="Times New Roman"/>
          <w:color w:val="000000"/>
          <w:sz w:val="27"/>
          <w:szCs w:val="27"/>
          <w:lang w:eastAsia="de-DE"/>
        </w:rPr>
        <w:t xml:space="preserve">;</w:t>
      </w:r>
    </w:p>
    <w:p w:rsidRPr="001D488E" w:rsidR="001D488E" w:rsidP="001D488E" w:rsidRDefault="001D488E" w14:paraId="71D10740"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Betrugstendenzen;</w:t>
      </w:r>
    </w:p>
    <w:p w:rsidRPr="001D488E" w:rsidR="001D488E" w:rsidP="001D488E" w:rsidRDefault="001D488E" w14:paraId="7B102885"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color w:val="000000"/>
          <w:sz w:val="27"/>
          <w:szCs w:val="27"/>
          <w:lang w:eastAsia="de-DE"/>
        </w:rPr>
        <w:t xml:space="preserve">die </w:t>
      </w:r>
      <w:r w:rsidRPr="001D488E">
        <w:rPr>
          <w:rFonts w:ascii="Times New Roman" w:hAnsi="Times New Roman" w:eastAsia="Times New Roman" w:cs="Times New Roman"/>
          <w:color w:val="000000"/>
          <w:sz w:val="27"/>
          <w:szCs w:val="27"/>
          <w:lang w:eastAsia="de-DE"/>
        </w:rPr>
        <w:t xml:space="preserve">verfügbaren </w:t>
      </w:r>
      <w:r w:rsidRPr="001D488E">
        <w:rPr>
          <w:rFonts w:ascii="Times New Roman" w:hAnsi="Times New Roman" w:eastAsia="Times New Roman" w:cs="Times New Roman"/>
          <w:color w:val="000000"/>
          <w:sz w:val="27"/>
          <w:szCs w:val="27"/>
          <w:lang w:eastAsia="de-DE"/>
        </w:rPr>
        <w:t xml:space="preserve">Fähigkeiten</w:t>
      </w:r>
      <w:r w:rsidRPr="001D488E">
        <w:rPr>
          <w:rFonts w:ascii="Times New Roman" w:hAnsi="Times New Roman" w:eastAsia="Times New Roman" w:cs="Times New Roman"/>
          <w:color w:val="000000"/>
          <w:sz w:val="27"/>
          <w:szCs w:val="27"/>
          <w:lang w:eastAsia="de-DE"/>
        </w:rPr>
        <w:t xml:space="preserve">;</w:t>
      </w:r>
    </w:p>
    <w:p w:rsidRPr="001D488E" w:rsidR="001D488E" w:rsidP="001D488E" w:rsidRDefault="001D488E" w14:paraId="35EF6357"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lastRenderedPageBreak/>
        <w:t xml:space="preserve">die Zurückhaltung, Beschlagnahme oder den Verfall von Gütern; und</w:t>
      </w:r>
    </w:p>
    <w:p w:rsidRPr="001D488E" w:rsidR="001D488E" w:rsidP="001D488E" w:rsidRDefault="001D488E" w14:paraId="3BC2BF2C" w14:textId="77777777">
      <w:pPr>
        <w:numPr>
          <w:ilvl w:val="0"/>
          <w:numId w:val="23"/>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Einbehaltung, Beschlagnahme oder Konfiszierung von Bargeld.</w:t>
      </w:r>
    </w:p>
    <w:p w:rsidRPr="001D488E" w:rsidR="001D488E" w:rsidP="001D488E" w:rsidRDefault="001D488E" w14:paraId="392CC829" w14:textId="77777777">
      <w:pPr>
        <w:spacing w:before="195" w:after="0" w:line="240" w:lineRule="auto"/>
        <w:jc w:val="both"/>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b/>
          <w:bCs/>
          <w:color w:val="000000"/>
          <w:sz w:val="27"/>
          <w:szCs w:val="27"/>
          <w:lang w:eastAsia="de-DE"/>
        </w:rPr>
        <w:t xml:space="preserve">Datenschutz</w:t>
      </w:r>
    </w:p>
    <w:p w:rsidRPr="001D488E" w:rsidR="001D488E" w:rsidP="001D488E" w:rsidRDefault="001D488E" w14:paraId="0607AA2F" w14:textId="77777777">
      <w:pPr>
        <w:numPr>
          <w:ilvl w:val="0"/>
          <w:numId w:val="24"/>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Für den Datenschutz gilt die </w:t>
      </w:r>
      <w:r w:rsidRPr="001D488E">
        <w:rPr>
          <w:rFonts w:ascii="Times New Roman" w:hAnsi="Times New Roman" w:eastAsia="Times New Roman" w:cs="Times New Roman"/>
          <w:color w:val="000000"/>
          <w:sz w:val="27"/>
          <w:szCs w:val="27"/>
          <w:lang w:val="fr-FR" w:eastAsia="de-DE"/>
        </w:rPr>
        <w:t xml:space="preserve">Richtlinie (EU) </w:t>
      </w:r>
      <w:hyperlink w:history="1" r:id="rId55">
        <w:r w:rsidRPr="001D488E">
          <w:rPr>
            <w:rFonts w:ascii="Times New Roman" w:hAnsi="Times New Roman" w:eastAsia="Times New Roman" w:cs="Times New Roman"/>
            <w:color w:val="0000FF"/>
            <w:sz w:val="27"/>
            <w:szCs w:val="27"/>
            <w:u w:val="single"/>
            <w:lang w:val="fr-FR" w:eastAsia="de-DE"/>
          </w:rPr>
          <w:t xml:space="preserve">2016/680</w:t>
        </w:r>
      </w:hyperlink>
      <w:r w:rsidRPr="001D488E">
        <w:rPr>
          <w:rFonts w:ascii="Times New Roman" w:hAnsi="Times New Roman" w:eastAsia="Times New Roman" w:cs="Times New Roman"/>
          <w:color w:val="000000"/>
          <w:sz w:val="27"/>
          <w:szCs w:val="27"/>
          <w:lang w:val="fr-FR" w:eastAsia="de-DE"/>
        </w:rPr>
        <w:t xml:space="preserve">, sofern in diesem Beschluss nicht anders angegeben.</w:t>
      </w:r>
    </w:p>
    <w:p w:rsidRPr="001D488E" w:rsidR="001D488E" w:rsidP="001D488E" w:rsidRDefault="001D488E" w14:paraId="6F188604" w14:textId="77777777">
      <w:pPr>
        <w:numPr>
          <w:ilvl w:val="0"/>
          <w:numId w:val="24"/>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Das ZIS enthält die Daten (einschließlich personenbezogener Daten), die erforderlich sind, um die Ziele des Systems durch Aktivitäten wie Beobachtung und Berichterstattung, verdeckte Überwachung, spezifische Kontrollen und strategische und operative Analysen zu erreichen.</w:t>
      </w:r>
    </w:p>
    <w:p w:rsidRPr="001D488E" w:rsidR="001D488E" w:rsidP="001D488E" w:rsidRDefault="001D488E" w14:paraId="1ADA4975" w14:textId="77777777">
      <w:pPr>
        <w:numPr>
          <w:ilvl w:val="0"/>
          <w:numId w:val="24"/>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Diese Entscheidung steht im Einklang mit den Grundrechten und Grundsätzen, die insbesondere mit der </w:t>
      </w:r>
      <w:hyperlink w:history="1" r:id="rId56">
        <w:r w:rsidRPr="001D488E">
          <w:rPr>
            <w:rFonts w:ascii="Times New Roman" w:hAnsi="Times New Roman" w:eastAsia="Times New Roman" w:cs="Times New Roman"/>
            <w:color w:val="0000FF"/>
            <w:sz w:val="27"/>
            <w:szCs w:val="27"/>
            <w:u w:val="single"/>
            <w:lang w:val="fr-FR" w:eastAsia="de-DE"/>
          </w:rPr>
          <w:t xml:space="preserve">Charta der Grundrechte der Europäischen Union </w:t>
        </w:r>
      </w:hyperlink>
      <w:r w:rsidRPr="001D488E">
        <w:rPr>
          <w:rFonts w:ascii="Times New Roman" w:hAnsi="Times New Roman" w:eastAsia="Times New Roman" w:cs="Times New Roman"/>
          <w:color w:val="000000"/>
          <w:sz w:val="27"/>
          <w:szCs w:val="27"/>
          <w:lang w:val="fr-FR" w:eastAsia="de-DE"/>
        </w:rPr>
        <w:t xml:space="preserve">anerkannt wurden</w:t>
      </w:r>
      <w:r w:rsidRPr="001D488E">
        <w:rPr>
          <w:rFonts w:ascii="Times New Roman" w:hAnsi="Times New Roman" w:eastAsia="Times New Roman" w:cs="Times New Roman"/>
          <w:color w:val="000000"/>
          <w:sz w:val="27"/>
          <w:szCs w:val="27"/>
          <w:lang w:val="fr-FR" w:eastAsia="de-DE"/>
        </w:rPr>
        <w:t xml:space="preserve">. Sie hindert die EU-Länder nicht daran, ihre verfassungsrechtlichen Vorschriften über den Zugang der Öffentlichkeit zu amtlichen Dokumenten anzuwenden.</w:t>
      </w:r>
    </w:p>
    <w:p w:rsidRPr="001D488E" w:rsidR="001D488E" w:rsidP="001D488E" w:rsidRDefault="001D488E" w14:paraId="4340C6AD" w14:textId="77777777">
      <w:pPr>
        <w:numPr>
          <w:ilvl w:val="0"/>
          <w:numId w:val="24"/>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Nur die EU-Länder, die die CIS-Datenbank füttern, dürfen die von ihnen eingegebenen Informationen ändern, hinzufügen oder löschen.</w:t>
      </w:r>
    </w:p>
    <w:p w:rsidRPr="001D488E" w:rsidR="001D488E" w:rsidP="001D488E" w:rsidRDefault="001D488E" w14:paraId="2712A507" w14:textId="77777777">
      <w:pPr>
        <w:numPr>
          <w:ilvl w:val="0"/>
          <w:numId w:val="24"/>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Die Daten werden nur so lange aufbewahrt, wie es zur Erfüllung des Zwecks, für den sie eingegeben wurden, erforderlich ist. Die Notwendigkeit der Aufbewahrung wird mindestens einmal jährlich durch das Lieferland überprüft.</w:t>
      </w:r>
    </w:p>
    <w:p w:rsidRPr="001D488E" w:rsidR="001D488E" w:rsidP="001D488E" w:rsidRDefault="001D488E" w14:paraId="1151D0A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b/>
          <w:bCs/>
          <w:color w:val="000000"/>
          <w:sz w:val="27"/>
          <w:szCs w:val="27"/>
          <w:lang w:val="fr-FR" w:eastAsia="de-DE"/>
        </w:rPr>
        <w:t xml:space="preserve">Zollfahndungsdatei Identifikation</w:t>
      </w:r>
    </w:p>
    <w:p w:rsidRPr="001D488E" w:rsidR="001D488E" w:rsidP="001D488E" w:rsidRDefault="001D488E" w14:paraId="0ABDE7EB" w14:textId="77777777">
      <w:pPr>
        <w:numPr>
          <w:ilvl w:val="0"/>
          <w:numId w:val="25"/>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Eine spezielle Datenbank, das so genannte "Aktennachweissystem für Zollzwecke", wurde eingerichtet, um den nationalen Behörden die Möglichkeit zu geben, herauszufinden, ob die von ihren eigenen Ermittlungen betroffenen Personen oder Unternehmen auch Gegenstand von Ermittlungen in anderen EU-Ländern sind oder waren. Für die Zwecke dieser Datenbank tauschen die EU-Länder untereinander sowie mit </w:t>
      </w:r>
      <w:hyperlink w:history="1" r:id="rId57">
        <w:r w:rsidRPr="001D488E">
          <w:rPr>
            <w:rFonts w:ascii="Times New Roman" w:hAnsi="Times New Roman" w:eastAsia="Times New Roman" w:cs="Times New Roman"/>
            <w:color w:val="0000FF"/>
            <w:sz w:val="27"/>
            <w:szCs w:val="27"/>
            <w:u w:val="single"/>
            <w:lang w:val="fr-FR" w:eastAsia="de-DE"/>
          </w:rPr>
          <w:t xml:space="preserve">Europol </w:t>
        </w:r>
      </w:hyperlink>
      <w:r w:rsidRPr="001D488E">
        <w:rPr>
          <w:rFonts w:ascii="Times New Roman" w:hAnsi="Times New Roman" w:eastAsia="Times New Roman" w:cs="Times New Roman"/>
          <w:color w:val="000000"/>
          <w:sz w:val="27"/>
          <w:szCs w:val="27"/>
          <w:lang w:val="fr-FR" w:eastAsia="de-DE"/>
        </w:rPr>
        <w:t xml:space="preserve">und </w:t>
      </w:r>
      <w:hyperlink w:history="1" r:id="rId58">
        <w:r w:rsidRPr="001D488E">
          <w:rPr>
            <w:rFonts w:ascii="Times New Roman" w:hAnsi="Times New Roman" w:eastAsia="Times New Roman" w:cs="Times New Roman"/>
            <w:color w:val="0000FF"/>
            <w:sz w:val="27"/>
            <w:szCs w:val="27"/>
            <w:u w:val="single"/>
            <w:lang w:val="fr-FR" w:eastAsia="de-DE"/>
          </w:rPr>
          <w:t xml:space="preserve">Eurojust </w:t>
        </w:r>
      </w:hyperlink>
      <w:r w:rsidRPr="001D488E">
        <w:rPr>
          <w:rFonts w:ascii="Times New Roman" w:hAnsi="Times New Roman" w:eastAsia="Times New Roman" w:cs="Times New Roman"/>
          <w:color w:val="000000"/>
          <w:sz w:val="27"/>
          <w:szCs w:val="27"/>
          <w:lang w:val="fr-FR" w:eastAsia="de-DE"/>
        </w:rPr>
        <w:t xml:space="preserve">eine Liste schwerer Straftaten gegen nationale Gesetze aus, d. h. solche, die mit einer Freiheitsstrafe von mindestens 12 Monaten oder einer Geldstrafe von mindestens 15 000 EUR geahndet werden.</w:t>
      </w:r>
    </w:p>
    <w:p w:rsidRPr="001D488E" w:rsidR="001D488E" w:rsidP="001D488E" w:rsidRDefault="001D488E" w14:paraId="3276C8A9" w14:textId="77777777">
      <w:pPr>
        <w:numPr>
          <w:ilvl w:val="0"/>
          <w:numId w:val="25"/>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Ein EU-Land ist nicht verpflichtet, Informationen mit dieser speziellen Datei auszutauschen, wenn eine solche Registrierung der öffentlichen Ordnung oder anderen wesentlichen Interessen abträglich wäre.</w:t>
      </w:r>
    </w:p>
    <w:p w:rsidRPr="001D488E" w:rsidR="001D488E" w:rsidP="001D488E" w:rsidRDefault="001D488E" w14:paraId="11FCCE45" w14:textId="77777777">
      <w:pPr>
        <w:numPr>
          <w:ilvl w:val="0"/>
          <w:numId w:val="25"/>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Die Daten werden drei Jahre lang aufbewahrt, wenn keine Straftat festgestellt wurde, und zwölf Monate nach der letzten Untersuchung gelöscht. </w:t>
      </w:r>
      <w:r w:rsidRPr="001D488E">
        <w:rPr>
          <w:rFonts w:ascii="Times New Roman" w:hAnsi="Times New Roman" w:eastAsia="Times New Roman" w:cs="Times New Roman"/>
          <w:color w:val="000000"/>
          <w:sz w:val="27"/>
          <w:szCs w:val="27"/>
          <w:lang w:val="fr-FR" w:eastAsia="de-DE"/>
        </w:rPr>
        <w:lastRenderedPageBreak/>
        <w:t xml:space="preserve">Diese Frist verlängert sich auf sechs Jahre im Falle einer Straftat, die nicht zu einer Verurteilung geführt hat, oder auf zehn Jahre im Falle einer Verurteilung.</w:t>
      </w:r>
    </w:p>
    <w:p w:rsidRPr="001D488E" w:rsidR="001D488E" w:rsidP="001D488E" w:rsidRDefault="001D488E" w14:paraId="2A81DC7F" w14:textId="77777777">
      <w:pPr>
        <w:spacing w:before="195" w:after="0" w:line="240" w:lineRule="auto"/>
        <w:jc w:val="both"/>
        <w:rPr>
          <w:rFonts w:ascii="Times New Roman" w:hAnsi="Times New Roman" w:eastAsia="Times New Roman" w:cs="Times New Roman"/>
          <w:color w:val="000000"/>
          <w:sz w:val="27"/>
          <w:szCs w:val="27"/>
          <w:lang w:eastAsia="de-DE"/>
        </w:rPr>
      </w:pPr>
      <w:r w:rsidRPr="001D488E">
        <w:rPr>
          <w:rFonts w:ascii="Times New Roman" w:hAnsi="Times New Roman" w:eastAsia="Times New Roman" w:cs="Times New Roman"/>
          <w:b/>
          <w:bCs/>
          <w:color w:val="000000"/>
          <w:sz w:val="27"/>
          <w:szCs w:val="27"/>
          <w:lang w:eastAsia="de-DE"/>
        </w:rPr>
        <w:t xml:space="preserve">Steuerung </w:t>
      </w:r>
      <w:r w:rsidRPr="001D488E">
        <w:rPr>
          <w:rFonts w:ascii="Times New Roman" w:hAnsi="Times New Roman" w:eastAsia="Times New Roman" w:cs="Times New Roman"/>
          <w:b/>
          <w:bCs/>
          <w:color w:val="000000"/>
          <w:sz w:val="27"/>
          <w:szCs w:val="27"/>
          <w:lang w:eastAsia="de-DE"/>
        </w:rPr>
        <w:t xml:space="preserve">und </w:t>
      </w:r>
      <w:r w:rsidRPr="001D488E">
        <w:rPr>
          <w:rFonts w:ascii="Times New Roman" w:hAnsi="Times New Roman" w:eastAsia="Times New Roman" w:cs="Times New Roman"/>
          <w:b/>
          <w:bCs/>
          <w:color w:val="000000"/>
          <w:sz w:val="27"/>
          <w:szCs w:val="27"/>
          <w:lang w:eastAsia="de-DE"/>
        </w:rPr>
        <w:t xml:space="preserve">Verwaltung</w:t>
      </w:r>
    </w:p>
    <w:p w:rsidRPr="001D488E" w:rsidR="001D488E" w:rsidP="001D488E" w:rsidRDefault="001D488E" w14:paraId="52F4CD27" w14:textId="77777777">
      <w:pPr>
        <w:numPr>
          <w:ilvl w:val="0"/>
          <w:numId w:val="26"/>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Jedes EU-Land benennt eine oder mehrere nationale Aufsichtsbehörden, die für den Schutz personenbezogener Daten zuständig sind, um die in diesem Beschluss genannten Daten unabhängig zu überwachen. Außerdem wurde eine gemeinsame Aufsichtsbehörde eingerichtet, der zwei Vertreter der jeweiligen nationalen Aufsichtsbehörde eines jeden EU-Landes angehören.</w:t>
      </w:r>
    </w:p>
    <w:p w:rsidRPr="001D488E" w:rsidR="001D488E" w:rsidP="001D488E" w:rsidRDefault="001D488E" w14:paraId="146F22EB" w14:textId="77777777">
      <w:pPr>
        <w:numPr>
          <w:ilvl w:val="0"/>
          <w:numId w:val="26"/>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Der </w:t>
      </w:r>
      <w:hyperlink w:history="1" r:id="rId59">
        <w:r w:rsidRPr="001D488E">
          <w:rPr>
            <w:rFonts w:ascii="Times New Roman" w:hAnsi="Times New Roman" w:eastAsia="Times New Roman" w:cs="Times New Roman"/>
            <w:color w:val="0000FF"/>
            <w:sz w:val="27"/>
            <w:szCs w:val="27"/>
            <w:u w:val="single"/>
            <w:lang w:val="fr-FR" w:eastAsia="de-DE"/>
          </w:rPr>
          <w:t xml:space="preserve">Europäische Datenschutzbeauftragte </w:t>
        </w:r>
      </w:hyperlink>
      <w:r w:rsidRPr="001D488E">
        <w:rPr>
          <w:rFonts w:ascii="Times New Roman" w:hAnsi="Times New Roman" w:eastAsia="Times New Roman" w:cs="Times New Roman"/>
          <w:color w:val="000000"/>
          <w:sz w:val="27"/>
          <w:szCs w:val="27"/>
          <w:lang w:val="fr-FR" w:eastAsia="de-DE"/>
        </w:rPr>
        <w:t xml:space="preserve">überwacht die Aktivitäten der Kommission im Zusammenhang mit dem ZIS.</w:t>
      </w:r>
    </w:p>
    <w:p w:rsidRPr="001D488E" w:rsidR="001D488E" w:rsidP="001D488E" w:rsidRDefault="001D488E" w14:paraId="069B4B5F" w14:textId="77777777">
      <w:pPr>
        <w:numPr>
          <w:ilvl w:val="0"/>
          <w:numId w:val="26"/>
        </w:numPr>
        <w:spacing w:before="240" w:after="240" w:line="240" w:lineRule="auto"/>
        <w:ind w:start="1200"/>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Ein Ausschuss, der sich aus Vertretern der Zollverwaltungen der EU-Länder zusammensetzt, ist unter Beteiligung der Kommission für die Umsetzung und korrekte Anwendung des Beschlusses (Einstimmigkeit) sowie für das ordnungsgemäße technische und operative Funktionieren des ZIS (Zweidrittel-Mehrheitsbeschlüsse) verantwortlich.</w:t>
      </w:r>
    </w:p>
    <w:p w:rsidRPr="001D488E" w:rsidR="001D488E" w:rsidP="001D488E" w:rsidRDefault="001D488E" w14:paraId="0EA71F41"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SEIT WANN GILT DIESE ENTSCHEIDUNG?</w:t>
      </w:r>
    </w:p>
    <w:p w:rsidRPr="001D488E" w:rsidR="001D488E" w:rsidP="001D488E" w:rsidRDefault="001D488E" w14:paraId="3C66CCB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Sie gilt seit dem 27. Mai 2011.</w:t>
      </w:r>
    </w:p>
    <w:p w:rsidRPr="001D488E" w:rsidR="001D488E" w:rsidP="001D488E" w:rsidRDefault="001D488E" w14:paraId="4EC95D7B"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HINTERGRUND</w:t>
      </w:r>
    </w:p>
    <w:p w:rsidRPr="001D488E" w:rsidR="001D488E" w:rsidP="001D488E" w:rsidRDefault="001D488E" w14:paraId="1E1403F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Für weitere Informationen siehe:</w:t>
      </w:r>
    </w:p>
    <w:p w:rsidRPr="001D488E" w:rsidR="001D488E" w:rsidP="001D488E" w:rsidRDefault="00E52C24" w14:paraId="00E8CAC4" w14:textId="77777777">
      <w:pPr>
        <w:numPr>
          <w:ilvl w:val="0"/>
          <w:numId w:val="27"/>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60">
        <w:r w:rsidRPr="001D488E" w:rsidR="001D488E">
          <w:rPr>
            <w:rFonts w:ascii="Times New Roman" w:hAnsi="Times New Roman" w:eastAsia="Times New Roman" w:cs="Times New Roman"/>
            <w:color w:val="0000FF"/>
            <w:sz w:val="27"/>
            <w:szCs w:val="27"/>
            <w:u w:val="single"/>
            <w:lang w:val="fr-FR" w:eastAsia="de-DE"/>
          </w:rPr>
          <w:t xml:space="preserve">Zollinformationssystem </w:t>
        </w:r>
      </w:hyperlink>
      <w:r w:rsidRPr="001D488E" w:rsidR="001D488E">
        <w:rPr>
          <w:rFonts w:ascii="Times New Roman" w:hAnsi="Times New Roman" w:eastAsia="Times New Roman" w:cs="Times New Roman"/>
          <w:color w:val="000000"/>
          <w:sz w:val="27"/>
          <w:szCs w:val="27"/>
          <w:lang w:val="fr-FR" w:eastAsia="de-DE"/>
        </w:rPr>
        <w:t xml:space="preserve">(</w:t>
      </w:r>
      <w:r w:rsidRPr="001D488E" w:rsidR="001D488E">
        <w:rPr>
          <w:rFonts w:ascii="Times New Roman" w:hAnsi="Times New Roman" w:eastAsia="Times New Roman" w:cs="Times New Roman"/>
          <w:i/>
          <w:iCs/>
          <w:color w:val="000000"/>
          <w:sz w:val="27"/>
          <w:szCs w:val="27"/>
          <w:lang w:val="fr-FR" w:eastAsia="de-DE"/>
        </w:rPr>
        <w:t xml:space="preserve">Europäischer Datenschutzbeauftragter</w:t>
      </w:r>
      <w:r w:rsidRPr="001D488E" w:rsid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7DB75EDF"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HAUPTDOKUMENT</w:t>
      </w:r>
    </w:p>
    <w:p w:rsidRPr="001D488E" w:rsidR="001D488E" w:rsidP="001D488E" w:rsidRDefault="001D488E" w14:paraId="7EBF8E8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Beschluss </w:t>
      </w:r>
      <w:hyperlink w:history="1" r:id="rId61">
        <w:r w:rsidRPr="001D488E">
          <w:rPr>
            <w:rFonts w:ascii="Times New Roman" w:hAnsi="Times New Roman" w:eastAsia="Times New Roman" w:cs="Times New Roman"/>
            <w:color w:val="0000FF"/>
            <w:sz w:val="27"/>
            <w:szCs w:val="27"/>
            <w:u w:val="single"/>
            <w:lang w:val="fr-FR" w:eastAsia="de-DE"/>
          </w:rPr>
          <w:t xml:space="preserve">2009/917/JI </w:t>
        </w:r>
      </w:hyperlink>
      <w:r w:rsidRPr="001D488E">
        <w:rPr>
          <w:rFonts w:ascii="Times New Roman" w:hAnsi="Times New Roman" w:eastAsia="Times New Roman" w:cs="Times New Roman"/>
          <w:color w:val="000000"/>
          <w:sz w:val="27"/>
          <w:szCs w:val="27"/>
          <w:lang w:val="fr-FR" w:eastAsia="de-DE"/>
        </w:rPr>
        <w:t xml:space="preserve">des Rates vom 30. November 2009 über den Einsatz der Informationstechnologie im Zollbereich (ABl. L 323 vom 10.12.2009, S. 20-30)</w:t>
      </w:r>
    </w:p>
    <w:p w:rsidRPr="001D488E" w:rsidR="001D488E" w:rsidP="001D488E" w:rsidRDefault="001D488E" w14:paraId="15CB4CE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Sukzessive Änderungen des Beschlusses 2009/917/JI wurden in den Grundlagentext eingearbeitet. Diese </w:t>
      </w:r>
      <w:hyperlink w:history="1" r:id="rId62">
        <w:r w:rsidRPr="001D488E">
          <w:rPr>
            <w:rFonts w:ascii="Times New Roman" w:hAnsi="Times New Roman" w:eastAsia="Times New Roman" w:cs="Times New Roman"/>
            <w:color w:val="0000FF"/>
            <w:sz w:val="27"/>
            <w:szCs w:val="27"/>
            <w:u w:val="single"/>
            <w:lang w:val="fr-FR" w:eastAsia="de-DE"/>
          </w:rPr>
          <w:t xml:space="preserve">konsolidierte Version hat </w:t>
        </w:r>
      </w:hyperlink>
      <w:r w:rsidRPr="001D488E">
        <w:rPr>
          <w:rFonts w:ascii="Times New Roman" w:hAnsi="Times New Roman" w:eastAsia="Times New Roman" w:cs="Times New Roman"/>
          <w:color w:val="000000"/>
          <w:sz w:val="27"/>
          <w:szCs w:val="27"/>
          <w:lang w:val="fr-FR" w:eastAsia="de-DE"/>
        </w:rPr>
        <w:t xml:space="preserve">nur dokumentarischen Wert.</w:t>
      </w:r>
    </w:p>
    <w:p w:rsidRPr="001D488E" w:rsidR="001D488E" w:rsidP="001D488E" w:rsidRDefault="001D488E" w14:paraId="3352D406"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1D488E">
        <w:rPr>
          <w:rFonts w:ascii="Times New Roman" w:hAnsi="Times New Roman" w:eastAsia="Times New Roman" w:cs="Times New Roman"/>
          <w:b/>
          <w:bCs/>
          <w:color w:val="444444"/>
          <w:sz w:val="27"/>
          <w:szCs w:val="27"/>
          <w:lang w:val="fr-FR" w:eastAsia="de-DE"/>
        </w:rPr>
        <w:t xml:space="preserve">ZUGEHÖRIGE DOKUMENTE</w:t>
      </w:r>
    </w:p>
    <w:p w:rsidRPr="001D488E" w:rsidR="001D488E" w:rsidP="001D488E" w:rsidRDefault="001D488E" w14:paraId="0B9CBF4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Richtlinie (EU) </w:t>
      </w:r>
      <w:hyperlink w:history="1" r:id="rId63">
        <w:r w:rsidRPr="001D488E">
          <w:rPr>
            <w:rFonts w:ascii="Times New Roman" w:hAnsi="Times New Roman" w:eastAsia="Times New Roman" w:cs="Times New Roman"/>
            <w:color w:val="0000FF"/>
            <w:sz w:val="27"/>
            <w:szCs w:val="27"/>
            <w:u w:val="single"/>
            <w:lang w:val="fr-FR" w:eastAsia="de-DE"/>
          </w:rPr>
          <w:t xml:space="preserve">2016/680 </w:t>
        </w:r>
      </w:hyperlink>
      <w:r w:rsidRPr="001D488E">
        <w:rPr>
          <w:rFonts w:ascii="Times New Roman" w:hAnsi="Times New Roman" w:eastAsia="Times New Roman" w:cs="Times New Roman"/>
          <w:color w:val="000000"/>
          <w:sz w:val="27"/>
          <w:szCs w:val="27"/>
          <w:lang w:val="fr-FR" w:eastAsia="de-DE"/>
        </w:rPr>
        <w:t xml:space="preserve">des Europäischen Parlaments und des Rates vom 27. April 2016 zum Schutz natürlicher Personen bei der Verarbeitung personenbezogener Daten durch die zuständigen Behörden zum Zwecke der Verhütung, Aufdeckung, Untersuchung oder Verfolgung von Straftaten oder der Strafvollstreckung </w:t>
      </w:r>
      <w:r w:rsidRPr="001D488E">
        <w:rPr>
          <w:rFonts w:ascii="Times New Roman" w:hAnsi="Times New Roman" w:eastAsia="Times New Roman" w:cs="Times New Roman"/>
          <w:color w:val="000000"/>
          <w:sz w:val="27"/>
          <w:szCs w:val="27"/>
          <w:lang w:val="fr-FR" w:eastAsia="de-DE"/>
        </w:rPr>
        <w:lastRenderedPageBreak/>
        <w:t xml:space="preserve">sowie zum freien Datenverkehr und zur Aufhebung des Rahmenbeschlusses 2008/977/JI des Rates (ABl. L 119 vom 4.5.2016, S. 89-131)</w:t>
      </w:r>
    </w:p>
    <w:p w:rsidRPr="001D488E" w:rsidR="001D488E" w:rsidP="001D488E" w:rsidRDefault="001D488E" w14:paraId="1763ADA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Bitte beachten Sie die </w:t>
      </w:r>
      <w:hyperlink w:history="1" r:id="rId64">
        <w:r w:rsidRPr="001D488E">
          <w:rPr>
            <w:rFonts w:ascii="Times New Roman" w:hAnsi="Times New Roman" w:eastAsia="Times New Roman" w:cs="Times New Roman"/>
            <w:color w:val="0000FF"/>
            <w:sz w:val="27"/>
            <w:szCs w:val="27"/>
            <w:u w:val="single"/>
            <w:lang w:val="fr-FR" w:eastAsia="de-DE"/>
          </w:rPr>
          <w:t xml:space="preserve">konsolidierte Version</w:t>
        </w:r>
      </w:hyperlink>
      <w:r w:rsidRP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660916B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Verordnung (EG) Nr. </w:t>
      </w:r>
      <w:hyperlink w:history="1" r:id="rId65">
        <w:r w:rsidRPr="001D488E">
          <w:rPr>
            <w:rFonts w:ascii="Times New Roman" w:hAnsi="Times New Roman" w:eastAsia="Times New Roman" w:cs="Times New Roman"/>
            <w:color w:val="0000FF"/>
            <w:sz w:val="27"/>
            <w:szCs w:val="27"/>
            <w:u w:val="single"/>
            <w:lang w:val="fr-FR" w:eastAsia="de-DE"/>
          </w:rPr>
          <w:t xml:space="preserve">515/97 </w:t>
        </w:r>
      </w:hyperlink>
      <w:r w:rsidRPr="001D488E">
        <w:rPr>
          <w:rFonts w:ascii="Times New Roman" w:hAnsi="Times New Roman" w:eastAsia="Times New Roman" w:cs="Times New Roman"/>
          <w:color w:val="000000"/>
          <w:sz w:val="27"/>
          <w:szCs w:val="27"/>
          <w:lang w:val="fr-FR" w:eastAsia="de-DE"/>
        </w:rPr>
        <w:t xml:space="preserve">des Rates vom 13. März 1997 über die gegenseitige Amtshilfe zwischen Verwaltungsbehörden der Mitgliedstaaten und die Zusammenarbeit dieser Behörden mit der Kommission im Hinblick auf die ordnungsgemäße Anwendung der Zoll- und der Agrarregelung (ABl. L 82 vom 22.3.1997, S. 1-16)</w:t>
      </w:r>
    </w:p>
    <w:p w:rsidRPr="001D488E" w:rsidR="001D488E" w:rsidP="001D488E" w:rsidRDefault="001D488E" w14:paraId="05B83AE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Bitte beachten Sie die </w:t>
      </w:r>
      <w:hyperlink w:history="1" r:id="rId66">
        <w:r w:rsidRPr="001D488E">
          <w:rPr>
            <w:rFonts w:ascii="Times New Roman" w:hAnsi="Times New Roman" w:eastAsia="Times New Roman" w:cs="Times New Roman"/>
            <w:color w:val="0000FF"/>
            <w:sz w:val="27"/>
            <w:szCs w:val="27"/>
            <w:u w:val="single"/>
            <w:lang w:val="fr-FR" w:eastAsia="de-DE"/>
          </w:rPr>
          <w:t xml:space="preserve">konsolidierte Version</w:t>
        </w:r>
      </w:hyperlink>
      <w:r w:rsidRPr="001D488E">
        <w:rPr>
          <w:rFonts w:ascii="Times New Roman" w:hAnsi="Times New Roman" w:eastAsia="Times New Roman" w:cs="Times New Roman"/>
          <w:color w:val="000000"/>
          <w:sz w:val="27"/>
          <w:szCs w:val="27"/>
          <w:lang w:val="fr-FR" w:eastAsia="de-DE"/>
        </w:rPr>
        <w:t xml:space="preserve">.</w:t>
      </w:r>
    </w:p>
    <w:p w:rsidRPr="001D488E" w:rsidR="001D488E" w:rsidP="001D488E" w:rsidRDefault="001D488E" w14:paraId="07B95989"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1D488E">
        <w:rPr>
          <w:rFonts w:ascii="Times New Roman" w:hAnsi="Times New Roman" w:eastAsia="Times New Roman" w:cs="Times New Roman"/>
          <w:color w:val="000000"/>
          <w:sz w:val="27"/>
          <w:szCs w:val="27"/>
          <w:lang w:val="fr-FR" w:eastAsia="de-DE"/>
        </w:rPr>
        <w:t xml:space="preserve">zuletzt geändert am 08.11.2019</w:t>
      </w:r>
    </w:p>
    <w:p w:rsidRPr="00EE42EB" w:rsidR="00EE42EB" w:rsidP="00EE42EB" w:rsidRDefault="00EE42EB" w14:paraId="6659617A" w14:textId="77777777">
      <w:pPr>
        <w:spacing w:before="810" w:after="390" w:line="240" w:lineRule="auto"/>
        <w:jc w:val="center"/>
        <w:outlineLvl w:val="0"/>
        <w:rPr>
          <w:rFonts w:ascii="Times New Roman" w:hAnsi="Times New Roman" w:eastAsia="Times New Roman" w:cs="Times New Roman"/>
          <w:b/>
          <w:bCs/>
          <w:color w:val="444444"/>
          <w:kern w:val="36"/>
          <w:sz w:val="42"/>
          <w:szCs w:val="42"/>
          <w:lang w:val="fr-FR" w:eastAsia="de-DE"/>
        </w:rPr>
      </w:pPr>
      <w:r w:rsidRPr="00EE42EB">
        <w:rPr>
          <w:rFonts w:ascii="Times New Roman" w:hAnsi="Times New Roman" w:eastAsia="Times New Roman" w:cs="Times New Roman"/>
          <w:b/>
          <w:bCs/>
          <w:color w:val="444444"/>
          <w:kern w:val="36"/>
          <w:sz w:val="42"/>
          <w:szCs w:val="42"/>
          <w:lang w:val="fr-FR" w:eastAsia="de-DE"/>
        </w:rPr>
        <w:t xml:space="preserve">EU-Entwicklungspolitik</w:t>
      </w:r>
    </w:p>
    <w:p w:rsidRPr="00EE42EB" w:rsidR="00EE42EB" w:rsidP="00EE42EB" w:rsidRDefault="00EE42EB" w14:paraId="0DFD74A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 </w:t>
      </w:r>
    </w:p>
    <w:p w:rsidRPr="00EE42EB" w:rsidR="00EE42EB" w:rsidP="00EE42EB" w:rsidRDefault="00EE42EB" w14:paraId="4F717473" w14:textId="77777777">
      <w:pPr>
        <w:spacing w:before="390" w:after="195" w:line="240" w:lineRule="auto"/>
        <w:outlineLvl w:val="1"/>
        <w:rPr>
          <w:rFonts w:ascii="Times New Roman" w:hAnsi="Times New Roman" w:eastAsia="Times New Roman" w:cs="Times New Roman"/>
          <w:b/>
          <w:bCs/>
          <w:color w:val="444444"/>
          <w:sz w:val="27"/>
          <w:szCs w:val="27"/>
          <w:lang w:val="fr-FR" w:eastAsia="de-DE"/>
        </w:rPr>
      </w:pPr>
      <w:r w:rsidRPr="00EE42EB">
        <w:rPr>
          <w:rFonts w:ascii="Times New Roman" w:hAnsi="Times New Roman" w:eastAsia="Times New Roman" w:cs="Times New Roman"/>
          <w:b/>
          <w:bCs/>
          <w:color w:val="444444"/>
          <w:sz w:val="27"/>
          <w:szCs w:val="27"/>
          <w:lang w:val="fr-FR" w:eastAsia="de-DE"/>
        </w:rPr>
        <w:t xml:space="preserve">SYNTHESE VON DOKUMENTEN:</w:t>
      </w:r>
    </w:p>
    <w:p w:rsidRPr="00EE42EB" w:rsidR="00EE42EB" w:rsidP="00EE42EB" w:rsidRDefault="00E52C24" w14:paraId="4E8D3FAF"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67">
        <w:r w:rsidRPr="00EE42EB" w:rsidR="00EE42EB">
          <w:rPr>
            <w:rFonts w:ascii="Times New Roman" w:hAnsi="Times New Roman" w:eastAsia="Times New Roman" w:cs="Times New Roman"/>
            <w:color w:val="0000FF"/>
            <w:sz w:val="27"/>
            <w:szCs w:val="27"/>
            <w:u w:val="single"/>
            <w:lang w:val="fr-FR" w:eastAsia="de-DE"/>
          </w:rPr>
          <w:t xml:space="preserve">Artikel 4 des Vertrags über die Arbeitsweise der Europäischen Union (AEUV)</w:t>
        </w:r>
      </w:hyperlink>
    </w:p>
    <w:p w:rsidRPr="00EE42EB" w:rsidR="00EE42EB" w:rsidP="00EE42EB" w:rsidRDefault="00E52C24" w14:paraId="1BD10999"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68">
        <w:r w:rsidRPr="00EE42EB" w:rsidR="00EE42EB">
          <w:rPr>
            <w:rFonts w:ascii="Times New Roman" w:hAnsi="Times New Roman" w:eastAsia="Times New Roman" w:cs="Times New Roman"/>
            <w:color w:val="0000FF"/>
            <w:sz w:val="27"/>
            <w:szCs w:val="27"/>
            <w:u w:val="single"/>
            <w:lang w:val="fr-FR" w:eastAsia="de-DE"/>
          </w:rPr>
          <w:t xml:space="preserve">Artikel 208 des Vertrags über die Arbeitsweise der Europäischen Union (AEUV)</w:t>
        </w:r>
      </w:hyperlink>
    </w:p>
    <w:p w:rsidRPr="00EE42EB" w:rsidR="00EE42EB" w:rsidP="00EE42EB" w:rsidRDefault="00E52C24" w14:paraId="3D69F113"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69">
        <w:r w:rsidRPr="00EE42EB" w:rsidR="00EE42EB">
          <w:rPr>
            <w:rFonts w:ascii="Times New Roman" w:hAnsi="Times New Roman" w:eastAsia="Times New Roman" w:cs="Times New Roman"/>
            <w:color w:val="0000FF"/>
            <w:sz w:val="27"/>
            <w:szCs w:val="27"/>
            <w:u w:val="single"/>
            <w:lang w:val="fr-FR" w:eastAsia="de-DE"/>
          </w:rPr>
          <w:t xml:space="preserve">Artikel 21 Absatz 2 Buchstabe d des Vertrags über die Europäische Union (EUV)</w:t>
        </w:r>
      </w:hyperlink>
    </w:p>
    <w:p w:rsidRPr="00EE42EB" w:rsidR="00EE42EB" w:rsidP="00EE42EB" w:rsidRDefault="00EE42EB" w14:paraId="24522C1D" w14:textId="77777777">
      <w:pPr>
        <w:spacing w:before="390" w:after="195" w:line="240" w:lineRule="auto"/>
        <w:outlineLvl w:val="1"/>
        <w:rPr>
          <w:rFonts w:ascii="Times New Roman" w:hAnsi="Times New Roman" w:eastAsia="Times New Roman" w:cs="Times New Roman"/>
          <w:b/>
          <w:bCs/>
          <w:color w:val="444444"/>
          <w:sz w:val="27"/>
          <w:szCs w:val="27"/>
          <w:lang w:val="fr-FR" w:eastAsia="de-DE"/>
        </w:rPr>
      </w:pPr>
      <w:r w:rsidRPr="00EE42EB">
        <w:rPr>
          <w:rFonts w:ascii="Times New Roman" w:hAnsi="Times New Roman" w:eastAsia="Times New Roman" w:cs="Times New Roman"/>
          <w:b/>
          <w:bCs/>
          <w:color w:val="444444"/>
          <w:sz w:val="27"/>
          <w:szCs w:val="27"/>
          <w:lang w:val="fr-FR" w:eastAsia="de-DE"/>
        </w:rPr>
        <w:t xml:space="preserve">EU-ENTWICKLUNGSPOLITIK IN DEN VERTRÄGEN DER EUROPÄISCHEN UNION</w:t>
      </w:r>
    </w:p>
    <w:p w:rsidRPr="00EE42EB" w:rsidR="00EE42EB" w:rsidP="00EE42EB" w:rsidRDefault="00EE42EB" w14:paraId="7F730F93"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70">
        <w:r w:rsidRPr="00EE42EB">
          <w:rPr>
            <w:rFonts w:ascii="Times New Roman" w:hAnsi="Times New Roman" w:eastAsia="Times New Roman" w:cs="Times New Roman"/>
            <w:color w:val="0000FF"/>
            <w:sz w:val="27"/>
            <w:szCs w:val="27"/>
            <w:u w:val="single"/>
            <w:lang w:val="fr-FR" w:eastAsia="de-DE"/>
          </w:rPr>
          <w:t xml:space="preserve">Artikel 4 AEUV </w:t>
        </w:r>
      </w:hyperlink>
      <w:r w:rsidRPr="00EE42EB">
        <w:rPr>
          <w:rFonts w:ascii="Times New Roman" w:hAnsi="Times New Roman" w:eastAsia="Times New Roman" w:cs="Times New Roman"/>
          <w:color w:val="000000"/>
          <w:sz w:val="27"/>
          <w:szCs w:val="27"/>
          <w:lang w:val="fr-FR" w:eastAsia="de-DE"/>
        </w:rPr>
        <w:t xml:space="preserve">gibt der Europäischen Union (EU) die Kompetenz, Aktivitäten und eine gemeinsame Politik im Bereich der </w:t>
      </w:r>
      <w:hyperlink w:history="1" r:id="rId71">
        <w:r w:rsidRPr="00EE42EB">
          <w:rPr>
            <w:rFonts w:ascii="Times New Roman" w:hAnsi="Times New Roman" w:eastAsia="Times New Roman" w:cs="Times New Roman"/>
            <w:color w:val="0000FF"/>
            <w:sz w:val="27"/>
            <w:szCs w:val="27"/>
            <w:u w:val="single"/>
            <w:lang w:val="fr-FR" w:eastAsia="de-DE"/>
          </w:rPr>
          <w:t xml:space="preserve">Entwicklungszusammenarbeit durchzuführen</w:t>
        </w:r>
      </w:hyperlink>
      <w:r w:rsidRPr="00EE42EB">
        <w:rPr>
          <w:rFonts w:ascii="Times New Roman" w:hAnsi="Times New Roman" w:eastAsia="Times New Roman" w:cs="Times New Roman"/>
          <w:color w:val="000000"/>
          <w:sz w:val="27"/>
          <w:szCs w:val="27"/>
          <w:lang w:val="fr-FR" w:eastAsia="de-DE"/>
        </w:rPr>
        <w:t xml:space="preserve">. Die EU-Länder können auch ihre eigenen </w:t>
      </w:r>
      <w:hyperlink w:history="1" r:id="rId72">
        <w:r w:rsidRPr="00EE42EB">
          <w:rPr>
            <w:rFonts w:ascii="Times New Roman" w:hAnsi="Times New Roman" w:eastAsia="Times New Roman" w:cs="Times New Roman"/>
            <w:color w:val="0000FF"/>
            <w:sz w:val="27"/>
            <w:szCs w:val="27"/>
            <w:u w:val="single"/>
            <w:lang w:val="fr-FR" w:eastAsia="de-DE"/>
          </w:rPr>
          <w:t xml:space="preserve">Zuständigkeiten </w:t>
        </w:r>
      </w:hyperlink>
      <w:r w:rsidRPr="00EE42EB">
        <w:rPr>
          <w:rFonts w:ascii="Times New Roman" w:hAnsi="Times New Roman" w:eastAsia="Times New Roman" w:cs="Times New Roman"/>
          <w:color w:val="000000"/>
          <w:sz w:val="27"/>
          <w:szCs w:val="27"/>
          <w:lang w:val="fr-FR" w:eastAsia="de-DE"/>
        </w:rPr>
        <w:t xml:space="preserve">in diesem Bereich </w:t>
      </w:r>
      <w:r w:rsidRPr="00EE42EB">
        <w:rPr>
          <w:rFonts w:ascii="Times New Roman" w:hAnsi="Times New Roman" w:eastAsia="Times New Roman" w:cs="Times New Roman"/>
          <w:color w:val="000000"/>
          <w:sz w:val="27"/>
          <w:szCs w:val="27"/>
          <w:lang w:val="fr-FR" w:eastAsia="de-DE"/>
        </w:rPr>
        <w:t xml:space="preserve">ausüben.</w:t>
      </w:r>
    </w:p>
    <w:p w:rsidRPr="00EE42EB" w:rsidR="00EE42EB" w:rsidP="00EE42EB" w:rsidRDefault="00EE42EB" w14:paraId="7C297FB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Das Hauptziel der EU-Entwicklungspolitik, wie es in </w:t>
      </w:r>
      <w:hyperlink w:history="1" r:id="rId73">
        <w:r w:rsidRPr="00EE42EB">
          <w:rPr>
            <w:rFonts w:ascii="Times New Roman" w:hAnsi="Times New Roman" w:eastAsia="Times New Roman" w:cs="Times New Roman"/>
            <w:color w:val="0000FF"/>
            <w:sz w:val="27"/>
            <w:szCs w:val="27"/>
            <w:u w:val="single"/>
            <w:lang w:val="fr-FR" w:eastAsia="de-DE"/>
          </w:rPr>
          <w:t xml:space="preserve">Artikel 208 AEUV festgelegt ist, </w:t>
        </w:r>
      </w:hyperlink>
      <w:r w:rsidRPr="00EE42EB">
        <w:rPr>
          <w:rFonts w:ascii="Times New Roman" w:hAnsi="Times New Roman" w:eastAsia="Times New Roman" w:cs="Times New Roman"/>
          <w:color w:val="000000"/>
          <w:sz w:val="27"/>
          <w:szCs w:val="27"/>
          <w:lang w:val="fr-FR" w:eastAsia="de-DE"/>
        </w:rPr>
        <w:t xml:space="preserve">ist die Verringerung und langfristig die Beseitigung der Armut. Artikel 208 verpflichtet die EU und ihre Mitgliedstaaten außerdem zur Einhaltung der im Rahmen der </w:t>
      </w:r>
      <w:hyperlink w:history="1" r:id="rId74">
        <w:r w:rsidRPr="00EE42EB">
          <w:rPr>
            <w:rFonts w:ascii="Times New Roman" w:hAnsi="Times New Roman" w:eastAsia="Times New Roman" w:cs="Times New Roman"/>
            <w:color w:val="0000FF"/>
            <w:sz w:val="27"/>
            <w:szCs w:val="27"/>
            <w:u w:val="single"/>
            <w:lang w:val="fr-FR" w:eastAsia="de-DE"/>
          </w:rPr>
          <w:t xml:space="preserve">Vereinten Nationen </w:t>
        </w:r>
      </w:hyperlink>
      <w:r w:rsidRPr="00EE42EB">
        <w:rPr>
          <w:rFonts w:ascii="Times New Roman" w:hAnsi="Times New Roman" w:eastAsia="Times New Roman" w:cs="Times New Roman"/>
          <w:color w:val="000000"/>
          <w:sz w:val="27"/>
          <w:szCs w:val="27"/>
          <w:lang w:val="fr-FR" w:eastAsia="de-DE"/>
        </w:rPr>
        <w:t xml:space="preserve">(UN) und anderer einschlägiger internationaler Organisationen </w:t>
      </w:r>
      <w:r w:rsidRPr="00EE42EB">
        <w:rPr>
          <w:rFonts w:ascii="Times New Roman" w:hAnsi="Times New Roman" w:eastAsia="Times New Roman" w:cs="Times New Roman"/>
          <w:color w:val="000000"/>
          <w:sz w:val="27"/>
          <w:szCs w:val="27"/>
          <w:lang w:val="fr-FR" w:eastAsia="de-DE"/>
        </w:rPr>
        <w:t xml:space="preserve">eingegangenen Verpflichtungen.</w:t>
      </w:r>
    </w:p>
    <w:p w:rsidRPr="00EE42EB" w:rsidR="00EE42EB" w:rsidP="00EE42EB" w:rsidRDefault="00EE42EB" w14:paraId="5F14D54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Mit der Entwicklungspolitik der Union werden auch die Ziele des auswärtigen Handelns der EU verfolgt, insbesondere die in </w:t>
      </w:r>
      <w:hyperlink w:history="1" r:id="rId75">
        <w:r w:rsidRPr="00EE42EB">
          <w:rPr>
            <w:rFonts w:ascii="Times New Roman" w:hAnsi="Times New Roman" w:eastAsia="Times New Roman" w:cs="Times New Roman"/>
            <w:color w:val="0000FF"/>
            <w:sz w:val="27"/>
            <w:szCs w:val="27"/>
            <w:u w:val="single"/>
            <w:lang w:val="fr-FR" w:eastAsia="de-DE"/>
          </w:rPr>
          <w:t xml:space="preserve">Artikel 21 Absatz 2 Buchstabe d </w:t>
        </w:r>
      </w:hyperlink>
      <w:r w:rsidRPr="00EE42EB">
        <w:rPr>
          <w:rFonts w:ascii="Times New Roman" w:hAnsi="Times New Roman" w:eastAsia="Times New Roman" w:cs="Times New Roman"/>
          <w:color w:val="000000"/>
          <w:sz w:val="27"/>
          <w:szCs w:val="27"/>
          <w:lang w:val="fr-FR" w:eastAsia="de-DE"/>
        </w:rPr>
        <w:t xml:space="preserve">des Vertrags über die Europäische Union (EUV) genannten Ziele, nämlich die Förderung der </w:t>
      </w:r>
      <w:r w:rsidRPr="00EE42EB">
        <w:rPr>
          <w:rFonts w:ascii="Times New Roman" w:hAnsi="Times New Roman" w:eastAsia="Times New Roman" w:cs="Times New Roman"/>
          <w:color w:val="000000"/>
          <w:sz w:val="27"/>
          <w:szCs w:val="27"/>
          <w:lang w:val="fr-FR" w:eastAsia="de-DE"/>
        </w:rPr>
        <w:lastRenderedPageBreak/>
        <w:t xml:space="preserve">nachhaltigen wirtschaftlichen, sozialen und ökologischen </w:t>
      </w:r>
      <w:r w:rsidRPr="00EE42EB">
        <w:rPr>
          <w:rFonts w:ascii="Times New Roman" w:hAnsi="Times New Roman" w:eastAsia="Times New Roman" w:cs="Times New Roman"/>
          <w:color w:val="000000"/>
          <w:sz w:val="27"/>
          <w:szCs w:val="27"/>
          <w:lang w:val="fr-FR" w:eastAsia="de-DE"/>
        </w:rPr>
        <w:t xml:space="preserve">Entwicklung </w:t>
      </w:r>
      <w:r w:rsidRPr="00EE42EB">
        <w:rPr>
          <w:rFonts w:ascii="Times New Roman" w:hAnsi="Times New Roman" w:eastAsia="Times New Roman" w:cs="Times New Roman"/>
          <w:color w:val="000000"/>
          <w:sz w:val="27"/>
          <w:szCs w:val="27"/>
          <w:lang w:val="fr-FR" w:eastAsia="de-DE"/>
        </w:rPr>
        <w:lastRenderedPageBreak/>
        <w:t xml:space="preserve">der Entwicklungsländer mit dem vorrangigen Ziel der Beseitigung der Armut.</w:t>
      </w:r>
    </w:p>
    <w:p w:rsidRPr="00EE42EB" w:rsidR="00EE42EB" w:rsidP="00EE42EB" w:rsidRDefault="00EE42EB" w14:paraId="3D46401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Im Einklang mit den in Artikel 21 Absatz 2 EUV genannten Zielen trägt die Entwicklungspolitik unter anderem zur Förderung der Demokratie, der Rechtsstaatlichkeit und der Menschenrechte, zur Wahrung des Friedens und zur Verhütung von Konflikten, zur Verbesserung der Umweltqualität und zur nachhaltigen Bewirtschaftung der weltweiten natürlichen Ressourcen, zur Unterstützung von Bevölkerungsgruppen, Ländern und Regionen, die von Naturkatastrophen oder vom Menschen verursachten Katastrophen betroffen sind, sowie zur Förderung eines internationalen Systems bei, das auf einer verstärkten multilateralen Zusammenarbeit und einer verantwortungsvollen Weltordnungspolitik beruht</w:t>
      </w:r>
    </w:p>
    <w:p w:rsidRPr="00EE42EB" w:rsidR="00EE42EB" w:rsidP="00EE42EB" w:rsidRDefault="00EE42EB" w14:paraId="4B15502D" w14:textId="77777777">
      <w:pPr>
        <w:spacing w:before="390" w:after="195" w:line="240" w:lineRule="auto"/>
        <w:outlineLvl w:val="1"/>
        <w:rPr>
          <w:rFonts w:ascii="Times New Roman" w:hAnsi="Times New Roman" w:eastAsia="Times New Roman" w:cs="Times New Roman"/>
          <w:b/>
          <w:bCs/>
          <w:color w:val="444444"/>
          <w:sz w:val="27"/>
          <w:szCs w:val="27"/>
          <w:lang w:val="fr-FR" w:eastAsia="de-DE"/>
        </w:rPr>
      </w:pPr>
      <w:r w:rsidRPr="00EE42EB">
        <w:rPr>
          <w:rFonts w:ascii="Times New Roman" w:hAnsi="Times New Roman" w:eastAsia="Times New Roman" w:cs="Times New Roman"/>
          <w:b/>
          <w:bCs/>
          <w:color w:val="444444"/>
          <w:sz w:val="27"/>
          <w:szCs w:val="27"/>
          <w:lang w:val="fr-FR" w:eastAsia="de-DE"/>
        </w:rPr>
        <w:t xml:space="preserve">SCHLÜSSELPUNKTE</w:t>
      </w:r>
    </w:p>
    <w:p w:rsidRPr="00EE42EB" w:rsidR="00EE42EB" w:rsidP="00EE42EB" w:rsidRDefault="00EE42EB" w14:paraId="0BB1B36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Internationale Verpflichtungen</w:t>
      </w:r>
    </w:p>
    <w:p w:rsidRPr="00EE42EB" w:rsidR="00EE42EB" w:rsidP="00EE42EB" w:rsidRDefault="00EE42EB" w14:paraId="3B3D37B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Ein stärkeres Europa auf der internationalen Bühne</w:t>
      </w:r>
    </w:p>
    <w:p w:rsidRPr="00EE42EB" w:rsidR="00EE42EB" w:rsidP="00EE42EB" w:rsidRDefault="00EE42EB" w14:paraId="368F162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EU ist bestrebt, alle ihr zur Verfügung stehenden Mittel und die ihrer Mitgliedsländer zusammenzubringen, um für eine friedlichere und wohlhabendere Welt zu arbeiten. Die vollständige Umsetzung der </w:t>
      </w:r>
      <w:hyperlink w:history="1" r:id="rId76">
        <w:r w:rsidRPr="00EE42EB">
          <w:rPr>
            <w:rFonts w:ascii="Times New Roman" w:hAnsi="Times New Roman" w:eastAsia="Times New Roman" w:cs="Times New Roman"/>
            <w:color w:val="0000FF"/>
            <w:sz w:val="27"/>
            <w:szCs w:val="27"/>
            <w:u w:val="single"/>
            <w:lang w:val="fr-FR" w:eastAsia="de-DE"/>
          </w:rPr>
          <w:t xml:space="preserve">umfassenden </w:t>
        </w:r>
      </w:hyperlink>
      <w:hyperlink w:history="1" r:id="rId77">
        <w:r w:rsidRPr="00EE42EB">
          <w:rPr>
            <w:rFonts w:ascii="Times New Roman" w:hAnsi="Times New Roman" w:eastAsia="Times New Roman" w:cs="Times New Roman"/>
            <w:color w:val="0000FF"/>
            <w:sz w:val="27"/>
            <w:szCs w:val="27"/>
            <w:u w:val="single"/>
            <w:lang w:val="fr-FR" w:eastAsia="de-DE"/>
          </w:rPr>
          <w:t xml:space="preserve">außen- und sicherheitspolitischen </w:t>
        </w:r>
      </w:hyperlink>
      <w:hyperlink w:history="1" r:id="rId76">
        <w:r w:rsidRPr="00EE42EB">
          <w:rPr>
            <w:rFonts w:ascii="Times New Roman" w:hAnsi="Times New Roman" w:eastAsia="Times New Roman" w:cs="Times New Roman"/>
            <w:color w:val="0000FF"/>
            <w:sz w:val="27"/>
            <w:szCs w:val="27"/>
            <w:u w:val="single"/>
            <w:lang w:val="fr-FR" w:eastAsia="de-DE"/>
          </w:rPr>
          <w:t xml:space="preserve">Strategie der EU (EUMS) </w:t>
        </w:r>
      </w:hyperlink>
      <w:r w:rsidRPr="00EE42EB">
        <w:rPr>
          <w:rFonts w:ascii="Times New Roman" w:hAnsi="Times New Roman" w:eastAsia="Times New Roman" w:cs="Times New Roman"/>
          <w:color w:val="000000"/>
          <w:sz w:val="27"/>
          <w:szCs w:val="27"/>
          <w:lang w:val="fr-FR" w:eastAsia="de-DE"/>
        </w:rPr>
        <w:t xml:space="preserve">begann im Jahr 2017. Diese Strategie legt die Kerninteressen und Grundsätze des Engagements der EU dar und bietet eine Vision einer glaubwürdigeren, verantwortungsvolleren und reaktionsfähigeren EU in der Welt. Die UN-Ziele für nachhaltige Entwicklung (SDGs) werden auch Querschnittselemente bei der Umsetzung des EUMS darstellen</w:t>
      </w:r>
    </w:p>
    <w:p w:rsidRPr="00EE42EB" w:rsidR="00EE42EB" w:rsidP="00EE42EB" w:rsidRDefault="00EE42EB" w14:paraId="2A5202F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EU und ihre Mitgliedsländer sind zusammen der größte Geber von öffentlicher Entwicklungshilfe (ODA). Der </w:t>
      </w:r>
      <w:hyperlink w:history="1" r:id="rId78">
        <w:r w:rsidRPr="00EE42EB">
          <w:rPr>
            <w:rFonts w:ascii="Times New Roman" w:hAnsi="Times New Roman" w:eastAsia="Times New Roman" w:cs="Times New Roman"/>
            <w:b/>
            <w:bCs/>
            <w:color w:val="0000FF"/>
            <w:sz w:val="27"/>
            <w:szCs w:val="27"/>
            <w:u w:val="single"/>
            <w:lang w:val="fr-FR" w:eastAsia="de-DE"/>
          </w:rPr>
          <w:t xml:space="preserve">Europäische Entwicklungsfonds (EEF) ist </w:t>
        </w:r>
      </w:hyperlink>
      <w:r w:rsidRPr="00EE42EB">
        <w:rPr>
          <w:rFonts w:ascii="Times New Roman" w:hAnsi="Times New Roman" w:eastAsia="Times New Roman" w:cs="Times New Roman"/>
          <w:color w:val="000000"/>
          <w:sz w:val="27"/>
          <w:szCs w:val="27"/>
          <w:lang w:val="fr-FR" w:eastAsia="de-DE"/>
        </w:rPr>
        <w:t xml:space="preserve">das wichtigste Entwicklungshilfeinstrument der EU zur Unterstützung der 79 Staaten in Afrika, im karibischen Raum und im Pazifischen Ozean (AKP-Staaten) sowie der </w:t>
      </w:r>
      <w:hyperlink w:history="1" r:id="rId79">
        <w:r w:rsidRPr="00EE42EB">
          <w:rPr>
            <w:rFonts w:ascii="Times New Roman" w:hAnsi="Times New Roman" w:eastAsia="Times New Roman" w:cs="Times New Roman"/>
            <w:color w:val="0000FF"/>
            <w:sz w:val="27"/>
            <w:szCs w:val="27"/>
            <w:u w:val="single"/>
            <w:lang w:val="fr-FR" w:eastAsia="de-DE"/>
          </w:rPr>
          <w:t xml:space="preserve">überseeischen Länder und Gebiete </w:t>
        </w:r>
      </w:hyperlink>
      <w:r w:rsidRPr="00EE42EB">
        <w:rPr>
          <w:rFonts w:ascii="Times New Roman" w:hAnsi="Times New Roman" w:eastAsia="Times New Roman" w:cs="Times New Roman"/>
          <w:color w:val="000000"/>
          <w:sz w:val="27"/>
          <w:szCs w:val="27"/>
          <w:lang w:val="fr-FR" w:eastAsia="de-DE"/>
        </w:rPr>
        <w:t xml:space="preserve">im Rahmen des </w:t>
      </w:r>
      <w:hyperlink w:history="1" r:id="rId80">
        <w:r w:rsidRPr="00EE42EB">
          <w:rPr>
            <w:rFonts w:ascii="Times New Roman" w:hAnsi="Times New Roman" w:eastAsia="Times New Roman" w:cs="Times New Roman"/>
            <w:color w:val="0000FF"/>
            <w:sz w:val="27"/>
            <w:szCs w:val="27"/>
            <w:u w:val="single"/>
            <w:lang w:val="fr-FR" w:eastAsia="de-DE"/>
          </w:rPr>
          <w:t xml:space="preserve">Abkommens von Cotonou</w:t>
        </w:r>
      </w:hyperlink>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27481F3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Das EU-Instrument der </w:t>
      </w:r>
      <w:hyperlink w:history="1" r:id="rId81">
        <w:r w:rsidRPr="00EE42EB">
          <w:rPr>
            <w:rFonts w:ascii="Times New Roman" w:hAnsi="Times New Roman" w:eastAsia="Times New Roman" w:cs="Times New Roman"/>
            <w:color w:val="0000FF"/>
            <w:sz w:val="27"/>
            <w:szCs w:val="27"/>
            <w:u w:val="single"/>
            <w:lang w:val="fr-FR" w:eastAsia="de-DE"/>
          </w:rPr>
          <w:t xml:space="preserve">Entwicklungszusammenarbeit </w:t>
        </w:r>
      </w:hyperlink>
      <w:r w:rsidRPr="00EE42EB">
        <w:rPr>
          <w:rFonts w:ascii="Times New Roman" w:hAnsi="Times New Roman" w:eastAsia="Times New Roman" w:cs="Times New Roman"/>
          <w:color w:val="000000"/>
          <w:sz w:val="27"/>
          <w:szCs w:val="27"/>
          <w:lang w:val="fr-FR" w:eastAsia="de-DE"/>
        </w:rPr>
        <w:t xml:space="preserve">zielt auf die Verringerung der Armut in Entwicklungsländern ab und fördert eine nachhaltige wirtschaftliche, soziale und ökologische Entwicklung, Demokratie, Rechtsstaatlichkeit, Menschenrechte und gute Regierungsführung.</w:t>
      </w:r>
    </w:p>
    <w:p w:rsidRPr="00EE42EB" w:rsidR="00EE42EB" w:rsidP="00EE42EB" w:rsidRDefault="00EE42EB" w14:paraId="14E31D6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Die Agenda 2030 für nachhaltige Entwicklung und der Europäische Konsens zur Entwicklung</w:t>
      </w:r>
    </w:p>
    <w:p w:rsidRPr="00EE42EB" w:rsidR="00EE42EB" w:rsidP="00EE42EB" w:rsidRDefault="00EE42EB" w14:paraId="67EC0C1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w:t>
      </w:r>
      <w:hyperlink w:history="1" r:id="rId82">
        <w:r w:rsidRPr="00EE42EB">
          <w:rPr>
            <w:rFonts w:ascii="Times New Roman" w:hAnsi="Times New Roman" w:eastAsia="Times New Roman" w:cs="Times New Roman"/>
            <w:color w:val="0000FF"/>
            <w:sz w:val="27"/>
            <w:szCs w:val="27"/>
            <w:u w:val="single"/>
            <w:lang w:val="fr-FR" w:eastAsia="de-DE"/>
          </w:rPr>
          <w:t xml:space="preserve">2030-Agenda für nachhaltige Entwicklung </w:t>
        </w:r>
      </w:hyperlink>
      <w:r w:rsidRPr="00EE42EB">
        <w:rPr>
          <w:rFonts w:ascii="Times New Roman" w:hAnsi="Times New Roman" w:eastAsia="Times New Roman" w:cs="Times New Roman"/>
          <w:color w:val="000000"/>
          <w:sz w:val="27"/>
          <w:szCs w:val="27"/>
          <w:lang w:val="fr-FR" w:eastAsia="de-DE"/>
        </w:rPr>
        <w:t xml:space="preserve">(oder 2030-Agenda) und ihre 17 </w:t>
      </w:r>
      <w:hyperlink w:history="1" r:id="rId83">
        <w:r w:rsidRPr="00EE42EB">
          <w:rPr>
            <w:rFonts w:ascii="Times New Roman" w:hAnsi="Times New Roman" w:eastAsia="Times New Roman" w:cs="Times New Roman"/>
            <w:color w:val="0000FF"/>
            <w:sz w:val="27"/>
            <w:szCs w:val="27"/>
            <w:u w:val="single"/>
            <w:lang w:val="fr-FR" w:eastAsia="de-DE"/>
          </w:rPr>
          <w:t xml:space="preserve">SDGs</w:t>
        </w:r>
      </w:hyperlink>
      <w:r w:rsidRPr="00EE42EB">
        <w:rPr>
          <w:rFonts w:ascii="Times New Roman" w:hAnsi="Times New Roman" w:eastAsia="Times New Roman" w:cs="Times New Roman"/>
          <w:color w:val="000000"/>
          <w:sz w:val="27"/>
          <w:szCs w:val="27"/>
          <w:lang w:val="fr-FR" w:eastAsia="de-DE"/>
        </w:rPr>
        <w:t xml:space="preserve">, die 2015 von den 193 UN-Mitgliedsstaaten verabschiedet wurden, sind der neue globale Rahmen für die Beseitigung der Armut und das Erreichen einer globalen nachhaltigen Entwicklung bis 2030.</w:t>
      </w:r>
    </w:p>
    <w:p w:rsidRPr="00EE42EB" w:rsidR="00EE42EB" w:rsidP="00EE42EB" w:rsidRDefault="00EE42EB" w14:paraId="65991BC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Im Einklang mit dem EUMS legt die EU in ihrem </w:t>
      </w:r>
      <w:hyperlink w:history="1" r:id="rId84">
        <w:r w:rsidRPr="00EE42EB">
          <w:rPr>
            <w:rFonts w:ascii="Times New Roman" w:hAnsi="Times New Roman" w:eastAsia="Times New Roman" w:cs="Times New Roman"/>
            <w:color w:val="0000FF"/>
            <w:sz w:val="27"/>
            <w:szCs w:val="27"/>
            <w:u w:val="single"/>
            <w:lang w:val="fr-FR" w:eastAsia="de-DE"/>
          </w:rPr>
          <w:t xml:space="preserve">neuen Europäischen Konsens über die Entwicklungspolitik </w:t>
        </w:r>
      </w:hyperlink>
      <w:r w:rsidRPr="00EE42EB">
        <w:rPr>
          <w:rFonts w:ascii="Times New Roman" w:hAnsi="Times New Roman" w:eastAsia="Times New Roman" w:cs="Times New Roman"/>
          <w:color w:val="000000"/>
          <w:sz w:val="27"/>
          <w:szCs w:val="27"/>
          <w:lang w:val="fr-FR" w:eastAsia="de-DE"/>
        </w:rPr>
        <w:t xml:space="preserve">2017 die Grundsätze fest, die ihre Institutionen und Mitgliedsländer bei ihrer Zusammenarbeit mit Entwicklungsländern leiten sollten, um zur </w:t>
      </w:r>
      <w:r w:rsidRPr="00EE42EB">
        <w:rPr>
          <w:rFonts w:ascii="Times New Roman" w:hAnsi="Times New Roman" w:eastAsia="Times New Roman" w:cs="Times New Roman"/>
          <w:color w:val="000000"/>
          <w:sz w:val="27"/>
          <w:szCs w:val="27"/>
          <w:lang w:val="fr-FR" w:eastAsia="de-DE"/>
        </w:rPr>
        <w:lastRenderedPageBreak/>
        <w:t xml:space="preserve">Verwirklichung der Agenda 2030 und der </w:t>
      </w:r>
      <w:r w:rsidRPr="00EE42EB">
        <w:rPr>
          <w:rFonts w:ascii="Times New Roman" w:hAnsi="Times New Roman" w:eastAsia="Times New Roman" w:cs="Times New Roman"/>
          <w:color w:val="000000"/>
          <w:sz w:val="27"/>
          <w:szCs w:val="27"/>
          <w:lang w:val="fr-FR" w:eastAsia="de-DE"/>
        </w:rPr>
        <w:t xml:space="preserve">2015 von den Vereinten Nationen verabschiedeten </w:t>
      </w:r>
      <w:hyperlink w:history="1" r:id="rId85">
        <w:r w:rsidRPr="00EE42EB">
          <w:rPr>
            <w:rFonts w:ascii="Times New Roman" w:hAnsi="Times New Roman" w:eastAsia="Times New Roman" w:cs="Times New Roman"/>
            <w:color w:val="0000FF"/>
            <w:sz w:val="27"/>
            <w:szCs w:val="27"/>
            <w:u w:val="single"/>
            <w:lang w:val="fr-FR" w:eastAsia="de-DE"/>
          </w:rPr>
          <w:t xml:space="preserve">Addis-Abeba-Aktionsagenda </w:t>
        </w:r>
      </w:hyperlink>
      <w:r w:rsidRPr="00EE42EB">
        <w:rPr>
          <w:rFonts w:ascii="Times New Roman" w:hAnsi="Times New Roman" w:eastAsia="Times New Roman" w:cs="Times New Roman"/>
          <w:color w:val="000000"/>
          <w:sz w:val="27"/>
          <w:szCs w:val="27"/>
          <w:lang w:val="fr-FR" w:eastAsia="de-DE"/>
        </w:rPr>
        <w:t xml:space="preserve">sowie des </w:t>
      </w:r>
      <w:hyperlink w:history="1" r:id="rId86">
        <w:r w:rsidRPr="00EE42EB">
          <w:rPr>
            <w:rFonts w:ascii="Times New Roman" w:hAnsi="Times New Roman" w:eastAsia="Times New Roman" w:cs="Times New Roman"/>
            <w:color w:val="0000FF"/>
            <w:sz w:val="27"/>
            <w:szCs w:val="27"/>
            <w:u w:val="single"/>
            <w:lang w:val="fr-FR" w:eastAsia="de-DE"/>
          </w:rPr>
          <w:t xml:space="preserve">Pariser Abkommens zum Klimawandel </w:t>
        </w:r>
      </w:hyperlink>
      <w:r w:rsidRPr="00EE42EB">
        <w:rPr>
          <w:rFonts w:ascii="Times New Roman" w:hAnsi="Times New Roman" w:eastAsia="Times New Roman" w:cs="Times New Roman"/>
          <w:color w:val="000000"/>
          <w:sz w:val="27"/>
          <w:szCs w:val="27"/>
          <w:lang w:val="fr-FR" w:eastAsia="de-DE"/>
        </w:rPr>
        <w:t xml:space="preserve">beizutragen</w:t>
      </w:r>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3DCCB04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Der Konsens richtet das entwicklungspolitische Handeln der EU an den SDGs aus und orientiert sich an den 5 P, die die Agenda 2030 definieren (Menschen, Planet, Wohlstand, Frieden und Partnerschaft).</w:t>
      </w:r>
    </w:p>
    <w:p w:rsidRPr="00EE42EB" w:rsidR="00EE42EB" w:rsidP="00EE42EB" w:rsidRDefault="00EE42EB" w14:paraId="7093C36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Finanzierung der nachhaltigen Entwicklung</w:t>
      </w:r>
    </w:p>
    <w:p w:rsidRPr="00EE42EB" w:rsidR="00EE42EB" w:rsidP="00EE42EB" w:rsidRDefault="00EE42EB" w14:paraId="6FBCFD71"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val="fr-FR" w:eastAsia="de-DE"/>
        </w:rPr>
        <w:t xml:space="preserve">Die EU ist Vertragspartei der Addis Abeba Action Agenda, einer Vereinbarung, die von einer Partnerschaft von 193 UN-Mitgliedsländern auf der </w:t>
      </w:r>
      <w:r w:rsidRPr="00EE42EB">
        <w:rPr>
          <w:rFonts w:ascii="Times New Roman" w:hAnsi="Times New Roman" w:eastAsia="Times New Roman" w:cs="Times New Roman"/>
          <w:b/>
          <w:bCs/>
          <w:color w:val="000000"/>
          <w:sz w:val="27"/>
          <w:szCs w:val="27"/>
          <w:lang w:val="fr-FR" w:eastAsia="de-DE"/>
        </w:rPr>
        <w:t xml:space="preserve">Dritten Internationalen UN-Konferenz zur Entwicklungsfinanzierung </w:t>
      </w:r>
      <w:r w:rsidRPr="00EE42EB">
        <w:rPr>
          <w:rFonts w:ascii="Times New Roman" w:hAnsi="Times New Roman" w:eastAsia="Times New Roman" w:cs="Times New Roman"/>
          <w:color w:val="000000"/>
          <w:sz w:val="27"/>
          <w:szCs w:val="27"/>
          <w:lang w:val="fr-FR" w:eastAsia="de-DE"/>
        </w:rPr>
        <w:t xml:space="preserve">getroffen wurde</w:t>
      </w:r>
      <w:r w:rsidRPr="00EE42EB">
        <w:rPr>
          <w:rFonts w:ascii="Times New Roman" w:hAnsi="Times New Roman" w:eastAsia="Times New Roman" w:cs="Times New Roman"/>
          <w:color w:val="000000"/>
          <w:sz w:val="27"/>
          <w:szCs w:val="27"/>
          <w:lang w:val="fr-FR" w:eastAsia="de-DE"/>
        </w:rPr>
        <w:t xml:space="preserve">. Diese Vereinbarung ist ein integraler Bestandteil der Agenda 2030 und etabliert ein neues Umsetzungsparadigma durch den effektiven Einsatz finanzieller und nicht-finanzieller Mittel und durch die Priorisierung nationaler Maßnahmen und solider Politiken. </w:t>
      </w:r>
      <w:r w:rsidRPr="00EE42EB">
        <w:rPr>
          <w:rFonts w:ascii="Times New Roman" w:hAnsi="Times New Roman" w:eastAsia="Times New Roman" w:cs="Times New Roman"/>
          <w:color w:val="000000"/>
          <w:sz w:val="27"/>
          <w:szCs w:val="27"/>
          <w:lang w:eastAsia="de-DE"/>
        </w:rPr>
        <w:t xml:space="preserve">Zu seinen </w:t>
      </w:r>
      <w:r w:rsidRPr="00EE42EB">
        <w:rPr>
          <w:rFonts w:ascii="Times New Roman" w:hAnsi="Times New Roman" w:eastAsia="Times New Roman" w:cs="Times New Roman"/>
          <w:color w:val="000000"/>
          <w:sz w:val="27"/>
          <w:szCs w:val="27"/>
          <w:lang w:eastAsia="de-DE"/>
        </w:rPr>
        <w:t xml:space="preserve">Schwerpunktbereichen </w:t>
      </w:r>
      <w:r w:rsidRPr="00EE42EB">
        <w:rPr>
          <w:rFonts w:ascii="Times New Roman" w:hAnsi="Times New Roman" w:eastAsia="Times New Roman" w:cs="Times New Roman"/>
          <w:color w:val="000000"/>
          <w:sz w:val="27"/>
          <w:szCs w:val="27"/>
          <w:lang w:eastAsia="de-DE"/>
        </w:rPr>
        <w:t xml:space="preserve">gehören</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4053D7F4"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inländische </w:t>
      </w:r>
      <w:r w:rsidRPr="00EE42EB">
        <w:rPr>
          <w:rFonts w:ascii="Times New Roman" w:hAnsi="Times New Roman" w:eastAsia="Times New Roman" w:cs="Times New Roman"/>
          <w:color w:val="000000"/>
          <w:sz w:val="27"/>
          <w:szCs w:val="27"/>
          <w:lang w:eastAsia="de-DE"/>
        </w:rPr>
        <w:t xml:space="preserve">öffentliche </w:t>
      </w:r>
      <w:r w:rsidRPr="00EE42EB">
        <w:rPr>
          <w:rFonts w:ascii="Times New Roman" w:hAnsi="Times New Roman" w:eastAsia="Times New Roman" w:cs="Times New Roman"/>
          <w:color w:val="000000"/>
          <w:sz w:val="27"/>
          <w:szCs w:val="27"/>
          <w:lang w:eastAsia="de-DE"/>
        </w:rPr>
        <w:t xml:space="preserve">Mittel</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6B9087E0"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Privatwirtschaft und nationale und internationale Finanzen;</w:t>
      </w:r>
    </w:p>
    <w:p w:rsidRPr="00EE42EB" w:rsidR="00EE42EB" w:rsidP="00EE42EB" w:rsidRDefault="00EE42EB" w14:paraId="22B98D38"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internationale Entwicklungszusammenarbeit;</w:t>
      </w:r>
    </w:p>
    <w:p w:rsidRPr="00EE42EB" w:rsidR="00EE42EB" w:rsidP="00EE42EB" w:rsidRDefault="00EE42EB" w14:paraId="436B6619"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internationaler Handel als Motor für Entwicklung;</w:t>
      </w:r>
    </w:p>
    <w:p w:rsidRPr="00EE42EB" w:rsidR="00EE42EB" w:rsidP="00EE42EB" w:rsidRDefault="00EE42EB" w14:paraId="0A38B53C"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Schulden und Schuldentragfähigkeit;</w:t>
      </w:r>
    </w:p>
    <w:p w:rsidRPr="00EE42EB" w:rsidR="00EE42EB" w:rsidP="00EE42EB" w:rsidRDefault="00EE42EB" w14:paraId="3C8D84B5"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Systemische Problemlösung;</w:t>
      </w:r>
    </w:p>
    <w:p w:rsidRPr="00EE42EB" w:rsidR="00EE42EB" w:rsidP="00EE42EB" w:rsidRDefault="00EE42EB" w14:paraId="1C28D94A" w14:textId="77777777">
      <w:pPr>
        <w:numPr>
          <w:ilvl w:val="0"/>
          <w:numId w:val="2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Wissenschaft, Technologie, Innovation und Kapazitätsaufbau.</w:t>
      </w:r>
    </w:p>
    <w:p w:rsidRPr="00EE42EB" w:rsidR="00EE42EB" w:rsidP="00EE42EB" w:rsidRDefault="00EE42EB" w14:paraId="6624B4F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Externer Investitionsplan</w:t>
      </w:r>
    </w:p>
    <w:p w:rsidRPr="00EE42EB" w:rsidR="00EE42EB" w:rsidP="00EE42EB" w:rsidRDefault="00EE42EB" w14:paraId="293E38D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Um </w:t>
      </w:r>
      <w:r w:rsidRPr="00EE42EB">
        <w:rPr>
          <w:rFonts w:ascii="Times New Roman" w:hAnsi="Times New Roman" w:eastAsia="Times New Roman" w:cs="Times New Roman"/>
          <w:color w:val="000000"/>
          <w:sz w:val="27"/>
          <w:szCs w:val="27"/>
          <w:lang w:val="fr-FR" w:eastAsia="de-DE"/>
        </w:rPr>
        <w:t xml:space="preserve">zur Erreichung der SDGs beizutragen und öffentliche und private Investitionen zu mobilisieren, hat die EU 2017 den </w:t>
      </w:r>
      <w:hyperlink w:history="1" r:id="rId87">
        <w:r w:rsidRPr="00EE42EB">
          <w:rPr>
            <w:rFonts w:ascii="Times New Roman" w:hAnsi="Times New Roman" w:eastAsia="Times New Roman" w:cs="Times New Roman"/>
            <w:color w:val="0000FF"/>
            <w:sz w:val="27"/>
            <w:szCs w:val="27"/>
            <w:u w:val="single"/>
            <w:lang w:val="fr-FR" w:eastAsia="de-DE"/>
          </w:rPr>
          <w:t xml:space="preserve">Europäischen Fonds für nachhaltige Entwicklung (EFSD) </w:t>
        </w:r>
      </w:hyperlink>
      <w:r w:rsidRPr="00EE42EB">
        <w:rPr>
          <w:rFonts w:ascii="Times New Roman" w:hAnsi="Times New Roman" w:eastAsia="Times New Roman" w:cs="Times New Roman"/>
          <w:color w:val="000000"/>
          <w:sz w:val="27"/>
          <w:szCs w:val="27"/>
          <w:lang w:val="fr-FR" w:eastAsia="de-DE"/>
        </w:rPr>
        <w:t xml:space="preserve">und die EFSD-Garantie </w:t>
      </w:r>
      <w:r w:rsidRPr="00EE42EB">
        <w:rPr>
          <w:rFonts w:ascii="Times New Roman" w:hAnsi="Times New Roman" w:eastAsia="Times New Roman" w:cs="Times New Roman"/>
          <w:color w:val="000000"/>
          <w:sz w:val="27"/>
          <w:szCs w:val="27"/>
          <w:lang w:val="fr-FR" w:eastAsia="de-DE"/>
        </w:rPr>
        <w:t xml:space="preserve">eingerichtet. </w:t>
      </w:r>
      <w:r w:rsidRPr="00EE42EB">
        <w:rPr>
          <w:rFonts w:ascii="Times New Roman" w:hAnsi="Times New Roman" w:eastAsia="Times New Roman" w:cs="Times New Roman"/>
          <w:color w:val="000000"/>
          <w:sz w:val="27"/>
          <w:szCs w:val="27"/>
          <w:lang w:val="fr-FR" w:eastAsia="de-DE"/>
        </w:rPr>
        <w:t xml:space="preserve">Diese Maßnahmen sind Teil des </w:t>
      </w:r>
      <w:hyperlink w:history="1" r:id="rId88">
        <w:r w:rsidRPr="00EE42EB">
          <w:rPr>
            <w:rFonts w:ascii="Times New Roman" w:hAnsi="Times New Roman" w:eastAsia="Times New Roman" w:cs="Times New Roman"/>
            <w:color w:val="0000FF"/>
            <w:sz w:val="27"/>
            <w:szCs w:val="27"/>
            <w:u w:val="single"/>
            <w:lang w:val="fr-FR" w:eastAsia="de-DE"/>
          </w:rPr>
          <w:t xml:space="preserve">External Investment Plan (EIP) der </w:t>
        </w:r>
      </w:hyperlink>
      <w:r w:rsidRPr="00EE42EB">
        <w:rPr>
          <w:rFonts w:ascii="Times New Roman" w:hAnsi="Times New Roman" w:eastAsia="Times New Roman" w:cs="Times New Roman"/>
          <w:color w:val="000000"/>
          <w:sz w:val="27"/>
          <w:szCs w:val="27"/>
          <w:lang w:val="fr-FR" w:eastAsia="de-DE"/>
        </w:rPr>
        <w:t xml:space="preserve">EU, der darauf abzielt, die Herausforderungen der nachhaltigen Entwicklung in Subsahara-Afrika anzugehen und den Übergang durch Reformen in der </w:t>
      </w:r>
      <w:hyperlink w:history="1" r:id="rId89">
        <w:r w:rsidRPr="00EE42EB">
          <w:rPr>
            <w:rFonts w:ascii="Times New Roman" w:hAnsi="Times New Roman" w:eastAsia="Times New Roman" w:cs="Times New Roman"/>
            <w:color w:val="0000FF"/>
            <w:sz w:val="27"/>
            <w:szCs w:val="27"/>
            <w:u w:val="single"/>
            <w:lang w:val="fr-FR" w:eastAsia="de-DE"/>
          </w:rPr>
          <w:t xml:space="preserve">Nachbarschaft der </w:t>
        </w:r>
      </w:hyperlink>
      <w:r w:rsidRPr="00EE42EB">
        <w:rPr>
          <w:rFonts w:ascii="Times New Roman" w:hAnsi="Times New Roman" w:eastAsia="Times New Roman" w:cs="Times New Roman"/>
          <w:color w:val="000000"/>
          <w:sz w:val="27"/>
          <w:szCs w:val="27"/>
          <w:lang w:val="fr-FR" w:eastAsia="de-DE"/>
        </w:rPr>
        <w:t xml:space="preserve">EU zu </w:t>
      </w:r>
      <w:r w:rsidRPr="00EE42EB">
        <w:rPr>
          <w:rFonts w:ascii="Times New Roman" w:hAnsi="Times New Roman" w:eastAsia="Times New Roman" w:cs="Times New Roman"/>
          <w:color w:val="000000"/>
          <w:sz w:val="27"/>
          <w:szCs w:val="27"/>
          <w:lang w:val="fr-FR" w:eastAsia="de-DE"/>
        </w:rPr>
        <w:t xml:space="preserve">gewährleisten.</w:t>
      </w:r>
    </w:p>
    <w:p w:rsidRPr="00EE42EB" w:rsidR="00EE42EB" w:rsidP="00EE42EB" w:rsidRDefault="00EE42EB" w14:paraId="5317B89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Post-Cotonou-Abkommen</w:t>
      </w:r>
    </w:p>
    <w:p w:rsidRPr="00EE42EB" w:rsidR="00EE42EB" w:rsidP="00EE42EB" w:rsidRDefault="00EE42EB" w14:paraId="501272C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w:t>
      </w:r>
      <w:hyperlink w:history="1" r:id="rId90">
        <w:r w:rsidRPr="00EE42EB">
          <w:rPr>
            <w:rFonts w:ascii="Times New Roman" w:hAnsi="Times New Roman" w:eastAsia="Times New Roman" w:cs="Times New Roman"/>
            <w:color w:val="0000FF"/>
            <w:sz w:val="27"/>
            <w:szCs w:val="27"/>
            <w:u w:val="single"/>
            <w:lang w:val="fr-FR" w:eastAsia="de-DE"/>
          </w:rPr>
          <w:t xml:space="preserve">Verhandlungen </w:t>
        </w:r>
      </w:hyperlink>
      <w:r w:rsidRPr="00EE42EB">
        <w:rPr>
          <w:rFonts w:ascii="Times New Roman" w:hAnsi="Times New Roman" w:eastAsia="Times New Roman" w:cs="Times New Roman"/>
          <w:color w:val="000000"/>
          <w:sz w:val="27"/>
          <w:szCs w:val="27"/>
          <w:lang w:val="fr-FR" w:eastAsia="de-DE"/>
        </w:rPr>
        <w:t xml:space="preserve">zur Neudefinition der künftigen Beziehungen der EU zu den AKP-Staaten </w:t>
      </w:r>
      <w:r w:rsidRPr="00EE42EB">
        <w:rPr>
          <w:rFonts w:ascii="Times New Roman" w:hAnsi="Times New Roman" w:eastAsia="Times New Roman" w:cs="Times New Roman"/>
          <w:color w:val="000000"/>
          <w:sz w:val="27"/>
          <w:szCs w:val="27"/>
          <w:lang w:val="fr-FR" w:eastAsia="de-DE"/>
        </w:rPr>
        <w:t xml:space="preserve">sind im Gange.</w:t>
      </w:r>
      <w:r w:rsidRPr="00EE42EB">
        <w:rPr>
          <w:rFonts w:ascii="Times New Roman" w:hAnsi="Times New Roman" w:eastAsia="Times New Roman" w:cs="Times New Roman"/>
          <w:color w:val="000000"/>
          <w:sz w:val="27"/>
          <w:szCs w:val="27"/>
          <w:lang w:val="fr-FR" w:eastAsia="de-DE"/>
        </w:rPr>
        <w:t xml:space="preserve"> Derzeit sind sie durch das Cotonou-Abkommen definiert, das 2020 ausläuft. Dieses Abkommen hat dazu beigetragen, die Armut zu verringern, die Stabilität zu erhöhen und die AKP-Staaten in die Weltwirtschaft zu integrieren.</w:t>
      </w:r>
    </w:p>
    <w:p w:rsidRPr="00EE42EB" w:rsidR="00EE42EB" w:rsidP="00EE42EB" w:rsidRDefault="00EE42EB" w14:paraId="6ECAB71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Entwicklungseffektivität und gemeinsame Programmierung: bessere Zusammenarbeit mit EU-Ländern</w:t>
      </w:r>
    </w:p>
    <w:p w:rsidRPr="00EE42EB" w:rsidR="00EE42EB" w:rsidP="00EE42EB" w:rsidRDefault="00EE42EB" w14:paraId="71DE523B"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val="fr-FR" w:eastAsia="de-DE"/>
        </w:rPr>
        <w:lastRenderedPageBreak/>
        <w:t xml:space="preserve">Die EU setzt sich dafür ein, dass die Entwicklungshilfe so effektiv wie möglich zur Erreichung der SDGs eingesetzt wird. </w:t>
      </w:r>
      <w:r w:rsidRPr="00EE42EB">
        <w:rPr>
          <w:rFonts w:ascii="Times New Roman" w:hAnsi="Times New Roman" w:eastAsia="Times New Roman" w:cs="Times New Roman"/>
          <w:color w:val="000000"/>
          <w:sz w:val="27"/>
          <w:szCs w:val="27"/>
          <w:lang w:eastAsia="de-DE"/>
        </w:rPr>
        <w:t xml:space="preserve">In </w:t>
      </w:r>
      <w:r w:rsidRPr="00EE42EB">
        <w:rPr>
          <w:rFonts w:ascii="Times New Roman" w:hAnsi="Times New Roman" w:eastAsia="Times New Roman" w:cs="Times New Roman"/>
          <w:color w:val="000000"/>
          <w:sz w:val="27"/>
          <w:szCs w:val="27"/>
          <w:lang w:eastAsia="de-DE"/>
        </w:rPr>
        <w:t xml:space="preserve">dieser </w:t>
      </w:r>
      <w:r w:rsidRPr="00EE42EB">
        <w:rPr>
          <w:rFonts w:ascii="Times New Roman" w:hAnsi="Times New Roman" w:eastAsia="Times New Roman" w:cs="Times New Roman"/>
          <w:color w:val="000000"/>
          <w:sz w:val="27"/>
          <w:szCs w:val="27"/>
          <w:lang w:eastAsia="de-DE"/>
        </w:rPr>
        <w:t xml:space="preserve">Hinsicht </w:t>
      </w:r>
      <w:r w:rsidRPr="00EE42EB">
        <w:rPr>
          <w:rFonts w:ascii="Times New Roman" w:hAnsi="Times New Roman" w:eastAsia="Times New Roman" w:cs="Times New Roman"/>
          <w:color w:val="000000"/>
          <w:sz w:val="27"/>
          <w:szCs w:val="27"/>
          <w:lang w:eastAsia="de-DE"/>
        </w:rPr>
        <w:t xml:space="preserve">unterstützt </w:t>
      </w:r>
      <w:r w:rsidRPr="00EE42EB">
        <w:rPr>
          <w:rFonts w:ascii="Times New Roman" w:hAnsi="Times New Roman" w:eastAsia="Times New Roman" w:cs="Times New Roman"/>
          <w:color w:val="000000"/>
          <w:sz w:val="27"/>
          <w:szCs w:val="27"/>
          <w:lang w:eastAsia="de-DE"/>
        </w:rPr>
        <w:t xml:space="preserve">sie </w:t>
      </w:r>
      <w:r w:rsidRPr="00EE42EB">
        <w:rPr>
          <w:rFonts w:ascii="Times New Roman" w:hAnsi="Times New Roman" w:eastAsia="Times New Roman" w:cs="Times New Roman"/>
          <w:color w:val="000000"/>
          <w:sz w:val="27"/>
          <w:szCs w:val="27"/>
          <w:lang w:eastAsia="de-DE"/>
        </w:rPr>
        <w:t xml:space="preserve">mehrere </w:t>
      </w:r>
      <w:r w:rsidRPr="00EE42EB">
        <w:rPr>
          <w:rFonts w:ascii="Times New Roman" w:hAnsi="Times New Roman" w:eastAsia="Times New Roman" w:cs="Times New Roman"/>
          <w:color w:val="000000"/>
          <w:sz w:val="27"/>
          <w:szCs w:val="27"/>
          <w:lang w:eastAsia="de-DE"/>
        </w:rPr>
        <w:t xml:space="preserve">internationale </w:t>
      </w:r>
      <w:r w:rsidRPr="00EE42EB">
        <w:rPr>
          <w:rFonts w:ascii="Times New Roman" w:hAnsi="Times New Roman" w:eastAsia="Times New Roman" w:cs="Times New Roman"/>
          <w:color w:val="000000"/>
          <w:sz w:val="27"/>
          <w:szCs w:val="27"/>
          <w:lang w:eastAsia="de-DE"/>
        </w:rPr>
        <w:t xml:space="preserve">Vereinbarungen</w:t>
      </w:r>
      <w:r w:rsidRPr="00EE42EB">
        <w:rPr>
          <w:rFonts w:ascii="Times New Roman" w:hAnsi="Times New Roman" w:eastAsia="Times New Roman" w:cs="Times New Roman"/>
          <w:color w:val="000000"/>
          <w:sz w:val="27"/>
          <w:szCs w:val="27"/>
          <w:lang w:eastAsia="de-DE"/>
        </w:rPr>
        <w:t xml:space="preserve">, </w:t>
      </w:r>
      <w:r w:rsidRPr="00EE42EB">
        <w:rPr>
          <w:rFonts w:ascii="Times New Roman" w:hAnsi="Times New Roman" w:eastAsia="Times New Roman" w:cs="Times New Roman"/>
          <w:color w:val="000000"/>
          <w:sz w:val="27"/>
          <w:szCs w:val="27"/>
          <w:lang w:eastAsia="de-DE"/>
        </w:rPr>
        <w:t xml:space="preserve">darunter</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790584DC" w14:textId="77777777">
      <w:pPr>
        <w:numPr>
          <w:ilvl w:val="0"/>
          <w:numId w:val="2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w:t>
      </w:r>
      <w:hyperlink w:history="1" r:id="rId91">
        <w:r w:rsidRPr="00EE42EB">
          <w:rPr>
            <w:rFonts w:ascii="Times New Roman" w:hAnsi="Times New Roman" w:eastAsia="Times New Roman" w:cs="Times New Roman"/>
            <w:color w:val="0000FF"/>
            <w:sz w:val="27"/>
            <w:szCs w:val="27"/>
            <w:u w:val="single"/>
            <w:lang w:val="fr-FR" w:eastAsia="de-DE"/>
          </w:rPr>
          <w:t xml:space="preserve">Pariser Erklärung von 2005 und die Accra Agenda for Action von 2008</w:t>
        </w:r>
      </w:hyperlink>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63C6ED9F" w14:textId="77777777">
      <w:pPr>
        <w:numPr>
          <w:ilvl w:val="0"/>
          <w:numId w:val="2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das </w:t>
      </w:r>
      <w:hyperlink w:history="1" r:id="rId92">
        <w:r w:rsidRPr="00EE42EB">
          <w:rPr>
            <w:rFonts w:ascii="Times New Roman" w:hAnsi="Times New Roman" w:eastAsia="Times New Roman" w:cs="Times New Roman"/>
            <w:color w:val="0000FF"/>
            <w:sz w:val="27"/>
            <w:szCs w:val="27"/>
            <w:u w:val="single"/>
            <w:lang w:val="fr-FR" w:eastAsia="de-DE"/>
          </w:rPr>
          <w:t xml:space="preserve">Ergebnisdokument von Busan 2011</w:t>
        </w:r>
      </w:hyperlink>
      <w:r w:rsidRPr="00EE42EB">
        <w:rPr>
          <w:rFonts w:ascii="Times New Roman" w:hAnsi="Times New Roman" w:eastAsia="Times New Roman" w:cs="Times New Roman"/>
          <w:color w:val="000000"/>
          <w:sz w:val="27"/>
          <w:szCs w:val="27"/>
          <w:lang w:val="fr-FR" w:eastAsia="de-DE"/>
        </w:rPr>
        <w:t xml:space="preserve">; und</w:t>
      </w:r>
    </w:p>
    <w:p w:rsidRPr="00EE42EB" w:rsidR="00EE42EB" w:rsidP="00EE42EB" w:rsidRDefault="00EE42EB" w14:paraId="6196D6C9" w14:textId="77777777">
      <w:pPr>
        <w:numPr>
          <w:ilvl w:val="0"/>
          <w:numId w:val="2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das </w:t>
      </w:r>
      <w:hyperlink w:history="1" r:id="rId93">
        <w:r w:rsidRPr="00EE42EB">
          <w:rPr>
            <w:rFonts w:ascii="Times New Roman" w:hAnsi="Times New Roman" w:eastAsia="Times New Roman" w:cs="Times New Roman"/>
            <w:color w:val="0000FF"/>
            <w:sz w:val="27"/>
            <w:szCs w:val="27"/>
            <w:u w:val="single"/>
            <w:lang w:val="fr-FR" w:eastAsia="de-DE"/>
          </w:rPr>
          <w:t xml:space="preserve">Ergebnisdokument von Nairobi 2016</w:t>
        </w:r>
      </w:hyperlink>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72BAB7A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wichtigsten Prinzipien der </w:t>
      </w:r>
      <w:r w:rsidRPr="00EE42EB">
        <w:rPr>
          <w:rFonts w:ascii="Times New Roman" w:hAnsi="Times New Roman" w:eastAsia="Times New Roman" w:cs="Times New Roman"/>
          <w:b/>
          <w:bCs/>
          <w:color w:val="000000"/>
          <w:sz w:val="27"/>
          <w:szCs w:val="27"/>
          <w:lang w:val="fr-FR" w:eastAsia="de-DE"/>
        </w:rPr>
        <w:t xml:space="preserve">Entwicklungseffektivität</w:t>
      </w:r>
      <w:r w:rsidRPr="00EE42EB">
        <w:rPr>
          <w:rFonts w:ascii="Times New Roman" w:hAnsi="Times New Roman" w:eastAsia="Times New Roman" w:cs="Times New Roman"/>
          <w:color w:val="000000"/>
          <w:sz w:val="27"/>
          <w:szCs w:val="27"/>
          <w:lang w:val="fr-FR" w:eastAsia="de-DE"/>
        </w:rPr>
        <w:t xml:space="preserve">, die auf dem High Level Meeting in Nairobi 2016 neu definiert wurden, sind:</w:t>
      </w:r>
    </w:p>
    <w:p w:rsidRPr="00EE42EB" w:rsidR="00EE42EB" w:rsidP="00EE42EB" w:rsidRDefault="00EE42EB" w14:paraId="0025862D" w14:textId="77777777">
      <w:pPr>
        <w:numPr>
          <w:ilvl w:val="0"/>
          <w:numId w:val="30"/>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Eigenverantwortung der Entwicklungsländer für Entwicklungsprioritäten;</w:t>
      </w:r>
    </w:p>
    <w:p w:rsidRPr="00EE42EB" w:rsidR="00EE42EB" w:rsidP="00EE42EB" w:rsidRDefault="00EE42EB" w14:paraId="3A99187B" w14:textId="77777777">
      <w:pPr>
        <w:numPr>
          <w:ilvl w:val="0"/>
          <w:numId w:val="30"/>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Transparenz und gegenseitige Rechenschaftspflicht;</w:t>
      </w:r>
    </w:p>
    <w:p w:rsidRPr="00EE42EB" w:rsidR="00EE42EB" w:rsidP="00EE42EB" w:rsidRDefault="00EE42EB" w14:paraId="1E4D0001" w14:textId="77777777">
      <w:pPr>
        <w:numPr>
          <w:ilvl w:val="0"/>
          <w:numId w:val="30"/>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ergebnisorientierte Entwicklungszusammenarbeit; und</w:t>
      </w:r>
    </w:p>
    <w:p w:rsidRPr="00EE42EB" w:rsidR="00EE42EB" w:rsidP="00EE42EB" w:rsidRDefault="00EE42EB" w14:paraId="0B05D5A6" w14:textId="77777777">
      <w:pPr>
        <w:numPr>
          <w:ilvl w:val="0"/>
          <w:numId w:val="30"/>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Einbeziehung aller Beteiligten in integrative Partnerschaften.</w:t>
      </w:r>
    </w:p>
    <w:p w:rsidRPr="00EE42EB" w:rsidR="00EE42EB" w:rsidP="00EE42EB" w:rsidRDefault="00EE42EB" w14:paraId="79E1E60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Diese Prinzipien werden durch Programme und Projekte sowie durch die </w:t>
      </w:r>
      <w:hyperlink w:history="1" r:id="rId94">
        <w:r w:rsidRPr="00EE42EB">
          <w:rPr>
            <w:rFonts w:ascii="Times New Roman" w:hAnsi="Times New Roman" w:eastAsia="Times New Roman" w:cs="Times New Roman"/>
            <w:b/>
            <w:bCs/>
            <w:color w:val="0000FF"/>
            <w:sz w:val="27"/>
            <w:szCs w:val="27"/>
            <w:u w:val="single"/>
            <w:lang w:val="fr-FR" w:eastAsia="de-DE"/>
          </w:rPr>
          <w:t xml:space="preserve">gemeinsame Programmierung in </w:t>
        </w:r>
      </w:hyperlink>
      <w:r w:rsidRPr="00EE42EB">
        <w:rPr>
          <w:rFonts w:ascii="Times New Roman" w:hAnsi="Times New Roman" w:eastAsia="Times New Roman" w:cs="Times New Roman"/>
          <w:color w:val="000000"/>
          <w:sz w:val="27"/>
          <w:szCs w:val="27"/>
          <w:lang w:val="fr-FR" w:eastAsia="de-DE"/>
        </w:rPr>
        <w:t xml:space="preserve">die Praxis umgesetzt</w:t>
      </w:r>
      <w:r w:rsidRPr="00EE42EB">
        <w:rPr>
          <w:rFonts w:ascii="Times New Roman" w:hAnsi="Times New Roman" w:eastAsia="Times New Roman" w:cs="Times New Roman"/>
          <w:color w:val="000000"/>
          <w:sz w:val="27"/>
          <w:szCs w:val="27"/>
          <w:lang w:val="fr-FR" w:eastAsia="de-DE"/>
        </w:rPr>
        <w:t xml:space="preserve">: Die verschiedenen EU-Entwicklungspartner (d. h. die EU und die EU-Länder) arbeiten in einem Partnerland zusammen, um die Entwicklungszusammenarbeit zu planen.</w:t>
      </w:r>
    </w:p>
    <w:p w:rsidRPr="00EE42EB" w:rsidR="00EE42EB" w:rsidP="00EE42EB" w:rsidRDefault="00EE42EB" w14:paraId="6A4227C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Politikkohärenz für Entwicklung</w:t>
      </w:r>
    </w:p>
    <w:p w:rsidRPr="00EE42EB" w:rsidR="00EE42EB" w:rsidP="00EE42EB" w:rsidRDefault="00EE42EB" w14:paraId="06FDE986"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val="fr-FR" w:eastAsia="de-DE"/>
        </w:rPr>
        <w:t xml:space="preserve">Durch </w:t>
      </w:r>
      <w:hyperlink w:history="1" r:id="rId95">
        <w:r w:rsidRPr="00EE42EB">
          <w:rPr>
            <w:rFonts w:ascii="Times New Roman" w:hAnsi="Times New Roman" w:eastAsia="Times New Roman" w:cs="Times New Roman"/>
            <w:color w:val="0000FF"/>
            <w:sz w:val="27"/>
            <w:szCs w:val="27"/>
            <w:u w:val="single"/>
            <w:lang w:val="fr-FR" w:eastAsia="de-DE"/>
          </w:rPr>
          <w:t xml:space="preserve">Politikkohärenz im Interesse der Entwicklung (PCD) </w:t>
        </w:r>
      </w:hyperlink>
      <w:r w:rsidRPr="00EE42EB">
        <w:rPr>
          <w:rFonts w:ascii="Times New Roman" w:hAnsi="Times New Roman" w:eastAsia="Times New Roman" w:cs="Times New Roman"/>
          <w:color w:val="000000"/>
          <w:sz w:val="27"/>
          <w:szCs w:val="27"/>
          <w:lang w:val="fr-FR" w:eastAsia="de-DE"/>
        </w:rPr>
        <w:t xml:space="preserve">will die EU die negativen Auswirkungen ihrer Politik auf die Entwicklungsländer minimieren. </w:t>
      </w:r>
      <w:r w:rsidRPr="00EE42EB">
        <w:rPr>
          <w:rFonts w:ascii="Times New Roman" w:hAnsi="Times New Roman" w:eastAsia="Times New Roman" w:cs="Times New Roman"/>
          <w:color w:val="000000"/>
          <w:sz w:val="27"/>
          <w:szCs w:val="27"/>
          <w:lang w:eastAsia="de-DE"/>
        </w:rPr>
        <w:t xml:space="preserve">Es zielt </w:t>
      </w:r>
      <w:r w:rsidRPr="00EE42EB">
        <w:rPr>
          <w:rFonts w:ascii="Times New Roman" w:hAnsi="Times New Roman" w:eastAsia="Times New Roman" w:cs="Times New Roman"/>
          <w:color w:val="000000"/>
          <w:sz w:val="27"/>
          <w:szCs w:val="27"/>
          <w:lang w:eastAsia="de-DE"/>
        </w:rPr>
        <w:t xml:space="preserve">darauf ab:</w:t>
      </w:r>
    </w:p>
    <w:p w:rsidRPr="00EE42EB" w:rsidR="00EE42EB" w:rsidP="00EE42EB" w:rsidRDefault="00EE42EB" w14:paraId="55F46B6E" w14:textId="77777777">
      <w:pPr>
        <w:numPr>
          <w:ilvl w:val="0"/>
          <w:numId w:val="31"/>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Förderung von Synergien zwischen verschiedenen EU-Politiken zum Nutzen der Partnerländer und Unterstützung der SDGs;</w:t>
      </w:r>
    </w:p>
    <w:p w:rsidRPr="00EE42EB" w:rsidR="00EE42EB" w:rsidP="00EE42EB" w:rsidRDefault="00EE42EB" w14:paraId="1CCA4C2E" w14:textId="77777777">
      <w:pPr>
        <w:numPr>
          <w:ilvl w:val="0"/>
          <w:numId w:val="31"/>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Wirksamkeit der Entwicklungszusammenarbeit zu erhöhen.</w:t>
      </w:r>
    </w:p>
    <w:p w:rsidRPr="00EE42EB" w:rsidR="00EE42EB" w:rsidP="00EE42EB" w:rsidRDefault="00EE42EB" w14:paraId="17D945C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Um sicherzustellen, dass sie für die Verfolgung der SDGs relevant bleibt, hat die EU die PCD in die allgemeine Arbeit der Kommission zur Umsetzung der Agenda 2030 integriert. Die EU-Länder haben auch ihre eigenen Mechanismen eingeführt, um PCD in ihrer nationalen Politik zu gewährleisten. Der </w:t>
      </w:r>
      <w:hyperlink w:history="1" r:id="rId96">
        <w:r w:rsidRPr="00EE42EB">
          <w:rPr>
            <w:rFonts w:ascii="Times New Roman" w:hAnsi="Times New Roman" w:eastAsia="Times New Roman" w:cs="Times New Roman"/>
            <w:color w:val="0000FF"/>
            <w:sz w:val="27"/>
            <w:szCs w:val="27"/>
            <w:u w:val="single"/>
            <w:lang w:val="fr-FR" w:eastAsia="de-DE"/>
          </w:rPr>
          <w:t xml:space="preserve">EU-Bericht 2019 über Politikkohärenz im Interesse der Entwicklung </w:t>
        </w:r>
      </w:hyperlink>
      <w:r w:rsidRPr="00EE42EB">
        <w:rPr>
          <w:rFonts w:ascii="Times New Roman" w:hAnsi="Times New Roman" w:eastAsia="Times New Roman" w:cs="Times New Roman"/>
          <w:color w:val="000000"/>
          <w:sz w:val="27"/>
          <w:szCs w:val="27"/>
          <w:lang w:val="fr-FR" w:eastAsia="de-DE"/>
        </w:rPr>
        <w:t xml:space="preserve">untersucht die Fortschritte der EU-Institutionen und -Länder im Bereich PCD im Zeitraum 2015-2018.</w:t>
      </w:r>
    </w:p>
    <w:p w:rsidRPr="00EE42EB" w:rsidR="00EE42EB" w:rsidP="00EE42EB" w:rsidRDefault="00EE42EB" w14:paraId="055768B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Populationen</w:t>
      </w:r>
    </w:p>
    <w:p w:rsidRPr="00EE42EB" w:rsidR="00EE42EB" w:rsidP="00EE42EB" w:rsidRDefault="00EE42EB" w14:paraId="05592AD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lastRenderedPageBreak/>
        <w:t xml:space="preserve">Armut und Verringerung der Ungleichheit</w:t>
      </w:r>
    </w:p>
    <w:p w:rsidRPr="00EE42EB" w:rsidR="00EE42EB" w:rsidP="00EE42EB" w:rsidRDefault="00EE42EB" w14:paraId="48CE603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w:t>
      </w:r>
      <w:hyperlink w:history="1" r:id="rId97">
        <w:r w:rsidRPr="00EE42EB">
          <w:rPr>
            <w:rFonts w:ascii="Times New Roman" w:hAnsi="Times New Roman" w:eastAsia="Times New Roman" w:cs="Times New Roman"/>
            <w:color w:val="0000FF"/>
            <w:sz w:val="27"/>
            <w:szCs w:val="27"/>
            <w:u w:val="single"/>
            <w:lang w:val="fr-FR" w:eastAsia="de-DE"/>
          </w:rPr>
          <w:t xml:space="preserve">MDGs 1 </w:t>
        </w:r>
      </w:hyperlink>
      <w:r w:rsidRPr="00EE42EB">
        <w:rPr>
          <w:rFonts w:ascii="Times New Roman" w:hAnsi="Times New Roman" w:eastAsia="Times New Roman" w:cs="Times New Roman"/>
          <w:color w:val="000000"/>
          <w:sz w:val="27"/>
          <w:szCs w:val="27"/>
          <w:lang w:val="fr-FR" w:eastAsia="de-DE"/>
        </w:rPr>
        <w:t xml:space="preserve">(Beseitigung der Armut) und </w:t>
      </w:r>
      <w:hyperlink w:history="1" r:id="rId98">
        <w:r w:rsidRPr="00EE42EB">
          <w:rPr>
            <w:rFonts w:ascii="Times New Roman" w:hAnsi="Times New Roman" w:eastAsia="Times New Roman" w:cs="Times New Roman"/>
            <w:color w:val="0000FF"/>
            <w:sz w:val="27"/>
            <w:szCs w:val="27"/>
            <w:u w:val="single"/>
            <w:lang w:val="fr-FR" w:eastAsia="de-DE"/>
          </w:rPr>
          <w:t xml:space="preserve">10 </w:t>
        </w:r>
      </w:hyperlink>
      <w:r w:rsidRPr="00EE42EB">
        <w:rPr>
          <w:rFonts w:ascii="Times New Roman" w:hAnsi="Times New Roman" w:eastAsia="Times New Roman" w:cs="Times New Roman"/>
          <w:color w:val="000000"/>
          <w:sz w:val="27"/>
          <w:szCs w:val="27"/>
          <w:lang w:val="fr-FR" w:eastAsia="de-DE"/>
        </w:rPr>
        <w:t xml:space="preserve">(Bekämpfung von Ungleichheit und Diskriminierung) stehen im Mittelpunkt der Entwicklungspolitik der EU.</w:t>
      </w:r>
    </w:p>
    <w:p w:rsidRPr="00EE42EB" w:rsidR="00EE42EB" w:rsidP="00EE42EB" w:rsidRDefault="00EE42EB" w14:paraId="304CED9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Vorläufige Ergebnisse der Studie zur Ungleichheitsanalyse, die von der Kommission 2017 in Auftrag gegeben wurde, zeigen, dass:</w:t>
      </w:r>
    </w:p>
    <w:p w:rsidRPr="00EE42EB" w:rsidR="00EE42EB" w:rsidP="00EE42EB" w:rsidRDefault="00EE42EB" w14:paraId="1243F075" w14:textId="77777777">
      <w:pPr>
        <w:numPr>
          <w:ilvl w:val="0"/>
          <w:numId w:val="32"/>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 den Entwicklungsländern ist das Niveau der Einkommensungleichheit hoch und im Durchschnitt höher als noch vor 30 Jahren;</w:t>
      </w:r>
    </w:p>
    <w:p w:rsidRPr="00EE42EB" w:rsidR="00EE42EB" w:rsidP="00EE42EB" w:rsidRDefault="00EE42EB" w14:paraId="536C853B" w14:textId="77777777">
      <w:pPr>
        <w:numPr>
          <w:ilvl w:val="0"/>
          <w:numId w:val="32"/>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Einkommensungleichheit scheint in einigen lateinamerikanischen Ländern (Brasilien, Peru, Mexiko) abgenommen zu haben, während sie in einigen asiatischen Ländern (China und Vietnam) zugenommen hat; und</w:t>
      </w:r>
    </w:p>
    <w:p w:rsidRPr="00EE42EB" w:rsidR="00EE42EB" w:rsidP="00EE42EB" w:rsidRDefault="00EE42EB" w14:paraId="05400247" w14:textId="77777777">
      <w:pPr>
        <w:numPr>
          <w:ilvl w:val="0"/>
          <w:numId w:val="32"/>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Lateinamerika und Afrika südlich der Sahara sind die Regionen der Welt, die am meisten von Ungleichheit betroffen sind.</w:t>
      </w:r>
    </w:p>
    <w:p w:rsidRPr="00EE42EB" w:rsidR="00EE42EB" w:rsidP="00EE42EB" w:rsidRDefault="00EE42EB" w14:paraId="03A4091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Ungleichheit auf nationaler Ebene bleibt ein großes Hindernis für schnelles Wachstum und Armutsbekämpfung. Obwohl die extreme Armut weltweit weiter zurückgeht, ist sie in Afrika, insbesondere in der Subsahara-Region, immer noch weit verbreitet.</w:t>
      </w:r>
    </w:p>
    <w:p w:rsidRPr="00EE42EB" w:rsidR="00EE42EB" w:rsidP="00EE42EB" w:rsidRDefault="00EE42EB" w14:paraId="46FE03D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Menschliche Entwicklung</w:t>
      </w:r>
    </w:p>
    <w:p w:rsidRPr="00EE42EB" w:rsidR="00EE42EB" w:rsidP="00EE42EB" w:rsidRDefault="00EE42EB" w14:paraId="19E5F6F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Zu den entwicklungspolitischen Prioritäten der EU gehören die Beseitigung der Armut (</w:t>
      </w:r>
      <w:hyperlink w:history="1" r:id="rId99">
        <w:r w:rsidRPr="00EE42EB">
          <w:rPr>
            <w:rFonts w:ascii="Times New Roman" w:hAnsi="Times New Roman" w:eastAsia="Times New Roman" w:cs="Times New Roman"/>
            <w:color w:val="0000FF"/>
            <w:sz w:val="27"/>
            <w:szCs w:val="27"/>
            <w:u w:val="single"/>
            <w:lang w:val="fr-FR" w:eastAsia="de-DE"/>
          </w:rPr>
          <w:t xml:space="preserve">MDG 1</w:t>
        </w:r>
      </w:hyperlink>
      <w:r w:rsidRPr="00EE42EB">
        <w:rPr>
          <w:rFonts w:ascii="Times New Roman" w:hAnsi="Times New Roman" w:eastAsia="Times New Roman" w:cs="Times New Roman"/>
          <w:color w:val="000000"/>
          <w:sz w:val="27"/>
          <w:szCs w:val="27"/>
          <w:lang w:val="fr-FR" w:eastAsia="de-DE"/>
        </w:rPr>
        <w:t xml:space="preserve">), die Bekämpfung von Ungleichheit und Diskriminierung (</w:t>
      </w:r>
      <w:hyperlink w:history="1" r:id="rId100">
        <w:r w:rsidRPr="00EE42EB">
          <w:rPr>
            <w:rFonts w:ascii="Times New Roman" w:hAnsi="Times New Roman" w:eastAsia="Times New Roman" w:cs="Times New Roman"/>
            <w:color w:val="0000FF"/>
            <w:sz w:val="27"/>
            <w:szCs w:val="27"/>
            <w:u w:val="single"/>
            <w:lang w:val="fr-FR" w:eastAsia="de-DE"/>
          </w:rPr>
          <w:t xml:space="preserve">MDG 10</w:t>
        </w:r>
      </w:hyperlink>
      <w:r w:rsidRPr="00EE42EB">
        <w:rPr>
          <w:rFonts w:ascii="Times New Roman" w:hAnsi="Times New Roman" w:eastAsia="Times New Roman" w:cs="Times New Roman"/>
          <w:color w:val="000000"/>
          <w:sz w:val="27"/>
          <w:szCs w:val="27"/>
          <w:lang w:val="fr-FR" w:eastAsia="de-DE"/>
        </w:rPr>
        <w:t xml:space="preserve">) und die Beseitigung von Marginalisierung (d.h. niemanden zurücklassen). Bei der </w:t>
      </w:r>
      <w:hyperlink w:history="1" r:id="rId101">
        <w:r w:rsidRPr="00EE42EB">
          <w:rPr>
            <w:rFonts w:ascii="Times New Roman" w:hAnsi="Times New Roman" w:eastAsia="Times New Roman" w:cs="Times New Roman"/>
            <w:color w:val="0000FF"/>
            <w:sz w:val="27"/>
            <w:szCs w:val="27"/>
            <w:u w:val="single"/>
            <w:lang w:val="fr-FR" w:eastAsia="de-DE"/>
          </w:rPr>
          <w:t xml:space="preserve">menschlichen Entwicklung geht </w:t>
        </w:r>
      </w:hyperlink>
      <w:r w:rsidRPr="00EE42EB">
        <w:rPr>
          <w:rFonts w:ascii="Times New Roman" w:hAnsi="Times New Roman" w:eastAsia="Times New Roman" w:cs="Times New Roman"/>
          <w:color w:val="000000"/>
          <w:sz w:val="27"/>
          <w:szCs w:val="27"/>
          <w:lang w:val="fr-FR" w:eastAsia="de-DE"/>
        </w:rPr>
        <w:t xml:space="preserve">es </w:t>
      </w:r>
      <w:r w:rsidRPr="00EE42EB">
        <w:rPr>
          <w:rFonts w:ascii="Times New Roman" w:hAnsi="Times New Roman" w:eastAsia="Times New Roman" w:cs="Times New Roman"/>
          <w:color w:val="000000"/>
          <w:sz w:val="27"/>
          <w:szCs w:val="27"/>
          <w:lang w:val="fr-FR" w:eastAsia="de-DE"/>
        </w:rPr>
        <w:t xml:space="preserve">um Menschen, ihre Möglichkeiten und ihre Wahlmöglichkeiten. Die EU unterstützt die Gesellschaften und Volkswirtschaften der Partnerländer dabei, inklusiver und nachhaltiger zu werden, so dass die Entwicklung allen zugutekommt und niemanden zurücklässt.</w:t>
      </w:r>
    </w:p>
    <w:p w:rsidRPr="00EE42EB" w:rsidR="00EE42EB" w:rsidP="00EE42EB" w:rsidRDefault="00EE42EB" w14:paraId="264053D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Gleichstellung der Geschlechter und Empowerment von Frauen</w:t>
      </w:r>
    </w:p>
    <w:p w:rsidRPr="00EE42EB" w:rsidR="00EE42EB" w:rsidP="00EE42EB" w:rsidRDefault="00EE42EB" w14:paraId="0CDD77D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Gleichstellung von Frauen und Männern ist ein Grundwert der EU (Artikel 2 EUV) und ein politisches Ziel, das im Vertrag über die Arbeitsweise der Europäischen Union (Artikel 19 AEUV) verankert ist. Durch die Förderung der Gleichstellung </w:t>
      </w:r>
      <w:hyperlink w:history="1" r:id="rId102">
        <w:r w:rsidRPr="00EE42EB">
          <w:rPr>
            <w:rFonts w:ascii="Times New Roman" w:hAnsi="Times New Roman" w:eastAsia="Times New Roman" w:cs="Times New Roman"/>
            <w:color w:val="0000FF"/>
            <w:sz w:val="27"/>
            <w:szCs w:val="27"/>
            <w:u w:val="single"/>
            <w:lang w:val="fr-FR" w:eastAsia="de-DE"/>
          </w:rPr>
          <w:t xml:space="preserve">der Geschlechter und der Stärkung der Rolle der Frau </w:t>
        </w:r>
      </w:hyperlink>
      <w:r w:rsidRPr="00EE42EB">
        <w:rPr>
          <w:rFonts w:ascii="Times New Roman" w:hAnsi="Times New Roman" w:eastAsia="Times New Roman" w:cs="Times New Roman"/>
          <w:color w:val="000000"/>
          <w:sz w:val="27"/>
          <w:szCs w:val="27"/>
          <w:lang w:val="fr-FR" w:eastAsia="de-DE"/>
        </w:rPr>
        <w:t xml:space="preserve">trägt die EU zur Erreichung von </w:t>
      </w:r>
      <w:hyperlink w:history="1" r:id="rId103">
        <w:r w:rsidRPr="00EE42EB">
          <w:rPr>
            <w:rFonts w:ascii="Times New Roman" w:hAnsi="Times New Roman" w:eastAsia="Times New Roman" w:cs="Times New Roman"/>
            <w:color w:val="0000FF"/>
            <w:sz w:val="27"/>
            <w:szCs w:val="27"/>
            <w:u w:val="single"/>
            <w:lang w:val="fr-FR" w:eastAsia="de-DE"/>
          </w:rPr>
          <w:t xml:space="preserve">SDG 5 </w:t>
        </w:r>
      </w:hyperlink>
      <w:r w:rsidRPr="00EE42EB">
        <w:rPr>
          <w:rFonts w:ascii="Times New Roman" w:hAnsi="Times New Roman" w:eastAsia="Times New Roman" w:cs="Times New Roman"/>
          <w:color w:val="000000"/>
          <w:sz w:val="27"/>
          <w:szCs w:val="27"/>
          <w:lang w:val="fr-FR" w:eastAsia="de-DE"/>
        </w:rPr>
        <w:t xml:space="preserve">und der Agenda 2030 insgesamt bei, wie auch im Europäischen Konsens über die Entwicklungspolitik 2017 hervorgehoben wird.</w:t>
      </w:r>
    </w:p>
    <w:p w:rsidRPr="00EE42EB" w:rsidR="00EE42EB" w:rsidP="00EE42EB" w:rsidRDefault="00EE42EB" w14:paraId="274A211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Gleichstellung der Geschlechter ist eine wesentliche Voraussetzung für eine gerechte und inklusive nachhaltige Entwicklung, denn Frauen und Mädchen machen die Hälfte der Weltbevölkerung aus. Die EU will sicherstellen, dass Frauen und Mädchen vollständig und gleichberechtigt am sozialen, wirtschaftlichen, politischen und zivilen Leben teilnehmen können. Konkret unterstützt die EU die Beseitigung von sexueller und geschlechtsspezifischer Gewalt und von Hindernissen für die Gleichstellung der Geschlechter, wie z. B. diskriminierende Gesetze oder ungleicher Zugang zu Dienstleistungen und Justiz, Bildung und </w:t>
      </w:r>
      <w:r w:rsidRPr="00EE42EB">
        <w:rPr>
          <w:rFonts w:ascii="Times New Roman" w:hAnsi="Times New Roman" w:eastAsia="Times New Roman" w:cs="Times New Roman"/>
          <w:color w:val="000000"/>
          <w:sz w:val="27"/>
          <w:szCs w:val="27"/>
          <w:lang w:val="fr-FR" w:eastAsia="de-DE"/>
        </w:rPr>
        <w:lastRenderedPageBreak/>
        <w:t xml:space="preserve">Gesundheit, Beschäftigung und wirtschaftlichem Empowerment oder politischer Teilhabe, u. a. durch die Infragestellung sozialer Normen und Geschlechterstereotypen und die Unterstützung von Frauenbewegungen und der Zivilgesellschaft.</w:t>
      </w:r>
    </w:p>
    <w:p w:rsidRPr="00EE42EB" w:rsidR="00EE42EB" w:rsidP="00EE42EB" w:rsidRDefault="00EE42EB" w14:paraId="61E3F72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Der EU-Aktionsplan für die Gleichstellung von Frauen und Männern (2016-2020) gibt den Rahmen für die weltweite Verwirklichung dieser vorrangigen Ziele im Rahmen der Außenpolitik der Union vor. Die </w:t>
      </w:r>
      <w:hyperlink w:history="1" r:id="rId104">
        <w:r w:rsidRPr="00EE42EB">
          <w:rPr>
            <w:rFonts w:ascii="Times New Roman" w:hAnsi="Times New Roman" w:eastAsia="Times New Roman" w:cs="Times New Roman"/>
            <w:color w:val="0000FF"/>
            <w:sz w:val="27"/>
            <w:szCs w:val="27"/>
            <w:u w:val="single"/>
            <w:lang w:val="fr-FR" w:eastAsia="de-DE"/>
          </w:rPr>
          <w:t xml:space="preserve">Europäische Kommission </w:t>
        </w:r>
      </w:hyperlink>
      <w:r w:rsidRPr="00EE42EB">
        <w:rPr>
          <w:rFonts w:ascii="Times New Roman" w:hAnsi="Times New Roman" w:eastAsia="Times New Roman" w:cs="Times New Roman"/>
          <w:color w:val="000000"/>
          <w:sz w:val="27"/>
          <w:szCs w:val="27"/>
          <w:lang w:val="fr-FR" w:eastAsia="de-DE"/>
        </w:rPr>
        <w:t xml:space="preserve">hat </w:t>
      </w:r>
      <w:r w:rsidRPr="00EE42EB">
        <w:rPr>
          <w:rFonts w:ascii="Times New Roman" w:hAnsi="Times New Roman" w:eastAsia="Times New Roman" w:cs="Times New Roman"/>
          <w:color w:val="000000"/>
          <w:sz w:val="27"/>
          <w:szCs w:val="27"/>
          <w:lang w:val="fr-FR" w:eastAsia="de-DE"/>
        </w:rPr>
        <w:t xml:space="preserve">2017 </w:t>
      </w:r>
      <w:r w:rsidRPr="00EE42EB">
        <w:rPr>
          <w:rFonts w:ascii="Times New Roman" w:hAnsi="Times New Roman" w:eastAsia="Times New Roman" w:cs="Times New Roman"/>
          <w:color w:val="000000"/>
          <w:sz w:val="27"/>
          <w:szCs w:val="27"/>
          <w:lang w:val="fr-FR" w:eastAsia="de-DE"/>
        </w:rPr>
        <w:t xml:space="preserve">ihren ersten </w:t>
      </w:r>
      <w:hyperlink w:history="1" r:id="rId105">
        <w:r w:rsidRPr="00EE42EB">
          <w:rPr>
            <w:rFonts w:ascii="Times New Roman" w:hAnsi="Times New Roman" w:eastAsia="Times New Roman" w:cs="Times New Roman"/>
            <w:color w:val="0000FF"/>
            <w:sz w:val="27"/>
            <w:szCs w:val="27"/>
            <w:u w:val="single"/>
            <w:lang w:val="fr-FR" w:eastAsia="de-DE"/>
          </w:rPr>
          <w:t xml:space="preserve">Bericht </w:t>
        </w:r>
      </w:hyperlink>
      <w:r w:rsidRPr="00EE42EB">
        <w:rPr>
          <w:rFonts w:ascii="Times New Roman" w:hAnsi="Times New Roman" w:eastAsia="Times New Roman" w:cs="Times New Roman"/>
          <w:color w:val="000000"/>
          <w:sz w:val="27"/>
          <w:szCs w:val="27"/>
          <w:lang w:val="fr-FR" w:eastAsia="de-DE"/>
        </w:rPr>
        <w:t xml:space="preserve">über die Umsetzung dieses </w:t>
      </w:r>
      <w:hyperlink w:history="1" r:id="rId106">
        <w:r w:rsidRPr="00EE42EB">
          <w:rPr>
            <w:rFonts w:ascii="Times New Roman" w:hAnsi="Times New Roman" w:eastAsia="Times New Roman" w:cs="Times New Roman"/>
            <w:color w:val="0000FF"/>
            <w:sz w:val="27"/>
            <w:szCs w:val="27"/>
            <w:u w:val="single"/>
            <w:lang w:val="fr-FR" w:eastAsia="de-DE"/>
          </w:rPr>
          <w:t xml:space="preserve">Aktionsplans 2016-2020 </w:t>
        </w:r>
      </w:hyperlink>
      <w:r w:rsidRPr="00EE42EB">
        <w:rPr>
          <w:rFonts w:ascii="Times New Roman" w:hAnsi="Times New Roman" w:eastAsia="Times New Roman" w:cs="Times New Roman"/>
          <w:color w:val="000000"/>
          <w:sz w:val="27"/>
          <w:szCs w:val="27"/>
          <w:lang w:val="fr-FR" w:eastAsia="de-DE"/>
        </w:rPr>
        <w:t xml:space="preserve">veröffentlicht.</w:t>
      </w:r>
    </w:p>
    <w:p w:rsidRPr="00EE42EB" w:rsidR="00EE42EB" w:rsidP="00EE42EB" w:rsidRDefault="00EE42EB" w14:paraId="018D427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Eine der Vorzeigeinitiativen der EU ist die </w:t>
      </w:r>
      <w:r w:rsidRPr="00EE42EB">
        <w:rPr>
          <w:rFonts w:ascii="Times New Roman" w:hAnsi="Times New Roman" w:eastAsia="Times New Roman" w:cs="Times New Roman"/>
          <w:color w:val="000000"/>
          <w:sz w:val="27"/>
          <w:szCs w:val="27"/>
          <w:lang w:val="fr-FR" w:eastAsia="de-DE"/>
        </w:rPr>
        <w:t xml:space="preserve">500 Millionen Euro teure </w:t>
      </w:r>
      <w:hyperlink w:history="1" r:id="rId107">
        <w:r w:rsidRPr="00EE42EB">
          <w:rPr>
            <w:rFonts w:ascii="Times New Roman" w:hAnsi="Times New Roman" w:eastAsia="Times New Roman" w:cs="Times New Roman"/>
            <w:color w:val="0000FF"/>
            <w:sz w:val="27"/>
            <w:szCs w:val="27"/>
            <w:u w:val="single"/>
            <w:lang w:val="fr-FR" w:eastAsia="de-DE"/>
          </w:rPr>
          <w:t xml:space="preserve">Spotlight-Initiative</w:t>
        </w:r>
      </w:hyperlink>
      <w:r w:rsidRPr="00EE42EB">
        <w:rPr>
          <w:rFonts w:ascii="Times New Roman" w:hAnsi="Times New Roman" w:eastAsia="Times New Roman" w:cs="Times New Roman"/>
          <w:color w:val="000000"/>
          <w:sz w:val="27"/>
          <w:szCs w:val="27"/>
          <w:lang w:val="fr-FR" w:eastAsia="de-DE"/>
        </w:rPr>
        <w:t xml:space="preserve">, eine einzigartige Partnerschaft mit den Vereinten Nationen zur Beseitigung von Gewalt gegen Frauen und Mädchen. Die Initiative bringt Regierungen und zivilgesellschaftliche Partner aus Asien, Subsahara-Afrika, Lateinamerika, der Karibik und dem Pazifik zusammen.</w:t>
      </w:r>
    </w:p>
    <w:p w:rsidRPr="00EE42EB" w:rsidR="00EE42EB" w:rsidP="00EE42EB" w:rsidRDefault="00EE42EB" w14:paraId="233B00D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Migration, Zwangsvertreibung und Asyl</w:t>
      </w:r>
    </w:p>
    <w:p w:rsidRPr="00EE42EB" w:rsidR="00EE42EB" w:rsidP="00EE42EB" w:rsidRDefault="00EE42EB" w14:paraId="299CAB8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Während die Themen Migration und Mobilität nicht neu sind, ist die Zahl der internationalen Migranten in den letzten Jahren auf 258 Millionen im Jahr 2017 gestiegen (gegenüber 220 Millionen im Jahr 2010 und 173 Millionen im Jahr 2000). Die meisten internationalen Migranten sind Bürger von Entwicklungsländern, die selbst mehr als 85 % der weltweit gewaltsam vertriebenen Menschen beherbergen.</w:t>
      </w:r>
    </w:p>
    <w:p w:rsidRPr="00EE42EB" w:rsidR="00EE42EB" w:rsidP="00EE42EB" w:rsidRDefault="00EE42EB" w14:paraId="7A6E04F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Herausforderungen der Migration stehen weiterhin ganz oben auf der europäischen Agenda. Im Jahr 2017 hat sich die Europäische Kommission weiterhin proaktiv mit dem Zusammenhang zwischen Entwicklung und Migration auseinandergesetzt, im Einklang mit der Agenda 2030 und dem Entwicklungskonsens. Die Entwicklungszusammenarbeit der EU hat einen entscheidenden Beitrag zu den allgemeinen Bemühungen der Union zur Bewältigung der Migration im Kontext der </w:t>
      </w:r>
      <w:hyperlink w:history="1" r:id="rId108">
        <w:r w:rsidRPr="00EE42EB">
          <w:rPr>
            <w:rFonts w:ascii="Times New Roman" w:hAnsi="Times New Roman" w:eastAsia="Times New Roman" w:cs="Times New Roman"/>
            <w:color w:val="0000FF"/>
            <w:sz w:val="27"/>
            <w:szCs w:val="27"/>
            <w:u w:val="single"/>
            <w:lang w:val="fr-FR" w:eastAsia="de-DE"/>
          </w:rPr>
          <w:t xml:space="preserve">Europäischen Migrationsagenda</w:t>
        </w:r>
      </w:hyperlink>
      <w:r w:rsidRPr="00EE42EB">
        <w:rPr>
          <w:rFonts w:ascii="Times New Roman" w:hAnsi="Times New Roman" w:eastAsia="Times New Roman" w:cs="Times New Roman"/>
          <w:color w:val="000000"/>
          <w:sz w:val="27"/>
          <w:szCs w:val="27"/>
          <w:lang w:val="fr-FR" w:eastAsia="de-DE"/>
        </w:rPr>
        <w:t xml:space="preserve">, der </w:t>
      </w:r>
      <w:hyperlink w:history="1" r:id="rId109">
        <w:r w:rsidRPr="00EE42EB">
          <w:rPr>
            <w:rFonts w:ascii="Times New Roman" w:hAnsi="Times New Roman" w:eastAsia="Times New Roman" w:cs="Times New Roman"/>
            <w:color w:val="0000FF"/>
            <w:sz w:val="27"/>
            <w:szCs w:val="27"/>
            <w:u w:val="single"/>
            <w:lang w:val="fr-FR" w:eastAsia="de-DE"/>
          </w:rPr>
          <w:t xml:space="preserve">Erklärung von Valletta</w:t>
        </w:r>
      </w:hyperlink>
      <w:r w:rsidRPr="00EE42EB">
        <w:rPr>
          <w:rFonts w:ascii="Times New Roman" w:hAnsi="Times New Roman" w:eastAsia="Times New Roman" w:cs="Times New Roman"/>
          <w:color w:val="000000"/>
          <w:sz w:val="27"/>
          <w:szCs w:val="27"/>
          <w:lang w:val="fr-FR" w:eastAsia="de-DE"/>
        </w:rPr>
        <w:t xml:space="preserve">, des </w:t>
      </w:r>
      <w:hyperlink w:history="1" r:id="rId110">
        <w:r w:rsidRPr="00EE42EB">
          <w:rPr>
            <w:rFonts w:ascii="Times New Roman" w:hAnsi="Times New Roman" w:eastAsia="Times New Roman" w:cs="Times New Roman"/>
            <w:color w:val="0000FF"/>
            <w:sz w:val="27"/>
            <w:szCs w:val="27"/>
            <w:u w:val="single"/>
            <w:lang w:val="fr-FR" w:eastAsia="de-DE"/>
          </w:rPr>
          <w:t xml:space="preserve">Partnerschaftsrahmens für Migration </w:t>
        </w:r>
      </w:hyperlink>
      <w:r w:rsidRPr="00EE42EB">
        <w:rPr>
          <w:rFonts w:ascii="Times New Roman" w:hAnsi="Times New Roman" w:eastAsia="Times New Roman" w:cs="Times New Roman"/>
          <w:color w:val="000000"/>
          <w:sz w:val="27"/>
          <w:szCs w:val="27"/>
          <w:lang w:val="fr-FR" w:eastAsia="de-DE"/>
        </w:rPr>
        <w:t xml:space="preserve">und des neuen europäischen Konzepts für </w:t>
      </w:r>
      <w:hyperlink w:history="1" r:id="rId111">
        <w:r w:rsidRPr="00EE42EB">
          <w:rPr>
            <w:rFonts w:ascii="Times New Roman" w:hAnsi="Times New Roman" w:eastAsia="Times New Roman" w:cs="Times New Roman"/>
            <w:color w:val="0000FF"/>
            <w:sz w:val="27"/>
            <w:szCs w:val="27"/>
            <w:u w:val="single"/>
            <w:lang w:val="fr-FR" w:eastAsia="de-DE"/>
          </w:rPr>
          <w:t xml:space="preserve">Zwangsvertreibungen </w:t>
        </w:r>
      </w:hyperlink>
      <w:r w:rsidRPr="00EE42EB">
        <w:rPr>
          <w:rFonts w:ascii="Times New Roman" w:hAnsi="Times New Roman" w:eastAsia="Times New Roman" w:cs="Times New Roman"/>
          <w:color w:val="000000"/>
          <w:sz w:val="27"/>
          <w:szCs w:val="27"/>
          <w:lang w:val="fr-FR" w:eastAsia="de-DE"/>
        </w:rPr>
        <w:t xml:space="preserve">geleistet</w:t>
      </w:r>
      <w:r w:rsidRPr="00EE42EB">
        <w:rPr>
          <w:rFonts w:ascii="Times New Roman" w:hAnsi="Times New Roman" w:eastAsia="Times New Roman" w:cs="Times New Roman"/>
          <w:color w:val="000000"/>
          <w:sz w:val="27"/>
          <w:szCs w:val="27"/>
          <w:lang w:val="fr-FR" w:eastAsia="de-DE"/>
        </w:rPr>
        <w:t xml:space="preserve">, wobei die Entwicklungsziele und -grundsätze in vollem Umfang berücksichtigt wurden.</w:t>
      </w:r>
    </w:p>
    <w:p w:rsidRPr="00EE42EB" w:rsidR="00EE42EB" w:rsidP="00EE42EB" w:rsidRDefault="00EE42EB" w14:paraId="69C17DE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Durch </w:t>
      </w:r>
      <w:r w:rsidRPr="00EE42EB">
        <w:rPr>
          <w:rFonts w:ascii="Times New Roman" w:hAnsi="Times New Roman" w:eastAsia="Times New Roman" w:cs="Times New Roman"/>
          <w:color w:val="000000"/>
          <w:sz w:val="27"/>
          <w:szCs w:val="27"/>
          <w:lang w:val="fr-FR" w:eastAsia="de-DE"/>
        </w:rPr>
        <w:t xml:space="preserve">eine Reihe von Entwicklungsinstrumenten, wie den </w:t>
      </w:r>
      <w:hyperlink w:history="1" r:id="rId112">
        <w:r w:rsidRPr="00EE42EB">
          <w:rPr>
            <w:rFonts w:ascii="Times New Roman" w:hAnsi="Times New Roman" w:eastAsia="Times New Roman" w:cs="Times New Roman"/>
            <w:color w:val="0000FF"/>
            <w:sz w:val="27"/>
            <w:szCs w:val="27"/>
            <w:u w:val="single"/>
            <w:lang w:val="fr-FR" w:eastAsia="de-DE"/>
          </w:rPr>
          <w:t xml:space="preserve">Nothilfe-Treuhandfonds für Afrika </w:t>
        </w:r>
      </w:hyperlink>
      <w:r w:rsidRPr="00EE42EB">
        <w:rPr>
          <w:rFonts w:ascii="Times New Roman" w:hAnsi="Times New Roman" w:eastAsia="Times New Roman" w:cs="Times New Roman"/>
          <w:color w:val="000000"/>
          <w:sz w:val="27"/>
          <w:szCs w:val="27"/>
          <w:lang w:val="fr-FR" w:eastAsia="de-DE"/>
        </w:rPr>
        <w:t xml:space="preserve">und den </w:t>
      </w:r>
      <w:hyperlink w:history="1" r:id="rId113">
        <w:r w:rsidRPr="00EE42EB">
          <w:rPr>
            <w:rFonts w:ascii="Times New Roman" w:hAnsi="Times New Roman" w:eastAsia="Times New Roman" w:cs="Times New Roman"/>
            <w:color w:val="0000FF"/>
            <w:sz w:val="27"/>
            <w:szCs w:val="27"/>
            <w:u w:val="single"/>
            <w:lang w:val="fr-FR" w:eastAsia="de-DE"/>
          </w:rPr>
          <w:t xml:space="preserve">Regionalen Treuhandfonds der EU für Syrien</w:t>
        </w:r>
      </w:hyperlink>
      <w:r w:rsidRPr="00EE42EB">
        <w:rPr>
          <w:rFonts w:ascii="Times New Roman" w:hAnsi="Times New Roman" w:eastAsia="Times New Roman" w:cs="Times New Roman"/>
          <w:color w:val="000000"/>
          <w:sz w:val="27"/>
          <w:szCs w:val="27"/>
          <w:lang w:val="fr-FR" w:eastAsia="de-DE"/>
        </w:rPr>
        <w:t xml:space="preserve">, aber auch durch reguläre geografische Instrumente, hat die Europäische Kommission Maßnahmen in den Partnerländern durchgeführt, um die Herausforderungen und Chancen, die sich aus der Migration ergeben, kurz- und langfristig zu bewältigen.</w:t>
      </w:r>
    </w:p>
    <w:p w:rsidRPr="00EE42EB" w:rsidR="00EE42EB" w:rsidP="00EE42EB" w:rsidRDefault="00EE42EB" w14:paraId="3F07635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Aktionen konzentrierten sich vor allem auf drei Aspekte:</w:t>
      </w:r>
    </w:p>
    <w:p w:rsidRPr="00EE42EB" w:rsidR="00EE42EB" w:rsidP="00EE42EB" w:rsidRDefault="00EE42EB" w14:paraId="197A5CA5" w14:textId="77777777">
      <w:pPr>
        <w:numPr>
          <w:ilvl w:val="0"/>
          <w:numId w:val="33"/>
        </w:numPr>
        <w:spacing w:before="100" w:beforeAutospacing="1" w:after="100" w:afterAutospacing="1" w:line="240" w:lineRule="auto"/>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1)</w:t>
      </w:r>
    </w:p>
    <w:p w:rsidRPr="00EE42EB" w:rsidR="00EE42EB" w:rsidP="00EE42EB" w:rsidRDefault="00EE42EB" w14:paraId="0640D23A" w14:textId="77777777">
      <w:pPr>
        <w:spacing w:line="240" w:lineRule="auto"/>
        <w:ind w:start="1828"/>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Determinanten und Ursachen von irregulärer Migration und Zwangsvertreibung anzugehen;</w:t>
      </w:r>
    </w:p>
    <w:p w:rsidRPr="00EE42EB" w:rsidR="00EE42EB" w:rsidP="00EE42EB" w:rsidRDefault="00EE42EB" w14:paraId="7FCDBBF4" w14:textId="77777777">
      <w:pPr>
        <w:numPr>
          <w:ilvl w:val="0"/>
          <w:numId w:val="33"/>
        </w:numPr>
        <w:spacing w:before="100" w:beforeAutospacing="1" w:after="100" w:afterAutospacing="1" w:line="240" w:lineRule="auto"/>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lastRenderedPageBreak/>
        <w:t xml:space="preserve">2)</w:t>
      </w:r>
    </w:p>
    <w:p w:rsidRPr="00EE42EB" w:rsidR="00EE42EB" w:rsidP="00EE42EB" w:rsidRDefault="00EE42EB" w14:paraId="12B08B63" w14:textId="77777777">
      <w:pPr>
        <w:spacing w:line="240" w:lineRule="auto"/>
        <w:ind w:start="1828"/>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Kapazitäten der Partner zur Verbesserung des Migrations- und Flüchtlingsmanagements aufzubauen;</w:t>
      </w:r>
    </w:p>
    <w:p w:rsidRPr="00EE42EB" w:rsidR="00EE42EB" w:rsidP="00EE42EB" w:rsidRDefault="00EE42EB" w14:paraId="19DFFF4D" w14:textId="77777777">
      <w:pPr>
        <w:numPr>
          <w:ilvl w:val="0"/>
          <w:numId w:val="33"/>
        </w:numPr>
        <w:spacing w:before="100" w:beforeAutospacing="1" w:after="100" w:afterAutospacing="1" w:line="240" w:lineRule="auto"/>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3)</w:t>
      </w:r>
    </w:p>
    <w:p w:rsidRPr="00EE42EB" w:rsidR="00EE42EB" w:rsidP="00EE42EB" w:rsidRDefault="00EE42EB" w14:paraId="4151F880" w14:textId="77777777">
      <w:pPr>
        <w:spacing w:line="240" w:lineRule="auto"/>
        <w:ind w:start="1828"/>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Maximierung der Entwicklungswirkung von Migration.</w:t>
      </w:r>
    </w:p>
    <w:p w:rsidRPr="00EE42EB" w:rsidR="00EE42EB" w:rsidP="00EE42EB" w:rsidRDefault="00EE42EB" w14:paraId="00B723F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Durch diesen umfassenden Ansatz trug die 2017 geleistete Unterstützung dazu bei, den Dialog und die Partnerschaft mit den Partnerländern zum Thema Migration zu stärken und greifbare Ergebnisse bei der Verbesserung des Migrationsmanagements, der Sicherstellung des Schutzes von gefährdeten Migranten und Flüchtlingen und der Maximierung der positiven Auswirkungen der Migration auf die Entwicklung zu erzielen.</w:t>
      </w:r>
    </w:p>
    <w:p w:rsidRPr="00EE42EB" w:rsidR="00EE42EB" w:rsidP="00EE42EB" w:rsidRDefault="00EE42EB" w14:paraId="0CEA751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Neben anderen Zielen, die 2017 erreicht wurden, hat die EU:</w:t>
      </w:r>
    </w:p>
    <w:p w:rsidRPr="00EE42EB" w:rsidR="00EE42EB" w:rsidP="00EE42EB" w:rsidRDefault="00EE42EB" w14:paraId="199A06F0" w14:textId="77777777">
      <w:pPr>
        <w:numPr>
          <w:ilvl w:val="0"/>
          <w:numId w:val="3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3 Milliarden für die </w:t>
      </w:r>
      <w:hyperlink w:history="1" r:id="rId114">
        <w:r w:rsidRPr="00EE42EB">
          <w:rPr>
            <w:rFonts w:ascii="Times New Roman" w:hAnsi="Times New Roman" w:eastAsia="Times New Roman" w:cs="Times New Roman"/>
            <w:color w:val="0000FF"/>
            <w:sz w:val="27"/>
            <w:szCs w:val="27"/>
            <w:u w:val="single"/>
            <w:lang w:val="fr-FR" w:eastAsia="de-DE"/>
          </w:rPr>
          <w:t xml:space="preserve">Flüchtlingseinrichtung in der Türkei</w:t>
        </w:r>
      </w:hyperlink>
      <w:r w:rsidRPr="00EE42EB">
        <w:rPr>
          <w:rFonts w:ascii="Times New Roman" w:hAnsi="Times New Roman" w:eastAsia="Times New Roman" w:cs="Times New Roman"/>
          <w:color w:val="000000"/>
          <w:sz w:val="27"/>
          <w:szCs w:val="27"/>
          <w:lang w:val="fr-FR" w:eastAsia="de-DE"/>
        </w:rPr>
        <w:t xml:space="preserve">; und</w:t>
      </w:r>
    </w:p>
    <w:p w:rsidRPr="00EE42EB" w:rsidR="00EE42EB" w:rsidP="00EE42EB" w:rsidRDefault="00EE42EB" w14:paraId="4508EA89" w14:textId="77777777">
      <w:pPr>
        <w:numPr>
          <w:ilvl w:val="0"/>
          <w:numId w:val="34"/>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15">
        <w:r w:rsidRPr="00EE42EB">
          <w:rPr>
            <w:rFonts w:ascii="Times New Roman" w:hAnsi="Times New Roman" w:eastAsia="Times New Roman" w:cs="Times New Roman"/>
            <w:color w:val="0000FF"/>
            <w:sz w:val="27"/>
            <w:szCs w:val="27"/>
            <w:u w:val="single"/>
            <w:lang w:val="fr-FR" w:eastAsia="de-DE"/>
          </w:rPr>
          <w:t xml:space="preserve">90-Millionen-Euro-Programm</w:t>
        </w:r>
      </w:hyperlink>
      <w:r w:rsidRPr="00EE42EB">
        <w:rPr>
          <w:rFonts w:ascii="Times New Roman" w:hAnsi="Times New Roman" w:eastAsia="Times New Roman" w:cs="Times New Roman"/>
          <w:color w:val="000000"/>
          <w:sz w:val="27"/>
          <w:szCs w:val="27"/>
          <w:lang w:val="fr-FR" w:eastAsia="de-DE"/>
        </w:rPr>
        <w:t xml:space="preserve">, um Menschen in Not in Libyen Schutz und Hilfe zu gewähren und die Stabilisierung der aufnehmenden Gemeinden zu unterstützen, wobei der Schwerpunkt auf der zentralen Mittelmeerroute liegt;</w:t>
      </w:r>
    </w:p>
    <w:p w:rsidRPr="00EE42EB" w:rsidR="00EE42EB" w:rsidP="00EE42EB" w:rsidRDefault="00EE42EB" w14:paraId="021A5497" w14:textId="77777777">
      <w:pPr>
        <w:numPr>
          <w:ilvl w:val="0"/>
          <w:numId w:val="3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genehmigte zum 31. Dezember 2017 143 Projekte mit einem Gesamtwert von 2,388 Mrd. € im Rahmen des EU-Treuhandfonds für Afrika;</w:t>
      </w:r>
    </w:p>
    <w:p w:rsidRPr="00EE42EB" w:rsidR="00EE42EB" w:rsidP="00EE42EB" w:rsidRDefault="00EE42EB" w14:paraId="472BD350" w14:textId="77777777">
      <w:pPr>
        <w:numPr>
          <w:ilvl w:val="0"/>
          <w:numId w:val="3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196 Mio. Euro Sondermaßnahme für Asien, Afghanistan, Bangladesch, Pakistan und den Irak durch die Kommission, um die Herausforderungen der langwierigen Zwangsvertreibung und Migration in Asien und im Nahen Osten anzugehen.</w:t>
      </w:r>
    </w:p>
    <w:p w:rsidRPr="00EE42EB" w:rsidR="00EE42EB" w:rsidP="00EE42EB" w:rsidRDefault="00EE42EB" w14:paraId="77566F3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Kultur, Bildung und Gesundheit</w:t>
      </w:r>
    </w:p>
    <w:p w:rsidRPr="00EE42EB" w:rsidR="00EE42EB" w:rsidP="00EE42EB" w:rsidRDefault="00EE42EB" w14:paraId="49F588F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EU erkennt die Rolle der </w:t>
      </w:r>
      <w:hyperlink w:history="1" r:id="rId116">
        <w:r w:rsidRPr="00EE42EB">
          <w:rPr>
            <w:rFonts w:ascii="Times New Roman" w:hAnsi="Times New Roman" w:eastAsia="Times New Roman" w:cs="Times New Roman"/>
            <w:color w:val="0000FF"/>
            <w:sz w:val="27"/>
            <w:szCs w:val="27"/>
            <w:u w:val="single"/>
            <w:lang w:val="fr-FR" w:eastAsia="de-DE"/>
          </w:rPr>
          <w:t xml:space="preserve">Kultur </w:t>
        </w:r>
      </w:hyperlink>
      <w:r w:rsidRPr="00EE42EB">
        <w:rPr>
          <w:rFonts w:ascii="Times New Roman" w:hAnsi="Times New Roman" w:eastAsia="Times New Roman" w:cs="Times New Roman"/>
          <w:color w:val="000000"/>
          <w:sz w:val="27"/>
          <w:szCs w:val="27"/>
          <w:lang w:val="fr-FR" w:eastAsia="de-DE"/>
        </w:rPr>
        <w:t xml:space="preserve">für das Wirtschaftswachstum als ein Schlüsselelement und Ermöglicher an:</w:t>
      </w:r>
    </w:p>
    <w:p w:rsidRPr="00EE42EB" w:rsidR="00EE42EB" w:rsidP="00EE42EB" w:rsidRDefault="00EE42EB" w14:paraId="6B93580B" w14:textId="77777777">
      <w:pPr>
        <w:numPr>
          <w:ilvl w:val="0"/>
          <w:numId w:val="35"/>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soziale </w:t>
      </w:r>
      <w:r w:rsidRPr="00EE42EB">
        <w:rPr>
          <w:rFonts w:ascii="Times New Roman" w:hAnsi="Times New Roman" w:eastAsia="Times New Roman" w:cs="Times New Roman"/>
          <w:color w:val="000000"/>
          <w:sz w:val="27"/>
          <w:szCs w:val="27"/>
          <w:lang w:eastAsia="de-DE"/>
        </w:rPr>
        <w:t xml:space="preserve">Eingliederung</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0EA59DAD" w14:textId="77777777">
      <w:pPr>
        <w:numPr>
          <w:ilvl w:val="0"/>
          <w:numId w:val="35"/>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Freiheit der </w:t>
      </w:r>
      <w:r w:rsidRPr="00EE42EB">
        <w:rPr>
          <w:rFonts w:ascii="Times New Roman" w:hAnsi="Times New Roman" w:eastAsia="Times New Roman" w:cs="Times New Roman"/>
          <w:color w:val="000000"/>
          <w:sz w:val="27"/>
          <w:szCs w:val="27"/>
          <w:lang w:eastAsia="de-DE"/>
        </w:rPr>
        <w:t xml:space="preserve">Meinungsäußerung</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029EBD1C" w14:textId="77777777">
      <w:pPr>
        <w:numPr>
          <w:ilvl w:val="0"/>
          <w:numId w:val="35"/>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die </w:t>
      </w:r>
      <w:r w:rsidRPr="00EE42EB">
        <w:rPr>
          <w:rFonts w:ascii="Times New Roman" w:hAnsi="Times New Roman" w:eastAsia="Times New Roman" w:cs="Times New Roman"/>
          <w:color w:val="000000"/>
          <w:sz w:val="27"/>
          <w:szCs w:val="27"/>
          <w:lang w:eastAsia="de-DE"/>
        </w:rPr>
        <w:t xml:space="preserve">Konstruktion von </w:t>
      </w:r>
      <w:r w:rsidRPr="00EE42EB">
        <w:rPr>
          <w:rFonts w:ascii="Times New Roman" w:hAnsi="Times New Roman" w:eastAsia="Times New Roman" w:cs="Times New Roman"/>
          <w:color w:val="000000"/>
          <w:sz w:val="27"/>
          <w:szCs w:val="27"/>
          <w:lang w:eastAsia="de-DE"/>
        </w:rPr>
        <w:t xml:space="preserve">Identität</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1EC984AF" w14:textId="77777777">
      <w:pPr>
        <w:numPr>
          <w:ilvl w:val="0"/>
          <w:numId w:val="35"/>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Stärkung der Zivilgesellschaft;</w:t>
      </w:r>
    </w:p>
    <w:p w:rsidRPr="00EE42EB" w:rsidR="00EE42EB" w:rsidP="00EE42EB" w:rsidRDefault="00EE42EB" w14:paraId="33F3F92E" w14:textId="77777777">
      <w:pPr>
        <w:numPr>
          <w:ilvl w:val="0"/>
          <w:numId w:val="35"/>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Konfliktprävention</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31AB2EC1"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lastRenderedPageBreak/>
        <w:t xml:space="preserve">Im Jahr 2017 </w:t>
      </w:r>
      <w:r w:rsidRPr="00EE42EB">
        <w:rPr>
          <w:rFonts w:ascii="Times New Roman" w:hAnsi="Times New Roman" w:eastAsia="Times New Roman" w:cs="Times New Roman"/>
          <w:color w:val="000000"/>
          <w:sz w:val="27"/>
          <w:szCs w:val="27"/>
          <w:lang w:eastAsia="de-DE"/>
        </w:rPr>
        <w:t xml:space="preserve">verabschiedete </w:t>
      </w:r>
      <w:r w:rsidRPr="00EE42EB">
        <w:rPr>
          <w:rFonts w:ascii="Times New Roman" w:hAnsi="Times New Roman" w:eastAsia="Times New Roman" w:cs="Times New Roman"/>
          <w:color w:val="000000"/>
          <w:sz w:val="27"/>
          <w:szCs w:val="27"/>
          <w:lang w:eastAsia="de-DE"/>
        </w:rPr>
        <w:t xml:space="preserve">die</w:t>
      </w:r>
      <w:r w:rsidRPr="00EE42EB">
        <w:rPr>
          <w:rFonts w:ascii="Times New Roman" w:hAnsi="Times New Roman" w:eastAsia="Times New Roman" w:cs="Times New Roman"/>
          <w:color w:val="000000"/>
          <w:sz w:val="27"/>
          <w:szCs w:val="27"/>
          <w:lang w:eastAsia="de-DE"/>
        </w:rPr>
        <w:t xml:space="preserve"> EU</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0F2D822D" w14:textId="77777777">
      <w:pPr>
        <w:numPr>
          <w:ilvl w:val="0"/>
          <w:numId w:val="36"/>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Schlussfolgerungen zu einem </w:t>
      </w:r>
      <w:hyperlink w:history="1" r:id="rId117">
        <w:r w:rsidRPr="00EE42EB">
          <w:rPr>
            <w:rFonts w:ascii="Times New Roman" w:hAnsi="Times New Roman" w:eastAsia="Times New Roman" w:cs="Times New Roman"/>
            <w:color w:val="0000FF"/>
            <w:sz w:val="27"/>
            <w:szCs w:val="27"/>
            <w:u w:val="single"/>
            <w:lang w:val="fr-FR" w:eastAsia="de-DE"/>
          </w:rPr>
          <w:t xml:space="preserve">strategischen Ansatz der EU für internationale Kulturbeziehungen</w:t>
        </w:r>
      </w:hyperlink>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5FE7A694" w14:textId="77777777">
      <w:pPr>
        <w:numPr>
          <w:ilvl w:val="0"/>
          <w:numId w:val="36"/>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18">
        <w:r w:rsidRPr="00EE42EB">
          <w:rPr>
            <w:rFonts w:ascii="Times New Roman" w:hAnsi="Times New Roman" w:eastAsia="Times New Roman" w:cs="Times New Roman"/>
            <w:color w:val="0000FF"/>
            <w:sz w:val="27"/>
            <w:szCs w:val="27"/>
            <w:u w:val="single"/>
            <w:lang w:val="fr-FR" w:eastAsia="de-DE"/>
          </w:rPr>
          <w:t xml:space="preserve">eine Reihe von </w:t>
        </w:r>
      </w:hyperlink>
      <w:r w:rsidRPr="00EE42EB">
        <w:rPr>
          <w:rFonts w:ascii="Times New Roman" w:hAnsi="Times New Roman" w:eastAsia="Times New Roman" w:cs="Times New Roman"/>
          <w:color w:val="000000"/>
          <w:sz w:val="27"/>
          <w:szCs w:val="27"/>
          <w:lang w:val="fr-FR" w:eastAsia="de-DE"/>
        </w:rPr>
        <w:t xml:space="preserve">Programmen, wie z. B. </w:t>
      </w:r>
      <w:hyperlink w:history="1" r:id="rId118">
        <w:r w:rsidRPr="00EE42EB">
          <w:rPr>
            <w:rFonts w:ascii="Times New Roman" w:hAnsi="Times New Roman" w:eastAsia="Times New Roman" w:cs="Times New Roman"/>
            <w:color w:val="0000FF"/>
            <w:sz w:val="27"/>
            <w:szCs w:val="27"/>
            <w:u w:val="single"/>
            <w:lang w:val="fr-FR" w:eastAsia="de-DE"/>
          </w:rPr>
          <w:t xml:space="preserve">"Investing in Culture and Creativity"</w:t>
        </w:r>
      </w:hyperlink>
      <w:r w:rsidRPr="00EE42EB">
        <w:rPr>
          <w:rFonts w:ascii="Times New Roman" w:hAnsi="Times New Roman" w:eastAsia="Times New Roman" w:cs="Times New Roman"/>
          <w:color w:val="000000"/>
          <w:sz w:val="27"/>
          <w:szCs w:val="27"/>
          <w:lang w:val="fr-FR" w:eastAsia="de-DE"/>
        </w:rPr>
        <w:t xml:space="preserve">, das darauf abzielt:</w:t>
      </w:r>
    </w:p>
    <w:p w:rsidRPr="00EE42EB" w:rsidR="00EE42EB" w:rsidP="00EE42EB" w:rsidRDefault="00EE42EB" w14:paraId="54EE5860" w14:textId="77777777">
      <w:pPr>
        <w:numPr>
          <w:ilvl w:val="1"/>
          <w:numId w:val="36"/>
        </w:numPr>
        <w:spacing w:before="240" w:after="240" w:line="240" w:lineRule="auto"/>
        <w:ind w:start="24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Verbesserung der kulturellen Governance in den Partnerländern;</w:t>
      </w:r>
    </w:p>
    <w:p w:rsidRPr="00EE42EB" w:rsidR="00EE42EB" w:rsidP="00EE42EB" w:rsidRDefault="00EE42EB" w14:paraId="56C14832" w14:textId="77777777">
      <w:pPr>
        <w:numPr>
          <w:ilvl w:val="1"/>
          <w:numId w:val="36"/>
        </w:numPr>
        <w:spacing w:before="240" w:after="240" w:line="240" w:lineRule="auto"/>
        <w:ind w:start="24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die </w:t>
      </w:r>
      <w:r w:rsidRPr="00EE42EB">
        <w:rPr>
          <w:rFonts w:ascii="Times New Roman" w:hAnsi="Times New Roman" w:eastAsia="Times New Roman" w:cs="Times New Roman"/>
          <w:color w:val="000000"/>
          <w:sz w:val="27"/>
          <w:szCs w:val="27"/>
          <w:lang w:eastAsia="de-DE"/>
        </w:rPr>
        <w:t xml:space="preserve">Schaffung von </w:t>
      </w:r>
      <w:r w:rsidRPr="00EE42EB">
        <w:rPr>
          <w:rFonts w:ascii="Times New Roman" w:hAnsi="Times New Roman" w:eastAsia="Times New Roman" w:cs="Times New Roman"/>
          <w:color w:val="000000"/>
          <w:sz w:val="27"/>
          <w:szCs w:val="27"/>
          <w:lang w:eastAsia="de-DE"/>
        </w:rPr>
        <w:t xml:space="preserve">Arbeitsplätzen </w:t>
      </w:r>
      <w:r w:rsidRPr="00EE42EB">
        <w:rPr>
          <w:rFonts w:ascii="Times New Roman" w:hAnsi="Times New Roman" w:eastAsia="Times New Roman" w:cs="Times New Roman"/>
          <w:color w:val="000000"/>
          <w:sz w:val="27"/>
          <w:szCs w:val="27"/>
          <w:lang w:eastAsia="de-DE"/>
        </w:rPr>
        <w:t xml:space="preserve">anregen</w:t>
      </w:r>
      <w:r w:rsidRPr="00EE42EB">
        <w:rPr>
          <w:rFonts w:ascii="Times New Roman" w:hAnsi="Times New Roman" w:eastAsia="Times New Roman" w:cs="Times New Roman"/>
          <w:color w:val="000000"/>
          <w:sz w:val="27"/>
          <w:szCs w:val="27"/>
          <w:lang w:eastAsia="de-DE"/>
        </w:rPr>
        <w:t xml:space="preserve">; und</w:t>
      </w:r>
    </w:p>
    <w:p w:rsidRPr="00EE42EB" w:rsidR="00EE42EB" w:rsidP="00EE42EB" w:rsidRDefault="00EE42EB" w14:paraId="4FFB8087" w14:textId="77777777">
      <w:pPr>
        <w:numPr>
          <w:ilvl w:val="1"/>
          <w:numId w:val="36"/>
        </w:numPr>
        <w:spacing w:before="240" w:after="240" w:line="240" w:lineRule="auto"/>
        <w:ind w:start="24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das </w:t>
      </w:r>
      <w:r w:rsidRPr="00EE42EB">
        <w:rPr>
          <w:rFonts w:ascii="Times New Roman" w:hAnsi="Times New Roman" w:eastAsia="Times New Roman" w:cs="Times New Roman"/>
          <w:color w:val="000000"/>
          <w:sz w:val="27"/>
          <w:szCs w:val="27"/>
          <w:lang w:eastAsia="de-DE"/>
        </w:rPr>
        <w:t xml:space="preserve">kulturelle </w:t>
      </w:r>
      <w:r w:rsidRPr="00EE42EB">
        <w:rPr>
          <w:rFonts w:ascii="Times New Roman" w:hAnsi="Times New Roman" w:eastAsia="Times New Roman" w:cs="Times New Roman"/>
          <w:color w:val="000000"/>
          <w:sz w:val="27"/>
          <w:szCs w:val="27"/>
          <w:lang w:eastAsia="de-DE"/>
        </w:rPr>
        <w:t xml:space="preserve">Erbe </w:t>
      </w:r>
      <w:r w:rsidRPr="00EE42EB">
        <w:rPr>
          <w:rFonts w:ascii="Times New Roman" w:hAnsi="Times New Roman" w:eastAsia="Times New Roman" w:cs="Times New Roman"/>
          <w:color w:val="000000"/>
          <w:sz w:val="27"/>
          <w:szCs w:val="27"/>
          <w:lang w:eastAsia="de-DE"/>
        </w:rPr>
        <w:t xml:space="preserve">zu stärken</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7E7E972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Das Ziel von </w:t>
      </w:r>
      <w:hyperlink w:history="1" r:id="rId119">
        <w:r w:rsidRPr="00EE42EB">
          <w:rPr>
            <w:rFonts w:ascii="Times New Roman" w:hAnsi="Times New Roman" w:eastAsia="Times New Roman" w:cs="Times New Roman"/>
            <w:color w:val="0000FF"/>
            <w:sz w:val="27"/>
            <w:szCs w:val="27"/>
            <w:u w:val="single"/>
            <w:lang w:val="fr-FR" w:eastAsia="de-DE"/>
          </w:rPr>
          <w:t xml:space="preserve">MDG 4 </w:t>
        </w:r>
      </w:hyperlink>
      <w:r w:rsidRPr="00EE42EB">
        <w:rPr>
          <w:rFonts w:ascii="Times New Roman" w:hAnsi="Times New Roman" w:eastAsia="Times New Roman" w:cs="Times New Roman"/>
          <w:color w:val="000000"/>
          <w:sz w:val="27"/>
          <w:szCs w:val="27"/>
          <w:lang w:val="fr-FR" w:eastAsia="de-DE"/>
        </w:rPr>
        <w:t xml:space="preserve">ist es, bis 2030 eine inklusive und gerechte, hochwertige Bildung zu gewährleisten und Lernmöglichkeiten für alle während des gesamten Lebens zu fördern. </w:t>
      </w:r>
      <w:hyperlink w:history="1" r:id="rId120">
        <w:r w:rsidRPr="00EE42EB">
          <w:rPr>
            <w:rFonts w:ascii="Times New Roman" w:hAnsi="Times New Roman" w:eastAsia="Times New Roman" w:cs="Times New Roman"/>
            <w:color w:val="0000FF"/>
            <w:sz w:val="27"/>
            <w:szCs w:val="27"/>
            <w:u w:val="single"/>
            <w:lang w:val="fr-FR" w:eastAsia="de-DE"/>
          </w:rPr>
          <w:t xml:space="preserve">Bildung </w:t>
        </w:r>
      </w:hyperlink>
      <w:r w:rsidRPr="00EE42EB">
        <w:rPr>
          <w:rFonts w:ascii="Times New Roman" w:hAnsi="Times New Roman" w:eastAsia="Times New Roman" w:cs="Times New Roman"/>
          <w:color w:val="000000"/>
          <w:sz w:val="27"/>
          <w:szCs w:val="27"/>
          <w:lang w:val="fr-FR" w:eastAsia="de-DE"/>
        </w:rPr>
        <w:t xml:space="preserve">ist </w:t>
      </w:r>
      <w:r w:rsidRPr="00EE42EB">
        <w:rPr>
          <w:rFonts w:ascii="Times New Roman" w:hAnsi="Times New Roman" w:eastAsia="Times New Roman" w:cs="Times New Roman"/>
          <w:color w:val="000000"/>
          <w:sz w:val="27"/>
          <w:szCs w:val="27"/>
          <w:lang w:val="fr-FR" w:eastAsia="de-DE"/>
        </w:rPr>
        <w:t xml:space="preserve">ein grundlegendes Menschenrecht und ein öffentliches Gut. Sie spielt auch eine wichtige Rolle beim Erreichen anderer SDGs, durch Lernen, Fähigkeiten und Bewusstsein.</w:t>
      </w:r>
    </w:p>
    <w:p w:rsidRPr="00EE42EB" w:rsidR="00EE42EB" w:rsidP="00EE42EB" w:rsidRDefault="00EE42EB" w14:paraId="5978AFE4"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Im Jahr 2017 </w:t>
      </w:r>
      <w:r w:rsidRPr="00EE42EB">
        <w:rPr>
          <w:rFonts w:ascii="Times New Roman" w:hAnsi="Times New Roman" w:eastAsia="Times New Roman" w:cs="Times New Roman"/>
          <w:color w:val="000000"/>
          <w:sz w:val="27"/>
          <w:szCs w:val="27"/>
          <w:lang w:eastAsia="de-DE"/>
        </w:rPr>
        <w:t xml:space="preserve">hat </w:t>
      </w:r>
      <w:r w:rsidRPr="00EE42EB">
        <w:rPr>
          <w:rFonts w:ascii="Times New Roman" w:hAnsi="Times New Roman" w:eastAsia="Times New Roman" w:cs="Times New Roman"/>
          <w:color w:val="000000"/>
          <w:sz w:val="27"/>
          <w:szCs w:val="27"/>
          <w:lang w:eastAsia="de-DE"/>
        </w:rPr>
        <w:t xml:space="preserve">die EU</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0600B50B" w14:textId="77777777">
      <w:pPr>
        <w:numPr>
          <w:ilvl w:val="0"/>
          <w:numId w:val="37"/>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unterstützte über 45 Länder in ihren Bemühungen, ihre Bildungssysteme zu stärken;</w:t>
      </w:r>
    </w:p>
    <w:p w:rsidRPr="00EE42EB" w:rsidR="00EE42EB" w:rsidP="00EE42EB" w:rsidRDefault="00EE42EB" w14:paraId="642E1A18" w14:textId="77777777">
      <w:pPr>
        <w:numPr>
          <w:ilvl w:val="0"/>
          <w:numId w:val="37"/>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arbeitete mit der </w:t>
      </w:r>
      <w:hyperlink w:history="1" r:id="rId121">
        <w:r w:rsidRPr="00EE42EB">
          <w:rPr>
            <w:rFonts w:ascii="Times New Roman" w:hAnsi="Times New Roman" w:eastAsia="Times New Roman" w:cs="Times New Roman"/>
            <w:color w:val="0000FF"/>
            <w:sz w:val="27"/>
            <w:szCs w:val="27"/>
            <w:u w:val="single"/>
            <w:lang w:val="fr-FR" w:eastAsia="de-DE"/>
          </w:rPr>
          <w:t xml:space="preserve">Global Partnership for Education </w:t>
        </w:r>
      </w:hyperlink>
      <w:r w:rsidRPr="00EE42EB">
        <w:rPr>
          <w:rFonts w:ascii="Times New Roman" w:hAnsi="Times New Roman" w:eastAsia="Times New Roman" w:cs="Times New Roman"/>
          <w:color w:val="000000"/>
          <w:sz w:val="27"/>
          <w:szCs w:val="27"/>
          <w:lang w:val="fr-FR" w:eastAsia="de-DE"/>
        </w:rPr>
        <w:t xml:space="preserve">zusammen</w:t>
      </w:r>
      <w:r w:rsidRPr="00EE42EB">
        <w:rPr>
          <w:rFonts w:ascii="Times New Roman" w:hAnsi="Times New Roman" w:eastAsia="Times New Roman" w:cs="Times New Roman"/>
          <w:color w:val="000000"/>
          <w:sz w:val="27"/>
          <w:szCs w:val="27"/>
          <w:lang w:val="fr-FR" w:eastAsia="de-DE"/>
        </w:rPr>
        <w:t xml:space="preserve">, die Grundbildung mit Fokus auf die ärmsten und fragilsten Länder unterstützt;</w:t>
      </w:r>
    </w:p>
    <w:p w:rsidRPr="00EE42EB" w:rsidR="00EE42EB" w:rsidP="00EE42EB" w:rsidRDefault="00EE42EB" w14:paraId="57AC0646" w14:textId="77777777">
      <w:pPr>
        <w:numPr>
          <w:ilvl w:val="0"/>
          <w:numId w:val="37"/>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Das mit 21 Mio. Euro ausgestattete Programm zur Bewältigung von Bildungsbedürfnissen in langwierigen Krisen konzentriert sich auf die Verbesserung der Bildungsqualität in sicheren Lernumgebungen und den Aufbau einer globalen Evidenzbasis, die als Grundlage für künftige Unterstützungsentscheidungen dient.</w:t>
      </w:r>
    </w:p>
    <w:p w:rsidRPr="00EE42EB" w:rsidR="00EE42EB" w:rsidP="00EE42EB" w:rsidRDefault="00EE42EB" w14:paraId="7D79996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Um das </w:t>
      </w:r>
      <w:hyperlink w:history="1" r:id="rId122">
        <w:r w:rsidRPr="00EE42EB">
          <w:rPr>
            <w:rFonts w:ascii="Times New Roman" w:hAnsi="Times New Roman" w:eastAsia="Times New Roman" w:cs="Times New Roman"/>
            <w:color w:val="0000FF"/>
            <w:sz w:val="27"/>
            <w:szCs w:val="27"/>
            <w:u w:val="single"/>
            <w:lang w:val="fr-FR" w:eastAsia="de-DE"/>
          </w:rPr>
          <w:t xml:space="preserve">MDG 3 </w:t>
        </w:r>
      </w:hyperlink>
      <w:r w:rsidRPr="00EE42EB">
        <w:rPr>
          <w:rFonts w:ascii="Times New Roman" w:hAnsi="Times New Roman" w:eastAsia="Times New Roman" w:cs="Times New Roman"/>
          <w:color w:val="000000"/>
          <w:sz w:val="27"/>
          <w:szCs w:val="27"/>
          <w:lang w:val="fr-FR" w:eastAsia="de-DE"/>
        </w:rPr>
        <w:t xml:space="preserve">zu Gesundheit und Wohlbefinden </w:t>
      </w:r>
      <w:r w:rsidRPr="00EE42EB">
        <w:rPr>
          <w:rFonts w:ascii="Times New Roman" w:hAnsi="Times New Roman" w:eastAsia="Times New Roman" w:cs="Times New Roman"/>
          <w:color w:val="000000"/>
          <w:sz w:val="27"/>
          <w:szCs w:val="27"/>
          <w:lang w:val="fr-FR" w:eastAsia="de-DE"/>
        </w:rPr>
        <w:t xml:space="preserve">zu erreichen</w:t>
      </w:r>
      <w:r w:rsidRPr="00EE42EB">
        <w:rPr>
          <w:rFonts w:ascii="Times New Roman" w:hAnsi="Times New Roman" w:eastAsia="Times New Roman" w:cs="Times New Roman"/>
          <w:color w:val="000000"/>
          <w:sz w:val="27"/>
          <w:szCs w:val="27"/>
          <w:lang w:val="fr-FR" w:eastAsia="de-DE"/>
        </w:rPr>
        <w:t xml:space="preserve">, hat die EU ihre Bemühungen im Bereich </w:t>
      </w:r>
      <w:hyperlink w:history="1" r:id="rId123">
        <w:r w:rsidRPr="00EE42EB">
          <w:rPr>
            <w:rFonts w:ascii="Times New Roman" w:hAnsi="Times New Roman" w:eastAsia="Times New Roman" w:cs="Times New Roman"/>
            <w:color w:val="0000FF"/>
            <w:sz w:val="27"/>
            <w:szCs w:val="27"/>
            <w:u w:val="single"/>
            <w:lang w:val="fr-FR" w:eastAsia="de-DE"/>
          </w:rPr>
          <w:t xml:space="preserve">Gesundheit </w:t>
        </w:r>
      </w:hyperlink>
      <w:r w:rsidRPr="00EE42EB">
        <w:rPr>
          <w:rFonts w:ascii="Times New Roman" w:hAnsi="Times New Roman" w:eastAsia="Times New Roman" w:cs="Times New Roman"/>
          <w:color w:val="000000"/>
          <w:sz w:val="27"/>
          <w:szCs w:val="27"/>
          <w:lang w:val="fr-FR" w:eastAsia="de-DE"/>
        </w:rPr>
        <w:t xml:space="preserve">fortgesetzt</w:t>
      </w:r>
      <w:r w:rsidRPr="00EE42EB">
        <w:rPr>
          <w:rFonts w:ascii="Times New Roman" w:hAnsi="Times New Roman" w:eastAsia="Times New Roman" w:cs="Times New Roman"/>
          <w:color w:val="000000"/>
          <w:sz w:val="27"/>
          <w:szCs w:val="27"/>
          <w:lang w:val="fr-FR" w:eastAsia="de-DE"/>
        </w:rPr>
        <w:t xml:space="preserve">, indem sie den </w:t>
      </w:r>
      <w:hyperlink w:history="1" r:id="rId124">
        <w:r w:rsidRPr="00EE42EB">
          <w:rPr>
            <w:rFonts w:ascii="Times New Roman" w:hAnsi="Times New Roman" w:eastAsia="Times New Roman" w:cs="Times New Roman"/>
            <w:color w:val="0000FF"/>
            <w:sz w:val="27"/>
            <w:szCs w:val="27"/>
            <w:u w:val="single"/>
            <w:lang w:val="fr-FR" w:eastAsia="de-DE"/>
          </w:rPr>
          <w:t xml:space="preserve">Globalen Fonds </w:t>
        </w:r>
      </w:hyperlink>
      <w:r w:rsidRPr="00EE42EB">
        <w:rPr>
          <w:rFonts w:ascii="Times New Roman" w:hAnsi="Times New Roman" w:eastAsia="Times New Roman" w:cs="Times New Roman"/>
          <w:color w:val="000000"/>
          <w:sz w:val="27"/>
          <w:szCs w:val="27"/>
          <w:lang w:val="fr-FR" w:eastAsia="de-DE"/>
        </w:rPr>
        <w:t xml:space="preserve">und </w:t>
      </w:r>
      <w:hyperlink w:history="1" r:id="rId125">
        <w:r w:rsidRPr="00EE42EB">
          <w:rPr>
            <w:rFonts w:ascii="Times New Roman" w:hAnsi="Times New Roman" w:eastAsia="Times New Roman" w:cs="Times New Roman"/>
            <w:color w:val="0000FF"/>
            <w:sz w:val="27"/>
            <w:szCs w:val="27"/>
            <w:u w:val="single"/>
            <w:lang w:val="fr-FR" w:eastAsia="de-DE"/>
          </w:rPr>
          <w:t xml:space="preserve">GAVI, die Impfstoffallianz, </w:t>
        </w:r>
      </w:hyperlink>
      <w:r w:rsidRPr="00EE42EB">
        <w:rPr>
          <w:rFonts w:ascii="Times New Roman" w:hAnsi="Times New Roman" w:eastAsia="Times New Roman" w:cs="Times New Roman"/>
          <w:color w:val="000000"/>
          <w:sz w:val="27"/>
          <w:szCs w:val="27"/>
          <w:lang w:val="fr-FR" w:eastAsia="de-DE"/>
        </w:rPr>
        <w:t xml:space="preserve">unterstützt sowie </w:t>
      </w:r>
      <w:r w:rsidRPr="00EE42EB">
        <w:rPr>
          <w:rFonts w:ascii="Times New Roman" w:hAnsi="Times New Roman" w:eastAsia="Times New Roman" w:cs="Times New Roman"/>
          <w:color w:val="000000"/>
          <w:sz w:val="27"/>
          <w:szCs w:val="27"/>
          <w:lang w:val="fr-FR" w:eastAsia="de-DE"/>
        </w:rPr>
        <w:t xml:space="preserve">Forschung zur Bekämpfung </w:t>
      </w:r>
      <w:r w:rsidRPr="00EE42EB">
        <w:rPr>
          <w:rFonts w:ascii="Times New Roman" w:hAnsi="Times New Roman" w:eastAsia="Times New Roman" w:cs="Times New Roman"/>
          <w:b/>
          <w:bCs/>
          <w:color w:val="000000"/>
          <w:sz w:val="27"/>
          <w:szCs w:val="27"/>
          <w:lang w:val="fr-FR" w:eastAsia="de-DE"/>
        </w:rPr>
        <w:t xml:space="preserve">vernachlässigter und armutsbedingter Infektionskrankheiten </w:t>
      </w:r>
      <w:r w:rsidRPr="00EE42EB">
        <w:rPr>
          <w:rFonts w:ascii="Times New Roman" w:hAnsi="Times New Roman" w:eastAsia="Times New Roman" w:cs="Times New Roman"/>
          <w:color w:val="000000"/>
          <w:sz w:val="27"/>
          <w:szCs w:val="27"/>
          <w:lang w:val="fr-FR" w:eastAsia="de-DE"/>
        </w:rPr>
        <w:t xml:space="preserve">betreibt</w:t>
      </w:r>
      <w:r w:rsidRPr="00EE42EB">
        <w:rPr>
          <w:rFonts w:ascii="Times New Roman" w:hAnsi="Times New Roman" w:eastAsia="Times New Roman" w:cs="Times New Roman"/>
          <w:color w:val="000000"/>
          <w:sz w:val="27"/>
          <w:szCs w:val="27"/>
          <w:lang w:val="fr-FR" w:eastAsia="de-DE"/>
        </w:rPr>
        <w:t xml:space="preserve">. Sie unterstützte auch regionale Initiativen, wie das </w:t>
      </w:r>
      <w:hyperlink w:history="1" r:id="rId126">
        <w:r w:rsidRPr="00EE42EB">
          <w:rPr>
            <w:rFonts w:ascii="Times New Roman" w:hAnsi="Times New Roman" w:eastAsia="Times New Roman" w:cs="Times New Roman"/>
            <w:color w:val="0000FF"/>
            <w:sz w:val="27"/>
            <w:szCs w:val="27"/>
            <w:u w:val="single"/>
            <w:lang w:val="fr-FR" w:eastAsia="de-DE"/>
          </w:rPr>
          <w:t xml:space="preserve">zweite "European and Developing Countries Clinical Trials Partnership"-Programm, sowie </w:t>
        </w:r>
      </w:hyperlink>
      <w:r w:rsidRPr="00EE42EB">
        <w:rPr>
          <w:rFonts w:ascii="Times New Roman" w:hAnsi="Times New Roman" w:eastAsia="Times New Roman" w:cs="Times New Roman"/>
          <w:color w:val="000000"/>
          <w:sz w:val="27"/>
          <w:szCs w:val="27"/>
          <w:lang w:val="fr-FR" w:eastAsia="de-DE"/>
        </w:rPr>
        <w:t xml:space="preserve">andere multinationale Initiativen.</w:t>
      </w:r>
    </w:p>
    <w:p w:rsidRPr="00EE42EB" w:rsidR="00EE42EB" w:rsidP="00EE42EB" w:rsidRDefault="00EE42EB" w14:paraId="3CFFB6F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Gemeinsam mit dem </w:t>
      </w:r>
      <w:hyperlink w:history="1" r:id="rId127">
        <w:r w:rsidRPr="00EE42EB">
          <w:rPr>
            <w:rFonts w:ascii="Times New Roman" w:hAnsi="Times New Roman" w:eastAsia="Times New Roman" w:cs="Times New Roman"/>
            <w:color w:val="0000FF"/>
            <w:sz w:val="27"/>
            <w:szCs w:val="27"/>
            <w:u w:val="single"/>
            <w:lang w:val="fr-FR" w:eastAsia="de-DE"/>
          </w:rPr>
          <w:t xml:space="preserve">Bevölkerungsfonds der Vereinten Nationen </w:t>
        </w:r>
      </w:hyperlink>
      <w:r w:rsidRPr="00EE42EB">
        <w:rPr>
          <w:rFonts w:ascii="Times New Roman" w:hAnsi="Times New Roman" w:eastAsia="Times New Roman" w:cs="Times New Roman"/>
          <w:color w:val="000000"/>
          <w:sz w:val="27"/>
          <w:szCs w:val="27"/>
          <w:lang w:val="fr-FR" w:eastAsia="de-DE"/>
        </w:rPr>
        <w:t xml:space="preserve">unterstützt die EU Bemühungen, die Verfügbarkeit von </w:t>
      </w:r>
      <w:r w:rsidRPr="00EE42EB">
        <w:rPr>
          <w:rFonts w:ascii="Times New Roman" w:hAnsi="Times New Roman" w:eastAsia="Times New Roman" w:cs="Times New Roman"/>
          <w:color w:val="000000"/>
          <w:sz w:val="27"/>
          <w:szCs w:val="27"/>
          <w:lang w:val="fr-FR" w:eastAsia="de-DE"/>
        </w:rPr>
        <w:t xml:space="preserve">qualitativ hochwertigen </w:t>
      </w:r>
      <w:r w:rsidRPr="00EE42EB">
        <w:rPr>
          <w:rFonts w:ascii="Times New Roman" w:hAnsi="Times New Roman" w:eastAsia="Times New Roman" w:cs="Times New Roman"/>
          <w:color w:val="000000"/>
          <w:sz w:val="27"/>
          <w:szCs w:val="27"/>
          <w:lang w:val="fr-FR" w:eastAsia="de-DE"/>
        </w:rPr>
        <w:t xml:space="preserve">Dienstleistungen im Bereich der </w:t>
      </w:r>
      <w:r w:rsidRPr="00EE42EB">
        <w:rPr>
          <w:rFonts w:ascii="Times New Roman" w:hAnsi="Times New Roman" w:eastAsia="Times New Roman" w:cs="Times New Roman"/>
          <w:b/>
          <w:bCs/>
          <w:color w:val="000000"/>
          <w:sz w:val="27"/>
          <w:szCs w:val="27"/>
          <w:lang w:val="fr-FR" w:eastAsia="de-DE"/>
        </w:rPr>
        <w:t xml:space="preserve">reproduktiven </w:t>
      </w:r>
      <w:r w:rsidRPr="00EE42EB">
        <w:rPr>
          <w:rFonts w:ascii="Times New Roman" w:hAnsi="Times New Roman" w:eastAsia="Times New Roman" w:cs="Times New Roman"/>
          <w:color w:val="000000"/>
          <w:sz w:val="27"/>
          <w:szCs w:val="27"/>
          <w:lang w:val="fr-FR" w:eastAsia="de-DE"/>
        </w:rPr>
        <w:t xml:space="preserve">und </w:t>
      </w:r>
      <w:r w:rsidRPr="00EE42EB">
        <w:rPr>
          <w:rFonts w:ascii="Times New Roman" w:hAnsi="Times New Roman" w:eastAsia="Times New Roman" w:cs="Times New Roman"/>
          <w:b/>
          <w:bCs/>
          <w:color w:val="000000"/>
          <w:sz w:val="27"/>
          <w:szCs w:val="27"/>
          <w:lang w:val="fr-FR" w:eastAsia="de-DE"/>
        </w:rPr>
        <w:t xml:space="preserve">mütterlichen </w:t>
      </w:r>
      <w:r w:rsidRPr="00EE42EB">
        <w:rPr>
          <w:rFonts w:ascii="Times New Roman" w:hAnsi="Times New Roman" w:eastAsia="Times New Roman" w:cs="Times New Roman"/>
          <w:b/>
          <w:bCs/>
          <w:color w:val="000000"/>
          <w:sz w:val="27"/>
          <w:szCs w:val="27"/>
          <w:lang w:val="fr-FR" w:eastAsia="de-DE"/>
        </w:rPr>
        <w:t xml:space="preserve">Gesundheit zu </w:t>
      </w:r>
      <w:r w:rsidRPr="00EE42EB">
        <w:rPr>
          <w:rFonts w:ascii="Times New Roman" w:hAnsi="Times New Roman" w:eastAsia="Times New Roman" w:cs="Times New Roman"/>
          <w:color w:val="000000"/>
          <w:sz w:val="27"/>
          <w:szCs w:val="27"/>
          <w:lang w:val="fr-FR" w:eastAsia="de-DE"/>
        </w:rPr>
        <w:t xml:space="preserve">erhöhen.</w:t>
      </w:r>
    </w:p>
    <w:p w:rsidRPr="00EE42EB" w:rsidR="00EE42EB" w:rsidP="00EE42EB" w:rsidRDefault="00EE42EB" w14:paraId="391A65B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Lebensmittel- und Ernährungssicherheit und nachhaltige Landwirtschaft</w:t>
      </w:r>
    </w:p>
    <w:p w:rsidRPr="00EE42EB" w:rsidR="00EE42EB" w:rsidP="00EE42EB" w:rsidRDefault="00EE42EB" w14:paraId="44BCE45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lastRenderedPageBreak/>
        <w:t xml:space="preserve">Da jeder neunte Mensch unter </w:t>
      </w:r>
      <w:hyperlink w:history="1" r:id="rId128">
        <w:r w:rsidRPr="00EE42EB">
          <w:rPr>
            <w:rFonts w:ascii="Times New Roman" w:hAnsi="Times New Roman" w:eastAsia="Times New Roman" w:cs="Times New Roman"/>
            <w:color w:val="0000FF"/>
            <w:sz w:val="27"/>
            <w:szCs w:val="27"/>
            <w:u w:val="single"/>
            <w:lang w:val="fr-FR" w:eastAsia="de-DE"/>
          </w:rPr>
          <w:t xml:space="preserve">Nahrungsmittel- und Ernährungsunsicherheit leidet</w:t>
        </w:r>
      </w:hyperlink>
      <w:r w:rsidRPr="00EE42EB">
        <w:rPr>
          <w:rFonts w:ascii="Times New Roman" w:hAnsi="Times New Roman" w:eastAsia="Times New Roman" w:cs="Times New Roman"/>
          <w:color w:val="000000"/>
          <w:sz w:val="27"/>
          <w:szCs w:val="27"/>
          <w:lang w:val="fr-FR" w:eastAsia="de-DE"/>
        </w:rPr>
        <w:t xml:space="preserve">, </w:t>
      </w:r>
      <w:r w:rsidRPr="00EE42EB">
        <w:rPr>
          <w:rFonts w:ascii="Times New Roman" w:hAnsi="Times New Roman" w:eastAsia="Times New Roman" w:cs="Times New Roman"/>
          <w:color w:val="000000"/>
          <w:sz w:val="27"/>
          <w:szCs w:val="27"/>
          <w:lang w:val="fr-FR" w:eastAsia="de-DE"/>
        </w:rPr>
        <w:t xml:space="preserve">zielt </w:t>
      </w:r>
      <w:hyperlink w:history="1" r:id="rId129">
        <w:r w:rsidRPr="00EE42EB">
          <w:rPr>
            <w:rFonts w:ascii="Times New Roman" w:hAnsi="Times New Roman" w:eastAsia="Times New Roman" w:cs="Times New Roman"/>
            <w:color w:val="0000FF"/>
            <w:sz w:val="27"/>
            <w:szCs w:val="27"/>
            <w:u w:val="single"/>
            <w:lang w:val="fr-FR" w:eastAsia="de-DE"/>
          </w:rPr>
          <w:t xml:space="preserve">MDG 2 </w:t>
        </w:r>
      </w:hyperlink>
      <w:r w:rsidRPr="00EE42EB">
        <w:rPr>
          <w:rFonts w:ascii="Times New Roman" w:hAnsi="Times New Roman" w:eastAsia="Times New Roman" w:cs="Times New Roman"/>
          <w:color w:val="000000"/>
          <w:sz w:val="27"/>
          <w:szCs w:val="27"/>
          <w:lang w:val="fr-FR" w:eastAsia="de-DE"/>
        </w:rPr>
        <w:t xml:space="preserve">darauf ab, bis 2030 den Hunger zu beseitigen, Ernährungssicherheit zu gewährleisten, die Ernährung zu verbessern und eine nachhaltige Landwirtschaft zu fördern.</w:t>
      </w:r>
    </w:p>
    <w:p w:rsidRPr="00EE42EB" w:rsidR="00EE42EB" w:rsidP="00EE42EB" w:rsidRDefault="00EE42EB" w14:paraId="1D91972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Nachhaltige Landwirtschaft ist zusammen mit nachhaltiger Fischerei und Aquakultur eine wesentliche Voraussetzung für die Beseitigung des Hungers und die Gewährleistung der Ernährungssicherheit. Sie sind nach wie vor eine wichtige Triebkraft für die Beseitigung der Armut und eine nachhaltige Entwicklung. Landwirtschaft und Ernährungssicherheit sind Schlüsselfaktoren für gute Ernährungsergebnisse.</w:t>
      </w:r>
    </w:p>
    <w:p w:rsidRPr="00EE42EB" w:rsidR="00EE42EB" w:rsidP="00EE42EB" w:rsidRDefault="00EE42EB" w14:paraId="75619FE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EU war eine der Haupttriebkräfte für die Veröffentlichung des </w:t>
      </w:r>
      <w:hyperlink w:history="1" r:id="rId130">
        <w:r w:rsidRPr="00EE42EB">
          <w:rPr>
            <w:rFonts w:ascii="Times New Roman" w:hAnsi="Times New Roman" w:eastAsia="Times New Roman" w:cs="Times New Roman"/>
            <w:color w:val="0000FF"/>
            <w:sz w:val="27"/>
            <w:szCs w:val="27"/>
            <w:u w:val="single"/>
            <w:lang w:val="fr-FR" w:eastAsia="de-DE"/>
          </w:rPr>
          <w:t xml:space="preserve">Global Food Crisis Report </w:t>
        </w:r>
      </w:hyperlink>
      <w:r w:rsidRPr="00EE42EB">
        <w:rPr>
          <w:rFonts w:ascii="Times New Roman" w:hAnsi="Times New Roman" w:eastAsia="Times New Roman" w:cs="Times New Roman"/>
          <w:color w:val="000000"/>
          <w:sz w:val="27"/>
          <w:szCs w:val="27"/>
          <w:lang w:val="fr-FR" w:eastAsia="de-DE"/>
        </w:rPr>
        <w:t xml:space="preserve">im Jahr 2017</w:t>
      </w:r>
      <w:r w:rsidRPr="00EE42EB">
        <w:rPr>
          <w:rFonts w:ascii="Times New Roman" w:hAnsi="Times New Roman" w:eastAsia="Times New Roman" w:cs="Times New Roman"/>
          <w:color w:val="000000"/>
          <w:sz w:val="27"/>
          <w:szCs w:val="27"/>
          <w:lang w:val="fr-FR" w:eastAsia="de-DE"/>
        </w:rPr>
        <w:t xml:space="preserve">. Der Bericht zeigte den Handlungsbedarf auf und enthüllte, dass sich fast 108 Millionen Menschen in einer Nahrungsmittelkrise oder Notsituation befanden:</w:t>
      </w:r>
    </w:p>
    <w:p w:rsidRPr="00EE42EB" w:rsidR="00EE42EB" w:rsidP="00EE42EB" w:rsidRDefault="00EE42EB" w14:paraId="3D40DCE7" w14:textId="77777777">
      <w:pPr>
        <w:numPr>
          <w:ilvl w:val="0"/>
          <w:numId w:val="3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wichtigsten Faktoren der Ernährungsunsicherheit zu analysieren; und</w:t>
      </w:r>
    </w:p>
    <w:p w:rsidRPr="00EE42EB" w:rsidR="00EE42EB" w:rsidP="00EE42EB" w:rsidRDefault="00EE42EB" w14:paraId="7C675E5C" w14:textId="77777777">
      <w:pPr>
        <w:numPr>
          <w:ilvl w:val="0"/>
          <w:numId w:val="38"/>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Anstrengungen fortsetzen, um diese Herausforderungen zu meistern.</w:t>
      </w:r>
    </w:p>
    <w:p w:rsidRPr="00EE42EB" w:rsidR="00EE42EB" w:rsidP="00EE42EB" w:rsidRDefault="00EE42EB" w14:paraId="249BE47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EU hat mehrere Initiativen ins Leben gerufen, um die Zahl der verkümmerten Kinder unter 5 Jahren bis zum Jahr 2025 um mindestens 7 Millionen zu reduzieren, wofür 3,5 Milliarden Euro für den Zeitraum 2014-2020 bereitgestellt werden.</w:t>
      </w:r>
    </w:p>
    <w:p w:rsidRPr="00EE42EB" w:rsidR="00EE42EB" w:rsidP="00EE42EB" w:rsidRDefault="00EE42EB" w14:paraId="0B985238"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val="fr-FR" w:eastAsia="de-DE"/>
        </w:rPr>
        <w:t xml:space="preserve">Nachhaltige Landwirtschaft aus wirtschaftlicher, sozialer und ökologischer Sicht ist ein zentrales Thema des Entwicklungskooperationsprogramms der EU mit ihren Partnerländern. </w:t>
      </w:r>
      <w:r w:rsidRPr="00EE42EB">
        <w:rPr>
          <w:rFonts w:ascii="Times New Roman" w:hAnsi="Times New Roman" w:eastAsia="Times New Roman" w:cs="Times New Roman"/>
          <w:color w:val="000000"/>
          <w:sz w:val="27"/>
          <w:szCs w:val="27"/>
          <w:lang w:eastAsia="de-DE"/>
        </w:rPr>
        <w:t xml:space="preserve">In </w:t>
      </w:r>
      <w:r w:rsidRPr="00EE42EB">
        <w:rPr>
          <w:rFonts w:ascii="Times New Roman" w:hAnsi="Times New Roman" w:eastAsia="Times New Roman" w:cs="Times New Roman"/>
          <w:color w:val="000000"/>
          <w:sz w:val="27"/>
          <w:szCs w:val="27"/>
          <w:lang w:eastAsia="de-DE"/>
        </w:rPr>
        <w:t xml:space="preserve">diesem </w:t>
      </w:r>
      <w:r w:rsidRPr="00EE42EB">
        <w:rPr>
          <w:rFonts w:ascii="Times New Roman" w:hAnsi="Times New Roman" w:eastAsia="Times New Roman" w:cs="Times New Roman"/>
          <w:color w:val="000000"/>
          <w:sz w:val="27"/>
          <w:szCs w:val="27"/>
          <w:lang w:eastAsia="de-DE"/>
        </w:rPr>
        <w:t xml:space="preserve">Bereich </w:t>
      </w:r>
      <w:r w:rsidRPr="00EE42EB">
        <w:rPr>
          <w:rFonts w:ascii="Times New Roman" w:hAnsi="Times New Roman" w:eastAsia="Times New Roman" w:cs="Times New Roman"/>
          <w:color w:val="000000"/>
          <w:sz w:val="27"/>
          <w:szCs w:val="27"/>
          <w:lang w:eastAsia="de-DE"/>
        </w:rPr>
        <w:t xml:space="preserve">konzentriert </w:t>
      </w:r>
      <w:r w:rsidRPr="00EE42EB">
        <w:rPr>
          <w:rFonts w:ascii="Times New Roman" w:hAnsi="Times New Roman" w:eastAsia="Times New Roman" w:cs="Times New Roman"/>
          <w:color w:val="000000"/>
          <w:sz w:val="27"/>
          <w:szCs w:val="27"/>
          <w:lang w:eastAsia="de-DE"/>
        </w:rPr>
        <w:t xml:space="preserve">die Union </w:t>
      </w:r>
      <w:r w:rsidRPr="00EE42EB">
        <w:rPr>
          <w:rFonts w:ascii="Times New Roman" w:hAnsi="Times New Roman" w:eastAsia="Times New Roman" w:cs="Times New Roman"/>
          <w:color w:val="000000"/>
          <w:sz w:val="27"/>
          <w:szCs w:val="27"/>
          <w:lang w:eastAsia="de-DE"/>
        </w:rPr>
        <w:t xml:space="preserve">ihre </w:t>
      </w:r>
      <w:r w:rsidRPr="00EE42EB">
        <w:rPr>
          <w:rFonts w:ascii="Times New Roman" w:hAnsi="Times New Roman" w:eastAsia="Times New Roman" w:cs="Times New Roman"/>
          <w:color w:val="000000"/>
          <w:sz w:val="27"/>
          <w:szCs w:val="27"/>
          <w:lang w:eastAsia="de-DE"/>
        </w:rPr>
        <w:t xml:space="preserve">Arbeit </w:t>
      </w:r>
      <w:r w:rsidRPr="00EE42EB">
        <w:rPr>
          <w:rFonts w:ascii="Times New Roman" w:hAnsi="Times New Roman" w:eastAsia="Times New Roman" w:cs="Times New Roman"/>
          <w:color w:val="000000"/>
          <w:sz w:val="27"/>
          <w:szCs w:val="27"/>
          <w:lang w:eastAsia="de-DE"/>
        </w:rPr>
        <w:t xml:space="preserve">auf</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6D96EF87" w14:textId="77777777">
      <w:pPr>
        <w:numPr>
          <w:ilvl w:val="0"/>
          <w:numId w:val="3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Investitionen in kleine Farmen;</w:t>
      </w:r>
    </w:p>
    <w:p w:rsidRPr="00EE42EB" w:rsidR="00EE42EB" w:rsidP="00EE42EB" w:rsidRDefault="00EE42EB" w14:paraId="52700F4B" w14:textId="77777777">
      <w:pPr>
        <w:numPr>
          <w:ilvl w:val="0"/>
          <w:numId w:val="3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Unterstützung von Regierungsinitiativen und -programmen, die Nachhaltigkeit und Innovation im Agrarsektor fördern;</w:t>
      </w:r>
    </w:p>
    <w:p w:rsidRPr="00EE42EB" w:rsidR="00EE42EB" w:rsidP="00EE42EB" w:rsidRDefault="00EE42EB" w14:paraId="300796D3" w14:textId="77777777">
      <w:pPr>
        <w:numPr>
          <w:ilvl w:val="0"/>
          <w:numId w:val="3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Förderung von landwirtschaftlichen Praktiken und Technologien, die das ländliche Einkommen erhöhen und gleichzeitig nachhaltig im Hinblick auf Wasser, Boden, Ökosysteme und Biodiversität sind;</w:t>
      </w:r>
    </w:p>
    <w:p w:rsidRPr="00EE42EB" w:rsidR="00EE42EB" w:rsidP="00EE42EB" w:rsidRDefault="00EE42EB" w14:paraId="2E31E9AE" w14:textId="77777777">
      <w:pPr>
        <w:numPr>
          <w:ilvl w:val="0"/>
          <w:numId w:val="3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Verbesserung des Zugangs der Landwirte zu Produktionsmitteln wie Land, Kapital usw., insbesondere durch Förderung lokaler Kooperationen und Partnerschaften zwischen Landwirten;</w:t>
      </w:r>
    </w:p>
    <w:p w:rsidRPr="00EE42EB" w:rsidR="00EE42EB" w:rsidP="00EE42EB" w:rsidRDefault="00EE42EB" w14:paraId="4BDE878F" w14:textId="77777777">
      <w:pPr>
        <w:numPr>
          <w:ilvl w:val="0"/>
          <w:numId w:val="3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verstärkte private Investitionen in den Agrarsektor;</w:t>
      </w:r>
    </w:p>
    <w:p w:rsidRPr="00EE42EB" w:rsidR="00EE42EB" w:rsidP="00EE42EB" w:rsidRDefault="00EE42EB" w14:paraId="33036080" w14:textId="77777777">
      <w:pPr>
        <w:numPr>
          <w:ilvl w:val="0"/>
          <w:numId w:val="39"/>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Befähigung von Frauen in der Landwirtschaft.</w:t>
      </w:r>
    </w:p>
    <w:p w:rsidRPr="00EE42EB" w:rsidR="00EE42EB" w:rsidP="00EE42EB" w:rsidRDefault="00EE42EB" w14:paraId="2399E96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Planet</w:t>
      </w:r>
    </w:p>
    <w:p w:rsidRPr="00EE42EB" w:rsidR="00EE42EB" w:rsidP="00EE42EB" w:rsidRDefault="00EE42EB" w14:paraId="629B617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Klimawandel</w:t>
      </w:r>
    </w:p>
    <w:p w:rsidRPr="00EE42EB" w:rsidR="00EE42EB" w:rsidP="00EE42EB" w:rsidRDefault="00EE42EB" w14:paraId="7DF6FEA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EU hat sich verpflichtet, </w:t>
      </w:r>
      <w:r w:rsidRPr="00EE42EB">
        <w:rPr>
          <w:rFonts w:ascii="Times New Roman" w:hAnsi="Times New Roman" w:eastAsia="Times New Roman" w:cs="Times New Roman"/>
          <w:color w:val="000000"/>
          <w:sz w:val="27"/>
          <w:szCs w:val="27"/>
          <w:lang w:val="fr-FR" w:eastAsia="de-DE"/>
        </w:rPr>
        <w:t xml:space="preserve">im Einklang mit dem Pariser Abkommen von 2015 und dem </w:t>
      </w:r>
      <w:hyperlink w:history="1" r:id="rId132">
        <w:r w:rsidRPr="00EE42EB">
          <w:rPr>
            <w:rFonts w:ascii="Times New Roman" w:hAnsi="Times New Roman" w:eastAsia="Times New Roman" w:cs="Times New Roman"/>
            <w:color w:val="0000FF"/>
            <w:sz w:val="27"/>
            <w:szCs w:val="27"/>
            <w:u w:val="single"/>
            <w:lang w:val="fr-FR" w:eastAsia="de-DE"/>
          </w:rPr>
          <w:t xml:space="preserve">Millenniumsentwicklungsziel 13 </w:t>
        </w:r>
      </w:hyperlink>
      <w:r w:rsidRPr="00EE42EB">
        <w:rPr>
          <w:rFonts w:ascii="Times New Roman" w:hAnsi="Times New Roman" w:eastAsia="Times New Roman" w:cs="Times New Roman"/>
          <w:color w:val="000000"/>
          <w:sz w:val="27"/>
          <w:szCs w:val="27"/>
          <w:lang w:val="fr-FR" w:eastAsia="de-DE"/>
        </w:rPr>
        <w:t xml:space="preserve">einen Beitrag zum weltweiten Kampf gegen den </w:t>
      </w:r>
      <w:hyperlink w:history="1" r:id="rId131">
        <w:r w:rsidRPr="00EE42EB">
          <w:rPr>
            <w:rFonts w:ascii="Times New Roman" w:hAnsi="Times New Roman" w:eastAsia="Times New Roman" w:cs="Times New Roman"/>
            <w:color w:val="0000FF"/>
            <w:sz w:val="27"/>
            <w:szCs w:val="27"/>
            <w:u w:val="single"/>
            <w:lang w:val="fr-FR" w:eastAsia="de-DE"/>
          </w:rPr>
          <w:t xml:space="preserve">Klimawandel zu </w:t>
        </w:r>
      </w:hyperlink>
      <w:r w:rsidRPr="00EE42EB">
        <w:rPr>
          <w:rFonts w:ascii="Times New Roman" w:hAnsi="Times New Roman" w:eastAsia="Times New Roman" w:cs="Times New Roman"/>
          <w:color w:val="000000"/>
          <w:sz w:val="27"/>
          <w:szCs w:val="27"/>
          <w:lang w:val="fr-FR" w:eastAsia="de-DE"/>
        </w:rPr>
        <w:t xml:space="preserve">leisten</w:t>
      </w:r>
      <w:r w:rsidRPr="00EE42EB">
        <w:rPr>
          <w:rFonts w:ascii="Times New Roman" w:hAnsi="Times New Roman" w:eastAsia="Times New Roman" w:cs="Times New Roman"/>
          <w:color w:val="000000"/>
          <w:sz w:val="27"/>
          <w:szCs w:val="27"/>
          <w:lang w:val="fr-FR" w:eastAsia="de-DE"/>
        </w:rPr>
        <w:t xml:space="preserve">. Die Umsetzung der </w:t>
      </w:r>
      <w:r w:rsidRPr="00EE42EB">
        <w:rPr>
          <w:rFonts w:ascii="Times New Roman" w:hAnsi="Times New Roman" w:eastAsia="Times New Roman" w:cs="Times New Roman"/>
          <w:color w:val="000000"/>
          <w:sz w:val="27"/>
          <w:szCs w:val="27"/>
          <w:lang w:val="fr-FR" w:eastAsia="de-DE"/>
        </w:rPr>
        <w:lastRenderedPageBreak/>
        <w:t xml:space="preserve">national festgelegten Beiträge steht im Mittelpunkt des Politikdialogs zwischen der EU und den Partnerländern, um den Klimawandel in ihre Politiken, Strategien, Investitionspläne und Projekte zu integrieren, damit diese vollständig zum Pariser Abkommen und SDG 13 beitragen. Die Bemühungen der EU zum Klimawandel und die 2030-Agenda müssen Hand in Hand gehen.</w:t>
      </w:r>
    </w:p>
    <w:p w:rsidRPr="00EE42EB" w:rsidR="00EE42EB" w:rsidP="00EE42EB" w:rsidRDefault="00EE42EB" w14:paraId="0794202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EU hat ihre Anstrengungen zum Risikomanagement und zum Aufbau von Widerstandsfähigkeit und Anpassungsfähigkeit an Veränderungen im Einklang mit dem </w:t>
      </w:r>
      <w:hyperlink w:history="1" r:id="rId133">
        <w:r w:rsidRPr="00EE42EB">
          <w:rPr>
            <w:rFonts w:ascii="Times New Roman" w:hAnsi="Times New Roman" w:eastAsia="Times New Roman" w:cs="Times New Roman"/>
            <w:color w:val="0000FF"/>
            <w:sz w:val="27"/>
            <w:szCs w:val="27"/>
            <w:u w:val="single"/>
            <w:lang w:val="fr-FR" w:eastAsia="de-DE"/>
          </w:rPr>
          <w:t xml:space="preserve">Sendai-Rahmen für die Katastrophenvorsorge </w:t>
        </w:r>
      </w:hyperlink>
      <w:r w:rsidRPr="00EE42EB">
        <w:rPr>
          <w:rFonts w:ascii="Times New Roman" w:hAnsi="Times New Roman" w:eastAsia="Times New Roman" w:cs="Times New Roman"/>
          <w:color w:val="000000"/>
          <w:sz w:val="27"/>
          <w:szCs w:val="27"/>
          <w:lang w:val="fr-FR" w:eastAsia="de-DE"/>
        </w:rPr>
        <w:t xml:space="preserve">verstärkt</w:t>
      </w:r>
      <w:r w:rsidRPr="00EE42EB">
        <w:rPr>
          <w:rFonts w:ascii="Times New Roman" w:hAnsi="Times New Roman" w:eastAsia="Times New Roman" w:cs="Times New Roman"/>
          <w:color w:val="000000"/>
          <w:sz w:val="27"/>
          <w:szCs w:val="27"/>
          <w:lang w:val="fr-FR" w:eastAsia="de-DE"/>
        </w:rPr>
        <w:t xml:space="preserve">. Die EU unterstützt auch den Übergang zu einer emissionsarmen, klimaresistenten grünen Wirtschaft, im Einklang mit </w:t>
      </w:r>
      <w:hyperlink w:history="1" r:id="rId134">
        <w:r w:rsidRPr="00EE42EB">
          <w:rPr>
            <w:rFonts w:ascii="Times New Roman" w:hAnsi="Times New Roman" w:eastAsia="Times New Roman" w:cs="Times New Roman"/>
            <w:color w:val="0000FF"/>
            <w:sz w:val="27"/>
            <w:szCs w:val="27"/>
            <w:u w:val="single"/>
            <w:lang w:val="fr-FR" w:eastAsia="de-DE"/>
          </w:rPr>
          <w:t xml:space="preserve">SDG 8 </w:t>
        </w:r>
      </w:hyperlink>
      <w:r w:rsidRPr="00EE42EB">
        <w:rPr>
          <w:rFonts w:ascii="Times New Roman" w:hAnsi="Times New Roman" w:eastAsia="Times New Roman" w:cs="Times New Roman"/>
          <w:color w:val="000000"/>
          <w:sz w:val="27"/>
          <w:szCs w:val="27"/>
          <w:lang w:val="fr-FR" w:eastAsia="de-DE"/>
        </w:rPr>
        <w:t xml:space="preserve">zu Wachstum und </w:t>
      </w:r>
      <w:hyperlink w:history="1" r:id="rId135">
        <w:r w:rsidRPr="00EE42EB">
          <w:rPr>
            <w:rFonts w:ascii="Times New Roman" w:hAnsi="Times New Roman" w:eastAsia="Times New Roman" w:cs="Times New Roman"/>
            <w:color w:val="0000FF"/>
            <w:sz w:val="27"/>
            <w:szCs w:val="27"/>
            <w:u w:val="single"/>
            <w:lang w:val="fr-FR" w:eastAsia="de-DE"/>
          </w:rPr>
          <w:t xml:space="preserve">SDG 12 </w:t>
        </w:r>
      </w:hyperlink>
      <w:r w:rsidRPr="00EE42EB">
        <w:rPr>
          <w:rFonts w:ascii="Times New Roman" w:hAnsi="Times New Roman" w:eastAsia="Times New Roman" w:cs="Times New Roman"/>
          <w:color w:val="000000"/>
          <w:sz w:val="27"/>
          <w:szCs w:val="27"/>
          <w:lang w:val="fr-FR" w:eastAsia="de-DE"/>
        </w:rPr>
        <w:t xml:space="preserve">zu nachhaltigem Konsum und nachhaltiger Produktion. Der Klimawandel ist mit der großen Mehrheit der SDGs verbunden.</w:t>
      </w:r>
    </w:p>
    <w:p w:rsidRPr="00EE42EB" w:rsidR="00EE42EB" w:rsidP="00EE42EB" w:rsidRDefault="00EE42EB" w14:paraId="58A1C60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Im Zeitraum 2014-2018 investierte die EU 8,2 Milliarden Euro zur Unterstützung von Klimaschutzmaßnahmen. Der größte Anteil der EU-Klimafinanzierung ist in Anpassungsmaßnahmen geflossen (41 %), gefolgt von Synergiemaßnahmen sowohl zur Anpassung als auch zur Minderung (31 %) und Minderungsmaßnahmen (28 %). Sein Ziel ist es, Maßnahmen zu fördern, die sowohl zur Anpassung als auch zur Abschwächung beitragen.</w:t>
      </w:r>
    </w:p>
    <w:p w:rsidRPr="00EE42EB" w:rsidR="00EE42EB" w:rsidP="00EE42EB" w:rsidRDefault="00EE42EB" w14:paraId="513759F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Umwelt und nachhaltiger Umgang mit natürlichen Ressourcen</w:t>
      </w:r>
    </w:p>
    <w:p w:rsidRPr="00EE42EB" w:rsidR="00EE42EB" w:rsidP="00EE42EB" w:rsidRDefault="00EE42EB" w14:paraId="5383BEA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Umwelt und die natürlichen Ressourcen wie Land, Wasserressourcen, Wälder, </w:t>
      </w:r>
      <w:hyperlink w:history="1" r:id="rId136">
        <w:r w:rsidRPr="00EE42EB">
          <w:rPr>
            <w:rFonts w:ascii="Times New Roman" w:hAnsi="Times New Roman" w:eastAsia="Times New Roman" w:cs="Times New Roman"/>
            <w:color w:val="0000FF"/>
            <w:sz w:val="27"/>
            <w:szCs w:val="27"/>
            <w:u w:val="single"/>
            <w:lang w:val="fr-FR" w:eastAsia="de-DE"/>
          </w:rPr>
          <w:t xml:space="preserve">Fischbestände </w:t>
        </w:r>
      </w:hyperlink>
      <w:r w:rsidRPr="00EE42EB">
        <w:rPr>
          <w:rFonts w:ascii="Times New Roman" w:hAnsi="Times New Roman" w:eastAsia="Times New Roman" w:cs="Times New Roman"/>
          <w:color w:val="000000"/>
          <w:sz w:val="27"/>
          <w:szCs w:val="27"/>
          <w:lang w:val="fr-FR" w:eastAsia="de-DE"/>
        </w:rPr>
        <w:t xml:space="preserve">und biologische Vielfalt sind für die Wirtschaft der Entwicklungsländer und die Lebensgrundlage ihrer Bürger von wesentlicher Bedeutung. Sie zu schützen und nachhaltig zu bewirtschaften ist entscheidend für das Erreichen der Agenda 2030 für nachhaltige Entwicklung (einschließlich der SDGs </w:t>
      </w:r>
      <w:hyperlink w:history="1" r:id="rId137">
        <w:r w:rsidRPr="00EE42EB">
          <w:rPr>
            <w:rFonts w:ascii="Times New Roman" w:hAnsi="Times New Roman" w:eastAsia="Times New Roman" w:cs="Times New Roman"/>
            <w:color w:val="0000FF"/>
            <w:sz w:val="27"/>
            <w:szCs w:val="27"/>
            <w:u w:val="single"/>
            <w:lang w:val="fr-FR" w:eastAsia="de-DE"/>
          </w:rPr>
          <w:t xml:space="preserve">6</w:t>
        </w:r>
      </w:hyperlink>
      <w:r w:rsidRPr="00EE42EB">
        <w:rPr>
          <w:rFonts w:ascii="Times New Roman" w:hAnsi="Times New Roman" w:eastAsia="Times New Roman" w:cs="Times New Roman"/>
          <w:color w:val="000000"/>
          <w:sz w:val="27"/>
          <w:szCs w:val="27"/>
          <w:lang w:val="fr-FR" w:eastAsia="de-DE"/>
        </w:rPr>
        <w:t xml:space="preserve">, </w:t>
      </w:r>
      <w:hyperlink w:history="1" r:id="rId138">
        <w:r w:rsidRPr="00EE42EB">
          <w:rPr>
            <w:rFonts w:ascii="Times New Roman" w:hAnsi="Times New Roman" w:eastAsia="Times New Roman" w:cs="Times New Roman"/>
            <w:color w:val="0000FF"/>
            <w:sz w:val="27"/>
            <w:szCs w:val="27"/>
            <w:u w:val="single"/>
            <w:lang w:val="fr-FR" w:eastAsia="de-DE"/>
          </w:rPr>
          <w:t xml:space="preserve">12</w:t>
        </w:r>
      </w:hyperlink>
      <w:r w:rsidRPr="00EE42EB">
        <w:rPr>
          <w:rFonts w:ascii="Times New Roman" w:hAnsi="Times New Roman" w:eastAsia="Times New Roman" w:cs="Times New Roman"/>
          <w:color w:val="000000"/>
          <w:sz w:val="27"/>
          <w:szCs w:val="27"/>
          <w:lang w:val="fr-FR" w:eastAsia="de-DE"/>
        </w:rPr>
        <w:t xml:space="preserve">, </w:t>
      </w:r>
      <w:hyperlink w:history="1" r:id="rId139">
        <w:r w:rsidRPr="00EE42EB">
          <w:rPr>
            <w:rFonts w:ascii="Times New Roman" w:hAnsi="Times New Roman" w:eastAsia="Times New Roman" w:cs="Times New Roman"/>
            <w:color w:val="0000FF"/>
            <w:sz w:val="27"/>
            <w:szCs w:val="27"/>
            <w:u w:val="single"/>
            <w:lang w:val="fr-FR" w:eastAsia="de-DE"/>
          </w:rPr>
          <w:t xml:space="preserve">14 </w:t>
        </w:r>
      </w:hyperlink>
      <w:r w:rsidRPr="00EE42EB">
        <w:rPr>
          <w:rFonts w:ascii="Times New Roman" w:hAnsi="Times New Roman" w:eastAsia="Times New Roman" w:cs="Times New Roman"/>
          <w:color w:val="000000"/>
          <w:sz w:val="27"/>
          <w:szCs w:val="27"/>
          <w:lang w:val="fr-FR" w:eastAsia="de-DE"/>
        </w:rPr>
        <w:t xml:space="preserve">und </w:t>
      </w:r>
      <w:hyperlink w:history="1" r:id="rId140">
        <w:r w:rsidRPr="00EE42EB">
          <w:rPr>
            <w:rFonts w:ascii="Times New Roman" w:hAnsi="Times New Roman" w:eastAsia="Times New Roman" w:cs="Times New Roman"/>
            <w:color w:val="0000FF"/>
            <w:sz w:val="27"/>
            <w:szCs w:val="27"/>
            <w:u w:val="single"/>
            <w:lang w:val="fr-FR" w:eastAsia="de-DE"/>
          </w:rPr>
          <w:t xml:space="preserve">15</w:t>
        </w:r>
      </w:hyperlink>
      <w:r w:rsidRPr="00EE42EB">
        <w:rPr>
          <w:rFonts w:ascii="Times New Roman" w:hAnsi="Times New Roman" w:eastAsia="Times New Roman" w:cs="Times New Roman"/>
          <w:color w:val="000000"/>
          <w:sz w:val="27"/>
          <w:szCs w:val="27"/>
          <w:lang w:val="fr-FR" w:eastAsia="de-DE"/>
        </w:rPr>
        <w:t xml:space="preserve">), die Beseitigung von Armut und Hunger sowie die Gewährleistung von Gesundheit, Wohlbefinden, Zugang zu sauberem Wasser und sanitären Einrichtungen und nachhaltigem Wachstum bei gleichzeitigem Erhalt der Ökosysteme und der Bekämpfung des Klimawandels. Die EU unterstützt die Partnerländer bei der Verbesserung der Verwaltung von Umwelt und natürlichen Ressourcen, der nachhaltigen Bewirtschaftung von Land, Wasser, Wäldern und anderen natürlichen Ressourcen, dem Schutz der biologischen Vielfalt, der Bekämpfung der Umweltverschmutzung und der Förderung einer integrativen grünen Wirtschaft.</w:t>
      </w:r>
    </w:p>
    <w:p w:rsidRPr="00EE42EB" w:rsidR="00EE42EB" w:rsidP="00EE42EB" w:rsidRDefault="00EE42EB" w14:paraId="00372AE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Nachhaltige Energie</w:t>
      </w:r>
    </w:p>
    <w:p w:rsidRPr="00EE42EB" w:rsidR="00EE42EB" w:rsidP="00EE42EB" w:rsidRDefault="00EE42EB" w14:paraId="5F748B0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Der Zugang zu modernen und nachhaltigen Energiedienstleistungen ist eines der Hauptziele der EU-Entwicklungshilfe. Im Jahr 2017 veröffentlichte die Kommission ein </w:t>
      </w:r>
      <w:hyperlink w:history="1" r:id="rId141">
        <w:r w:rsidRPr="00EE42EB">
          <w:rPr>
            <w:rFonts w:ascii="Times New Roman" w:hAnsi="Times New Roman" w:eastAsia="Times New Roman" w:cs="Times New Roman"/>
            <w:color w:val="0000FF"/>
            <w:sz w:val="27"/>
            <w:szCs w:val="27"/>
            <w:u w:val="single"/>
            <w:lang w:val="fr-FR" w:eastAsia="de-DE"/>
          </w:rPr>
          <w:t xml:space="preserve">Papier</w:t>
        </w:r>
      </w:hyperlink>
      <w:r w:rsidRPr="00EE42EB">
        <w:rPr>
          <w:rFonts w:ascii="Times New Roman" w:hAnsi="Times New Roman" w:eastAsia="Times New Roman" w:cs="Times New Roman"/>
          <w:color w:val="000000"/>
          <w:sz w:val="27"/>
          <w:szCs w:val="27"/>
          <w:lang w:val="fr-FR" w:eastAsia="de-DE"/>
        </w:rPr>
        <w:t xml:space="preserve">, das zeigt, dass eine nachhaltige Energiekooperation zur Umsetzung des Europäischen Konsenses über die Entwicklung beiträgt.</w:t>
      </w:r>
    </w:p>
    <w:p w:rsidRPr="00EE42EB" w:rsidR="00EE42EB" w:rsidP="00EE42EB" w:rsidRDefault="00EE42EB" w14:paraId="150723A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Im Rahmen der Finanziellen Vorausschau 2014-2020 wurden 3,7 Mrd. € für die nachhaltige Energiezusammenarbeit im Dienste der Entwicklung bereitgestellt, um zur Erreichung der drei Ziele der EU für 2020 beizutragen: Zugang zu Energie für rund 40 Millionen Menschen, Steigerung der Energieerzeugung aus erneuerbaren Energien um ca. 6,5 Gigawatt und Beitrag zum Kampf gegen den Klimawandel durch Einsparung von rund 15 Millionen Tonnen </w:t>
      </w:r>
      <w:r w:rsidRPr="00EE42EB">
        <w:rPr>
          <w:rFonts w:ascii="Times New Roman" w:hAnsi="Times New Roman" w:eastAsia="Times New Roman" w:cs="Times New Roman"/>
          <w:color w:val="000000"/>
          <w:sz w:val="27"/>
          <w:szCs w:val="27"/>
          <w:vertAlign w:val="subscript"/>
          <w:lang w:val="fr-FR" w:eastAsia="de-DE"/>
        </w:rPr>
        <w:t xml:space="preserve">CO2 </w:t>
      </w:r>
      <w:r w:rsidRPr="00EE42EB">
        <w:rPr>
          <w:rFonts w:ascii="Times New Roman" w:hAnsi="Times New Roman" w:eastAsia="Times New Roman" w:cs="Times New Roman"/>
          <w:color w:val="000000"/>
          <w:sz w:val="27"/>
          <w:szCs w:val="27"/>
          <w:lang w:val="fr-FR" w:eastAsia="de-DE"/>
        </w:rPr>
        <w:t xml:space="preserve">pro Jahr.</w:t>
      </w:r>
    </w:p>
    <w:p w:rsidRPr="00EE42EB" w:rsidR="00EE42EB" w:rsidP="00EE42EB" w:rsidRDefault="00EE42EB" w14:paraId="4DEE984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lastRenderedPageBreak/>
        <w:t xml:space="preserve">So will die EU beispielsweise einen Beitrag zu den Zielen der </w:t>
      </w:r>
      <w:hyperlink w:history="1" r:id="rId142">
        <w:r w:rsidRPr="00EE42EB">
          <w:rPr>
            <w:rFonts w:ascii="Times New Roman" w:hAnsi="Times New Roman" w:eastAsia="Times New Roman" w:cs="Times New Roman"/>
            <w:color w:val="0000FF"/>
            <w:sz w:val="27"/>
            <w:szCs w:val="27"/>
            <w:u w:val="single"/>
            <w:lang w:val="fr-FR" w:eastAsia="de-DE"/>
          </w:rPr>
          <w:t xml:space="preserve">African Renewable Energy Initiative </w:t>
        </w:r>
      </w:hyperlink>
      <w:r w:rsidRPr="00EE42EB">
        <w:rPr>
          <w:rFonts w:ascii="Times New Roman" w:hAnsi="Times New Roman" w:eastAsia="Times New Roman" w:cs="Times New Roman"/>
          <w:color w:val="000000"/>
          <w:sz w:val="27"/>
          <w:szCs w:val="27"/>
          <w:lang w:val="fr-FR" w:eastAsia="de-DE"/>
        </w:rPr>
        <w:lastRenderedPageBreak/>
        <w:t xml:space="preserve">leisten </w:t>
      </w:r>
      <w:r w:rsidRPr="00EE42EB">
        <w:rPr>
          <w:rFonts w:ascii="Times New Roman" w:hAnsi="Times New Roman" w:eastAsia="Times New Roman" w:cs="Times New Roman"/>
          <w:color w:val="000000"/>
          <w:sz w:val="27"/>
          <w:szCs w:val="27"/>
          <w:lang w:val="fr-FR" w:eastAsia="de-DE"/>
        </w:rPr>
        <w:t xml:space="preserve">und bis 2020 eine Kapazität von 5 GW an erneuerbarer Energie erreichen. Gleichzeitig sollen 30 Millionen Menschen in Afrika Zugang zu nachhaltiger Energie erhalten und 11 Millionen Tonnen </w:t>
      </w:r>
      <w:r w:rsidRPr="00EE42EB">
        <w:rPr>
          <w:rFonts w:ascii="Times New Roman" w:hAnsi="Times New Roman" w:eastAsia="Times New Roman" w:cs="Times New Roman"/>
          <w:color w:val="000000"/>
          <w:sz w:val="27"/>
          <w:szCs w:val="27"/>
          <w:vertAlign w:val="subscript"/>
          <w:lang w:val="fr-FR" w:eastAsia="de-DE"/>
        </w:rPr>
        <w:t xml:space="preserve">CO2 </w:t>
      </w:r>
      <w:r w:rsidRPr="00EE42EB">
        <w:rPr>
          <w:rFonts w:ascii="Times New Roman" w:hAnsi="Times New Roman" w:eastAsia="Times New Roman" w:cs="Times New Roman"/>
          <w:color w:val="000000"/>
          <w:sz w:val="27"/>
          <w:szCs w:val="27"/>
          <w:lang w:val="fr-FR" w:eastAsia="de-DE"/>
        </w:rPr>
        <w:t xml:space="preserve">pro Jahr </w:t>
      </w:r>
      <w:r w:rsidRPr="00EE42EB">
        <w:rPr>
          <w:rFonts w:ascii="Times New Roman" w:hAnsi="Times New Roman" w:eastAsia="Times New Roman" w:cs="Times New Roman"/>
          <w:color w:val="000000"/>
          <w:sz w:val="27"/>
          <w:szCs w:val="27"/>
          <w:lang w:val="fr-FR" w:eastAsia="de-DE"/>
        </w:rPr>
        <w:t xml:space="preserve">eingespart werden.</w:t>
      </w:r>
    </w:p>
    <w:p w:rsidRPr="00EE42EB" w:rsidR="00EE42EB" w:rsidP="00EE42EB" w:rsidRDefault="00EE42EB" w14:paraId="5555A06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Wohlstand</w:t>
      </w:r>
    </w:p>
    <w:p w:rsidRPr="00EE42EB" w:rsidR="00EE42EB" w:rsidP="00EE42EB" w:rsidRDefault="00EE42EB" w14:paraId="50F6A45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Zusammenarbeit mit dem Privatsektor</w:t>
      </w:r>
    </w:p>
    <w:p w:rsidRPr="00EE42EB" w:rsidR="00EE42EB" w:rsidP="00EE42EB" w:rsidRDefault="00EE42EB" w14:paraId="210BAE8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Da der Investitionsbedarf in den Partnerländern beträchtlich ist und die Mittel von Regierungen und internationalen Organisationen nicht ausreichen, um ihn zu decken, setzt die EU auf </w:t>
      </w:r>
      <w:r w:rsidRPr="00EE42EB">
        <w:rPr>
          <w:rFonts w:ascii="Times New Roman" w:hAnsi="Times New Roman" w:eastAsia="Times New Roman" w:cs="Times New Roman"/>
          <w:b/>
          <w:bCs/>
          <w:color w:val="000000"/>
          <w:sz w:val="27"/>
          <w:szCs w:val="27"/>
          <w:lang w:val="fr-FR" w:eastAsia="de-DE"/>
        </w:rPr>
        <w:t xml:space="preserve">Blending</w:t>
      </w:r>
      <w:r w:rsidRPr="00EE42EB">
        <w:rPr>
          <w:rFonts w:ascii="Times New Roman" w:hAnsi="Times New Roman" w:eastAsia="Times New Roman" w:cs="Times New Roman"/>
          <w:color w:val="000000"/>
          <w:sz w:val="27"/>
          <w:szCs w:val="27"/>
          <w:lang w:val="fr-FR" w:eastAsia="de-DE"/>
        </w:rPr>
        <w:t xml:space="preserve">, bei dem EU-Zuschüsse mit Darlehen oder Eigenkapital von öffentlichen und privaten Geldgebern kombiniert werden, und leistet so einen Beitrag zu </w:t>
      </w:r>
      <w:hyperlink w:history="1" r:id="rId143">
        <w:r w:rsidRPr="00EE42EB">
          <w:rPr>
            <w:rFonts w:ascii="Times New Roman" w:hAnsi="Times New Roman" w:eastAsia="Times New Roman" w:cs="Times New Roman"/>
            <w:color w:val="0000FF"/>
            <w:sz w:val="27"/>
            <w:szCs w:val="27"/>
            <w:u w:val="single"/>
            <w:lang w:val="fr-FR" w:eastAsia="de-DE"/>
          </w:rPr>
          <w:t xml:space="preserve">MDG 17 </w:t>
        </w:r>
      </w:hyperlink>
      <w:r w:rsidRPr="00EE42EB">
        <w:rPr>
          <w:rFonts w:ascii="Times New Roman" w:hAnsi="Times New Roman" w:eastAsia="Times New Roman" w:cs="Times New Roman"/>
          <w:color w:val="000000"/>
          <w:sz w:val="27"/>
          <w:szCs w:val="27"/>
          <w:lang w:val="fr-FR" w:eastAsia="de-DE"/>
        </w:rPr>
        <w:t xml:space="preserve">(Stärkung der Mittel zur Umsetzung und der Partnerschaften zur Erreichung der Ziele). Der EU-Beimischungsrahmen umfasst die folgenden regionalen Beimischungsmechanismen:</w:t>
      </w:r>
    </w:p>
    <w:p w:rsidRPr="00EE42EB" w:rsidR="00EE42EB" w:rsidP="00EE42EB" w:rsidRDefault="00E52C24" w14:paraId="5832E308"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44">
        <w:r w:rsidRPr="00EE42EB" w:rsidR="00EE42EB">
          <w:rPr>
            <w:rFonts w:ascii="Times New Roman" w:hAnsi="Times New Roman" w:eastAsia="Times New Roman" w:cs="Times New Roman"/>
            <w:color w:val="0000FF"/>
            <w:sz w:val="27"/>
            <w:szCs w:val="27"/>
            <w:u w:val="single"/>
            <w:lang w:val="fr-FR" w:eastAsia="de-DE"/>
          </w:rPr>
          <w:t xml:space="preserve">Investitionsfazilität für Lateinamerika</w:t>
        </w:r>
      </w:hyperlink>
      <w:r w:rsidRPr="00EE42EB" w:rsid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52C24" w14:paraId="333C8505"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eastAsia="de-DE"/>
        </w:rPr>
      </w:pPr>
      <w:hyperlink w:history="1" r:id="rId145">
        <w:r w:rsidRPr="00EE42EB" w:rsidR="00EE42EB">
          <w:rPr>
            <w:rFonts w:ascii="Times New Roman" w:hAnsi="Times New Roman" w:eastAsia="Times New Roman" w:cs="Times New Roman"/>
            <w:color w:val="0000FF"/>
            <w:sz w:val="27"/>
            <w:szCs w:val="27"/>
            <w:u w:val="single"/>
            <w:lang w:eastAsia="de-DE"/>
          </w:rPr>
          <w:t xml:space="preserve">Asia</w:t>
        </w:r>
        <w:r w:rsidRPr="00EE42EB" w:rsidR="00EE42EB">
          <w:rPr>
            <w:rFonts w:ascii="Times New Roman" w:hAnsi="Times New Roman" w:eastAsia="Times New Roman" w:cs="Times New Roman"/>
            <w:color w:val="0000FF"/>
            <w:sz w:val="27"/>
            <w:szCs w:val="27"/>
            <w:u w:val="single"/>
            <w:lang w:eastAsia="de-DE"/>
          </w:rPr>
          <w:t xml:space="preserve">Investment</w:t>
        </w:r>
        <w:r w:rsidRPr="00EE42EB" w:rsidR="00EE42EB">
          <w:rPr>
            <w:rFonts w:ascii="Times New Roman" w:hAnsi="Times New Roman" w:eastAsia="Times New Roman" w:cs="Times New Roman"/>
            <w:color w:val="0000FF"/>
            <w:sz w:val="27"/>
            <w:szCs w:val="27"/>
            <w:u w:val="single"/>
            <w:lang w:eastAsia="de-DE"/>
          </w:rPr>
          <w:t xml:space="preserve">Facility</w:t>
        </w:r>
      </w:hyperlink>
      <w:r w:rsidRPr="00EE42EB" w:rsidR="00EE42EB">
        <w:rPr>
          <w:rFonts w:ascii="Times New Roman" w:hAnsi="Times New Roman" w:eastAsia="Times New Roman" w:cs="Times New Roman"/>
          <w:color w:val="000000"/>
          <w:sz w:val="27"/>
          <w:szCs w:val="27"/>
          <w:lang w:eastAsia="de-DE"/>
        </w:rPr>
        <w:t xml:space="preserve">;</w:t>
      </w:r>
    </w:p>
    <w:p w:rsidRPr="00EE42EB" w:rsidR="00EE42EB" w:rsidP="00EE42EB" w:rsidRDefault="00E52C24" w14:paraId="33C7E5DC"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46">
        <w:r w:rsidRPr="00EE42EB" w:rsidR="00EE42EB">
          <w:rPr>
            <w:rFonts w:ascii="Times New Roman" w:hAnsi="Times New Roman" w:eastAsia="Times New Roman" w:cs="Times New Roman"/>
            <w:color w:val="0000FF"/>
            <w:sz w:val="27"/>
            <w:szCs w:val="27"/>
            <w:u w:val="single"/>
            <w:lang w:val="fr-FR" w:eastAsia="de-DE"/>
          </w:rPr>
          <w:t xml:space="preserve">Investitionsfazilität für Zentralasien</w:t>
        </w:r>
      </w:hyperlink>
      <w:r w:rsidRPr="00EE42EB" w:rsid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52C24" w14:paraId="16CA08FC"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47">
        <w:r w:rsidRPr="00EE42EB" w:rsidR="00EE42EB">
          <w:rPr>
            <w:rFonts w:ascii="Times New Roman" w:hAnsi="Times New Roman" w:eastAsia="Times New Roman" w:cs="Times New Roman"/>
            <w:color w:val="0000FF"/>
            <w:sz w:val="27"/>
            <w:szCs w:val="27"/>
            <w:u w:val="single"/>
            <w:lang w:val="fr-FR" w:eastAsia="de-DE"/>
          </w:rPr>
          <w:t xml:space="preserve">Investitionsfazilität für die Karibik</w:t>
        </w:r>
      </w:hyperlink>
      <w:r w:rsidRPr="00EE42EB" w:rsid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52C24" w14:paraId="5FC759C7"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48">
        <w:r w:rsidRPr="00EE42EB" w:rsidR="00EE42EB">
          <w:rPr>
            <w:rFonts w:ascii="Times New Roman" w:hAnsi="Times New Roman" w:eastAsia="Times New Roman" w:cs="Times New Roman"/>
            <w:color w:val="0000FF"/>
            <w:sz w:val="27"/>
            <w:szCs w:val="27"/>
            <w:u w:val="single"/>
            <w:lang w:val="fr-FR" w:eastAsia="de-DE"/>
          </w:rPr>
          <w:t xml:space="preserve">Pazifische Investitionsfazilität</w:t>
        </w:r>
      </w:hyperlink>
      <w:r w:rsidRPr="00EE42EB" w:rsid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52C24" w14:paraId="7DCC03E7"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49">
        <w:r w:rsidRPr="00EE42EB" w:rsidR="00EE42EB">
          <w:rPr>
            <w:rFonts w:ascii="Times New Roman" w:hAnsi="Times New Roman" w:eastAsia="Times New Roman" w:cs="Times New Roman"/>
            <w:color w:val="0000FF"/>
            <w:sz w:val="27"/>
            <w:szCs w:val="27"/>
            <w:u w:val="single"/>
            <w:lang w:val="fr-FR" w:eastAsia="de-DE"/>
          </w:rPr>
          <w:t xml:space="preserve">EU-Afrika-Infrastruktur-Treuhandfonds</w:t>
        </w:r>
      </w:hyperlink>
      <w:r w:rsidRPr="00EE42EB" w:rsid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16BEA23E" w14:textId="77777777">
      <w:pPr>
        <w:numPr>
          <w:ilvl w:val="0"/>
          <w:numId w:val="40"/>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w:t>
      </w:r>
      <w:hyperlink w:history="1" r:id="rId150">
        <w:r w:rsidRPr="00EE42EB">
          <w:rPr>
            <w:rFonts w:ascii="Times New Roman" w:hAnsi="Times New Roman" w:eastAsia="Times New Roman" w:cs="Times New Roman"/>
            <w:color w:val="0000FF"/>
            <w:sz w:val="27"/>
            <w:szCs w:val="27"/>
            <w:u w:val="single"/>
            <w:lang w:val="fr-FR" w:eastAsia="de-DE"/>
          </w:rPr>
          <w:t xml:space="preserve">Afrika-Investitionsplattform </w:t>
        </w:r>
      </w:hyperlink>
      <w:r w:rsidRPr="00EE42EB">
        <w:rPr>
          <w:rFonts w:ascii="Times New Roman" w:hAnsi="Times New Roman" w:eastAsia="Times New Roman" w:cs="Times New Roman"/>
          <w:color w:val="000000"/>
          <w:sz w:val="27"/>
          <w:szCs w:val="27"/>
          <w:lang w:val="fr-FR" w:eastAsia="de-DE"/>
        </w:rPr>
        <w:t xml:space="preserve">und die </w:t>
      </w:r>
      <w:hyperlink w:history="1" r:id="rId151">
        <w:r w:rsidRPr="00EE42EB">
          <w:rPr>
            <w:rFonts w:ascii="Times New Roman" w:hAnsi="Times New Roman" w:eastAsia="Times New Roman" w:cs="Times New Roman"/>
            <w:color w:val="0000FF"/>
            <w:sz w:val="27"/>
            <w:szCs w:val="27"/>
            <w:u w:val="single"/>
            <w:lang w:val="fr-FR" w:eastAsia="de-DE"/>
          </w:rPr>
          <w:t xml:space="preserve">Nachbarschafts-Investitionsplattform </w:t>
        </w:r>
      </w:hyperlink>
      <w:r w:rsidRPr="00EE42EB">
        <w:rPr>
          <w:rFonts w:ascii="Times New Roman" w:hAnsi="Times New Roman" w:eastAsia="Times New Roman" w:cs="Times New Roman"/>
          <w:color w:val="000000"/>
          <w:sz w:val="27"/>
          <w:szCs w:val="27"/>
          <w:lang w:val="fr-FR" w:eastAsia="de-DE"/>
        </w:rPr>
        <w:t xml:space="preserve">(verwaltet von der </w:t>
      </w:r>
      <w:hyperlink w:history="1" r:id="rId152">
        <w:r w:rsidRPr="00EE42EB">
          <w:rPr>
            <w:rFonts w:ascii="Times New Roman" w:hAnsi="Times New Roman" w:eastAsia="Times New Roman" w:cs="Times New Roman"/>
            <w:color w:val="0000FF"/>
            <w:sz w:val="27"/>
            <w:szCs w:val="27"/>
            <w:u w:val="single"/>
            <w:lang w:val="fr-FR" w:eastAsia="de-DE"/>
          </w:rPr>
          <w:t xml:space="preserve">Generaldirektion für Nachbarschafts- und Erweiterungsverhandlungen oder NEAR</w:t>
        </w:r>
      </w:hyperlink>
      <w:r w:rsidRPr="00EE42EB">
        <w:rPr>
          <w:rFonts w:ascii="Times New Roman" w:hAnsi="Times New Roman" w:eastAsia="Times New Roman" w:cs="Times New Roman"/>
          <w:color w:val="000000"/>
          <w:sz w:val="27"/>
          <w:szCs w:val="27"/>
          <w:lang w:val="fr-FR" w:eastAsia="de-DE"/>
        </w:rPr>
        <w:t xml:space="preserve">), die beide im Rahmen der ersten Säule des EIP in den EEF integriert sind (siehe Abschnitt "Externe Investitionsplanung" oben).</w:t>
      </w:r>
    </w:p>
    <w:p w:rsidRPr="00EE42EB" w:rsidR="00EE42EB" w:rsidP="00EE42EB" w:rsidRDefault="00EE42EB" w14:paraId="2A62D89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Eine wichtige Neuerung ist, dass die EDFD-Garantie begrenzte öffentliche Mittel nutzt, um insbesondere private Investitionen zu hebeln. Diese Investitionen unterstützen tragfähige Projekte, die sonst Schwierigkeiten hätten, in Gang zu kommen oder zu expandieren, und konzentrieren sich gleichzeitig auf nachhaltige Entwicklungsziele in den Partnerländern. Die EIP als Ganzes zielt darauf ab, Hindernisse für nachhaltige Privatinvestitionen zu beseitigen und vorrangige Reformen durch einen verstärkten Dialog mit dem Privatsektor und relevanten Interessengruppen zu unterstützen. Die Förderung nachhaltiger Investitionen und die Schaffung von Arbeitsplätzen (SDG 8) ist auch eines der Hauptziele der im September 2018 gestarteten Afrika-Europa-Allianz für nachhaltige Investitionen und Arbeitsplätze.</w:t>
      </w:r>
    </w:p>
    <w:p w:rsidRPr="00EE42EB" w:rsidR="00EE42EB" w:rsidP="00EE42EB" w:rsidRDefault="00EE42EB" w14:paraId="2D1C48A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Darüber hinaus hat die EU im November 2017 eine neue Aid-for-Trade-Strategie verabschiedet, die darauf abzielt, </w:t>
      </w:r>
      <w:r w:rsidRPr="00EE42EB">
        <w:rPr>
          <w:rFonts w:ascii="Times New Roman" w:hAnsi="Times New Roman" w:eastAsia="Times New Roman" w:cs="Times New Roman"/>
          <w:color w:val="000000"/>
          <w:sz w:val="27"/>
          <w:szCs w:val="27"/>
          <w:lang w:val="fr-FR" w:eastAsia="de-DE"/>
        </w:rPr>
        <w:t xml:space="preserve">gemeinsam mit EU-Ländern </w:t>
      </w:r>
      <w:hyperlink w:history="1" r:id="rId153">
        <w:r w:rsidRPr="00EE42EB">
          <w:rPr>
            <w:rFonts w:ascii="Times New Roman" w:hAnsi="Times New Roman" w:eastAsia="Times New Roman" w:cs="Times New Roman"/>
            <w:color w:val="0000FF"/>
            <w:sz w:val="27"/>
            <w:szCs w:val="27"/>
            <w:u w:val="single"/>
            <w:lang w:val="fr-FR" w:eastAsia="de-DE"/>
          </w:rPr>
          <w:t xml:space="preserve">Wohlstand durch Handel und</w:t>
        </w:r>
        <w:r w:rsidRPr="00EE42EB">
          <w:rPr>
            <w:rFonts w:ascii="Times New Roman" w:hAnsi="Times New Roman" w:eastAsia="Times New Roman" w:cs="Times New Roman"/>
            <w:color w:val="0000FF"/>
            <w:sz w:val="27"/>
            <w:szCs w:val="27"/>
            <w:u w:val="single"/>
            <w:lang w:val="fr-FR" w:eastAsia="de-DE"/>
          </w:rPr>
          <w:lastRenderedPageBreak/>
          <w:t xml:space="preserve">Investitionen</w:t>
        </w:r>
        <w:r w:rsidRPr="00EE42EB">
          <w:rPr>
            <w:rFonts w:ascii="Times New Roman" w:hAnsi="Times New Roman" w:eastAsia="Times New Roman" w:cs="Times New Roman"/>
            <w:color w:val="0000FF"/>
            <w:sz w:val="27"/>
            <w:szCs w:val="27"/>
            <w:u w:val="single"/>
            <w:lang w:val="fr-FR" w:eastAsia="de-DE"/>
          </w:rPr>
          <w:t xml:space="preserve">zu erreichen. </w:t>
        </w:r>
      </w:hyperlink>
      <w:r w:rsidRPr="00EE42EB">
        <w:rPr>
          <w:rFonts w:ascii="Times New Roman" w:hAnsi="Times New Roman" w:eastAsia="Times New Roman" w:cs="Times New Roman"/>
          <w:color w:val="000000"/>
          <w:sz w:val="27"/>
          <w:szCs w:val="27"/>
          <w:lang w:val="fr-FR" w:eastAsia="de-DE"/>
        </w:rPr>
        <w:t xml:space="preserve">Diese Initiative zielt darauf ab, eine bessere Mobilisierung der </w:t>
      </w:r>
      <w:hyperlink w:history="1" r:id="rId154">
        <w:r w:rsidRPr="00EE42EB">
          <w:rPr>
            <w:rFonts w:ascii="Times New Roman" w:hAnsi="Times New Roman" w:eastAsia="Times New Roman" w:cs="Times New Roman"/>
            <w:color w:val="0000FF"/>
            <w:sz w:val="27"/>
            <w:szCs w:val="27"/>
            <w:u w:val="single"/>
            <w:lang w:val="fr-FR" w:eastAsia="de-DE"/>
          </w:rPr>
          <w:t xml:space="preserve">EU-Handelshilfe </w:t>
        </w:r>
      </w:hyperlink>
      <w:r w:rsidRPr="00EE42EB">
        <w:rPr>
          <w:rFonts w:ascii="Times New Roman" w:hAnsi="Times New Roman" w:eastAsia="Times New Roman" w:cs="Times New Roman"/>
          <w:color w:val="000000"/>
          <w:sz w:val="27"/>
          <w:szCs w:val="27"/>
          <w:lang w:val="fr-FR" w:eastAsia="de-DE"/>
        </w:rPr>
        <w:t xml:space="preserve">zu fördern, um </w:t>
      </w:r>
      <w:r w:rsidRPr="00EE42EB">
        <w:rPr>
          <w:rFonts w:ascii="Times New Roman" w:hAnsi="Times New Roman" w:eastAsia="Times New Roman" w:cs="Times New Roman"/>
          <w:color w:val="000000"/>
          <w:sz w:val="27"/>
          <w:szCs w:val="27"/>
          <w:lang w:val="fr-FR" w:eastAsia="de-DE"/>
        </w:rPr>
        <w:t xml:space="preserve">die Entwicklungsländer dabei zu unterstützen, die verschiedenen politischen Instrumente der EU, darunter Handelsabkommen und Präferenzregelungen (einschließlich </w:t>
      </w:r>
      <w:hyperlink w:history="1" r:id="rId155">
        <w:r w:rsidRPr="00EE42EB">
          <w:rPr>
            <w:rFonts w:ascii="Times New Roman" w:hAnsi="Times New Roman" w:eastAsia="Times New Roman" w:cs="Times New Roman"/>
            <w:color w:val="0000FF"/>
            <w:sz w:val="27"/>
            <w:szCs w:val="27"/>
            <w:u w:val="single"/>
            <w:lang w:val="fr-FR" w:eastAsia="de-DE"/>
          </w:rPr>
          <w:t xml:space="preserve">Wirtschaftspartnerschaftsabkommen </w:t>
        </w:r>
      </w:hyperlink>
      <w:r w:rsidRPr="00EE42EB">
        <w:rPr>
          <w:rFonts w:ascii="Times New Roman" w:hAnsi="Times New Roman" w:eastAsia="Times New Roman" w:cs="Times New Roman"/>
          <w:color w:val="000000"/>
          <w:sz w:val="27"/>
          <w:szCs w:val="27"/>
          <w:lang w:val="fr-FR" w:eastAsia="de-DE"/>
        </w:rPr>
        <w:t xml:space="preserve">und das </w:t>
      </w:r>
      <w:hyperlink w:history="1" r:id="rId156">
        <w:r w:rsidRPr="00EE42EB">
          <w:rPr>
            <w:rFonts w:ascii="Times New Roman" w:hAnsi="Times New Roman" w:eastAsia="Times New Roman" w:cs="Times New Roman"/>
            <w:color w:val="0000FF"/>
            <w:sz w:val="27"/>
            <w:szCs w:val="27"/>
            <w:u w:val="single"/>
            <w:lang w:val="fr-FR" w:eastAsia="de-DE"/>
          </w:rPr>
          <w:t xml:space="preserve">Allgemeine Präferenzsystem</w:t>
        </w:r>
      </w:hyperlink>
      <w:r w:rsidRPr="00EE42EB">
        <w:rPr>
          <w:rFonts w:ascii="Times New Roman" w:hAnsi="Times New Roman" w:eastAsia="Times New Roman" w:cs="Times New Roman"/>
          <w:color w:val="000000"/>
          <w:sz w:val="27"/>
          <w:szCs w:val="27"/>
          <w:lang w:val="fr-FR" w:eastAsia="de-DE"/>
        </w:rPr>
        <w:t xml:space="preserve">), in </w:t>
      </w:r>
      <w:r w:rsidRPr="00EE42EB">
        <w:rPr>
          <w:rFonts w:ascii="Times New Roman" w:hAnsi="Times New Roman" w:eastAsia="Times New Roman" w:cs="Times New Roman"/>
          <w:color w:val="000000"/>
          <w:sz w:val="27"/>
          <w:szCs w:val="27"/>
          <w:lang w:val="fr-FR" w:eastAsia="de-DE"/>
        </w:rPr>
        <w:t xml:space="preserve">vollem Umfang zu nutzen, und zwar </w:t>
      </w:r>
      <w:r w:rsidRPr="00EE42EB">
        <w:rPr>
          <w:rFonts w:ascii="Times New Roman" w:hAnsi="Times New Roman" w:eastAsia="Times New Roman" w:cs="Times New Roman"/>
          <w:color w:val="000000"/>
          <w:sz w:val="27"/>
          <w:szCs w:val="27"/>
          <w:lang w:val="fr-FR" w:eastAsia="de-DE"/>
        </w:rPr>
        <w:t xml:space="preserve">auf nachhaltige und integrative Weise.</w:t>
      </w:r>
    </w:p>
    <w:p w:rsidRPr="00EE42EB" w:rsidR="00EE42EB" w:rsidP="00EE42EB" w:rsidRDefault="00EE42EB" w14:paraId="311B740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Landwirtschaftliches Wachstum</w:t>
      </w:r>
    </w:p>
    <w:p w:rsidRPr="00EE42EB" w:rsidR="00EE42EB" w:rsidP="00EE42EB" w:rsidRDefault="00EE42EB" w14:paraId="053DF53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Zwei Drittel der Armen auf der Welt leben von der Landwirtschaft, und viele Entwicklungsländer sind nach wie vor stark vom Handel mit nur wenigen Rohstoffen abhängig.</w:t>
      </w:r>
    </w:p>
    <w:p w:rsidRPr="00EE42EB" w:rsidR="00EE42EB" w:rsidP="00EE42EB" w:rsidRDefault="00EE42EB" w14:paraId="34F561A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EU ist davon überzeugt, dass ein höheres Maß an verantwortungsvollen öffentlichen und privaten, inländischen und internationalen Investitionen in die Landwirtschaft und das Agrobusiness erforderlich ist, um die Dynamik für nachhaltiges Wachstum und Widerstandsfähigkeit in ländlichen Gebieten in Entwicklungsländern zu schaffen. In diesem Sinne kündigte Kommissionspräsident Jean-Claude Juncker im September 2018 die Gründung der neuen Afrika-Europa-Allianz für nachhaltige Investitionen und Arbeitsplätze an.</w:t>
      </w:r>
    </w:p>
    <w:p w:rsidRPr="00EE42EB" w:rsidR="00EE42EB" w:rsidP="00EE42EB" w:rsidRDefault="00EE42EB" w14:paraId="44B0044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Investitionen des Privatsektors müssen durch die Schaffung eines gut regulierten und gepflegten Geschäftsumfelds angeregt werden. Dem öffentlichen Sektor kommt dabei eine Schlüsselrolle zu. Die hohen Risiken im Zusammenhang mit der Produktion, der Finanzierung und den Marktrisiken sind jedoch nach wie vor ein großes Hindernis für verstärkte Investitionen des Privatsektors. Die EU hilft, diese Risiken durch den European External Investment Plan zu reduzieren. Sie unterstützt Land-Governance-Aktivitäten in rund 40 Ländern mit einem Gesamtbudget von fast 240 Millionen Euro. In Peru und Honduras werden durch EU-finanzierte Maßnahmen die Landrechte indigener Völker geschützt und ihnen grundlegende Güter garantiert (Beitrag zu MDG 2).</w:t>
      </w:r>
    </w:p>
    <w:p w:rsidRPr="00EE42EB" w:rsidR="00EE42EB" w:rsidP="00EE42EB" w:rsidRDefault="00EE42EB" w14:paraId="2FA0217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Infrastruktur, Städte und Digitalisierung</w:t>
      </w:r>
    </w:p>
    <w:p w:rsidRPr="00EE42EB" w:rsidR="00EE42EB" w:rsidP="00EE42EB" w:rsidRDefault="00EE42EB" w14:paraId="2D314CCB"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Um Fortschritte auf dem Weg zur 2030-Agenda zu machen, ist es notwendig:</w:t>
      </w:r>
    </w:p>
    <w:p w:rsidRPr="00EE42EB" w:rsidR="00EE42EB" w:rsidP="00EE42EB" w:rsidRDefault="00EE42EB" w14:paraId="575BCACE" w14:textId="77777777">
      <w:pPr>
        <w:numPr>
          <w:ilvl w:val="0"/>
          <w:numId w:val="41"/>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eine </w:t>
      </w:r>
      <w:r w:rsidRPr="00EE42EB">
        <w:rPr>
          <w:rFonts w:ascii="Times New Roman" w:hAnsi="Times New Roman" w:eastAsia="Times New Roman" w:cs="Times New Roman"/>
          <w:color w:val="000000"/>
          <w:sz w:val="27"/>
          <w:szCs w:val="27"/>
          <w:lang w:eastAsia="de-DE"/>
        </w:rPr>
        <w:t xml:space="preserve">widerstandsfähige </w:t>
      </w:r>
      <w:r w:rsidRPr="00EE42EB">
        <w:rPr>
          <w:rFonts w:ascii="Times New Roman" w:hAnsi="Times New Roman" w:eastAsia="Times New Roman" w:cs="Times New Roman"/>
          <w:color w:val="000000"/>
          <w:sz w:val="27"/>
          <w:szCs w:val="27"/>
          <w:lang w:eastAsia="de-DE"/>
        </w:rPr>
        <w:t xml:space="preserve">Infrastruktur </w:t>
      </w:r>
      <w:r w:rsidRPr="00EE42EB">
        <w:rPr>
          <w:rFonts w:ascii="Times New Roman" w:hAnsi="Times New Roman" w:eastAsia="Times New Roman" w:cs="Times New Roman"/>
          <w:color w:val="000000"/>
          <w:sz w:val="27"/>
          <w:szCs w:val="27"/>
          <w:lang w:eastAsia="de-DE"/>
        </w:rPr>
        <w:t xml:space="preserve">aufbauen</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7780307A" w14:textId="77777777">
      <w:pPr>
        <w:numPr>
          <w:ilvl w:val="0"/>
          <w:numId w:val="41"/>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eine nachhaltige Industrialisierung zu fördern, die allen zugute kommt; und</w:t>
      </w:r>
    </w:p>
    <w:p w:rsidRPr="00EE42EB" w:rsidR="00EE42EB" w:rsidP="00EE42EB" w:rsidRDefault="00EE42EB" w14:paraId="0BD0AAE4" w14:textId="77777777">
      <w:pPr>
        <w:numPr>
          <w:ilvl w:val="0"/>
          <w:numId w:val="41"/>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Innovationen </w:t>
      </w:r>
      <w:r w:rsidRPr="00EE42EB">
        <w:rPr>
          <w:rFonts w:ascii="Times New Roman" w:hAnsi="Times New Roman" w:eastAsia="Times New Roman" w:cs="Times New Roman"/>
          <w:color w:val="000000"/>
          <w:sz w:val="27"/>
          <w:szCs w:val="27"/>
          <w:lang w:eastAsia="de-DE"/>
        </w:rPr>
        <w:t xml:space="preserve">zu fördern </w:t>
      </w:r>
      <w:r w:rsidRPr="00EE42EB">
        <w:rPr>
          <w:rFonts w:ascii="Times New Roman" w:hAnsi="Times New Roman" w:eastAsia="Times New Roman" w:cs="Times New Roman"/>
          <w:color w:val="000000"/>
          <w:sz w:val="27"/>
          <w:szCs w:val="27"/>
          <w:lang w:eastAsia="de-DE"/>
        </w:rPr>
        <w:t xml:space="preserve">(</w:t>
      </w:r>
      <w:hyperlink w:history="1" r:id="rId157">
        <w:r w:rsidRPr="00EE42EB">
          <w:rPr>
            <w:rFonts w:ascii="Times New Roman" w:hAnsi="Times New Roman" w:eastAsia="Times New Roman" w:cs="Times New Roman"/>
            <w:color w:val="0000FF"/>
            <w:sz w:val="27"/>
            <w:szCs w:val="27"/>
            <w:u w:val="single"/>
            <w:lang w:eastAsia="de-DE"/>
          </w:rPr>
          <w:t xml:space="preserve">MDG 9</w:t>
        </w:r>
      </w:hyperlink>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5F3895F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w:t>
      </w:r>
      <w:r w:rsidRPr="00EE42EB">
        <w:rPr>
          <w:rFonts w:ascii="Times New Roman" w:hAnsi="Times New Roman" w:eastAsia="Times New Roman" w:cs="Times New Roman"/>
          <w:color w:val="000000"/>
          <w:sz w:val="27"/>
          <w:szCs w:val="27"/>
          <w:lang w:val="fr-FR" w:eastAsia="de-DE"/>
        </w:rPr>
        <w:t xml:space="preserve">derzeitige </w:t>
      </w:r>
      <w:r w:rsidRPr="00EE42EB">
        <w:rPr>
          <w:rFonts w:ascii="Times New Roman" w:hAnsi="Times New Roman" w:eastAsia="Times New Roman" w:cs="Times New Roman"/>
          <w:b/>
          <w:bCs/>
          <w:color w:val="000000"/>
          <w:sz w:val="27"/>
          <w:szCs w:val="27"/>
          <w:lang w:val="fr-FR" w:eastAsia="de-DE"/>
        </w:rPr>
        <w:t xml:space="preserve">digitale Transformation eröffnet </w:t>
      </w:r>
      <w:r w:rsidRPr="00EE42EB">
        <w:rPr>
          <w:rFonts w:ascii="Times New Roman" w:hAnsi="Times New Roman" w:eastAsia="Times New Roman" w:cs="Times New Roman"/>
          <w:color w:val="000000"/>
          <w:sz w:val="27"/>
          <w:szCs w:val="27"/>
          <w:lang w:val="fr-FR" w:eastAsia="de-DE"/>
        </w:rPr>
        <w:t xml:space="preserve">neue Möglichkeiten, um die Schaffung von Arbeitsplätzen zu erhöhen und den Zugang zu hochwertigen Basisdienstleistungen zu beschleunigen, sowie die Transparenz und Rechenschaftspflicht der Regierung zu verbessern und die Demokratie zu stärken. Eine Voraussetzung für die Unterstützung der Erreichung von MDG 9 ist eine gute Konnektivität und Regulierung.</w:t>
      </w:r>
    </w:p>
    <w:p w:rsidRPr="00EE42EB" w:rsidR="00EE42EB" w:rsidP="00EE42EB" w:rsidRDefault="00EE42EB" w14:paraId="18DDF3D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lastRenderedPageBreak/>
        <w:t xml:space="preserve">Die EU hilft bei der Koordinierung der </w:t>
      </w:r>
      <w:hyperlink w:history="1" r:id="rId158">
        <w:r w:rsidRPr="00EE42EB">
          <w:rPr>
            <w:rFonts w:ascii="Times New Roman" w:hAnsi="Times New Roman" w:eastAsia="Times New Roman" w:cs="Times New Roman"/>
            <w:color w:val="0000FF"/>
            <w:sz w:val="27"/>
            <w:szCs w:val="27"/>
            <w:u w:val="single"/>
            <w:lang w:val="fr-FR" w:eastAsia="de-DE"/>
          </w:rPr>
          <w:t xml:space="preserve">gemeinsamen Afrika-EU-Infrastrukturstrategie </w:t>
        </w:r>
      </w:hyperlink>
      <w:r w:rsidRPr="00EE42EB">
        <w:rPr>
          <w:rFonts w:ascii="Times New Roman" w:hAnsi="Times New Roman" w:eastAsia="Times New Roman" w:cs="Times New Roman"/>
          <w:color w:val="000000"/>
          <w:sz w:val="27"/>
          <w:szCs w:val="27"/>
          <w:lang w:val="fr-FR" w:eastAsia="de-DE"/>
        </w:rPr>
        <w:t xml:space="preserve">und ist im Vorstand des African Transport Policy Programme vertreten, das die Politik und Strategie der afrikanischen Regierungen und regionalen Wirtschaftsgemeinschaften unterstützt.</w:t>
      </w:r>
    </w:p>
    <w:p w:rsidRPr="00EE42EB" w:rsidR="00EE42EB" w:rsidP="00EE42EB" w:rsidRDefault="00EE42EB" w14:paraId="15E0EB3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w:t>
      </w:r>
      <w:r w:rsidRPr="00EE42EB">
        <w:rPr>
          <w:rFonts w:ascii="Times New Roman" w:hAnsi="Times New Roman" w:eastAsia="Times New Roman" w:cs="Times New Roman"/>
          <w:b/>
          <w:bCs/>
          <w:color w:val="000000"/>
          <w:sz w:val="27"/>
          <w:szCs w:val="27"/>
          <w:lang w:val="fr-FR" w:eastAsia="de-DE"/>
        </w:rPr>
        <w:t xml:space="preserve">rasante Urbanisierung</w:t>
      </w:r>
      <w:r w:rsidRPr="00EE42EB">
        <w:rPr>
          <w:rFonts w:ascii="Times New Roman" w:hAnsi="Times New Roman" w:eastAsia="Times New Roman" w:cs="Times New Roman"/>
          <w:color w:val="000000"/>
          <w:sz w:val="27"/>
          <w:szCs w:val="27"/>
          <w:lang w:val="fr-FR" w:eastAsia="de-DE"/>
        </w:rPr>
        <w:t xml:space="preserve">, insbesondere in Asien und Afrika, stellt die Entwicklung vor große Herausforderungen. Im Jahr 2017 wurde das </w:t>
      </w:r>
      <w:hyperlink w:history="1" r:id="rId159">
        <w:r w:rsidRPr="00EE42EB">
          <w:rPr>
            <w:rFonts w:ascii="Times New Roman" w:hAnsi="Times New Roman" w:eastAsia="Times New Roman" w:cs="Times New Roman"/>
            <w:color w:val="0000FF"/>
            <w:sz w:val="27"/>
            <w:szCs w:val="27"/>
            <w:u w:val="single"/>
            <w:lang w:val="fr-FR" w:eastAsia="de-DE"/>
          </w:rPr>
          <w:t xml:space="preserve">Programm "International Urban Cooperation" </w:t>
        </w:r>
      </w:hyperlink>
      <w:r w:rsidRPr="00EE42EB">
        <w:rPr>
          <w:rFonts w:ascii="Times New Roman" w:hAnsi="Times New Roman" w:eastAsia="Times New Roman" w:cs="Times New Roman"/>
          <w:color w:val="000000"/>
          <w:sz w:val="27"/>
          <w:szCs w:val="27"/>
          <w:lang w:val="fr-FR" w:eastAsia="de-DE"/>
        </w:rPr>
        <w:t xml:space="preserve">entwickelt, das </w:t>
      </w:r>
      <w:r w:rsidRPr="00EE42EB">
        <w:rPr>
          <w:rFonts w:ascii="Times New Roman" w:hAnsi="Times New Roman" w:eastAsia="Times New Roman" w:cs="Times New Roman"/>
          <w:color w:val="000000"/>
          <w:sz w:val="27"/>
          <w:szCs w:val="27"/>
          <w:lang w:val="fr-FR" w:eastAsia="de-DE"/>
        </w:rPr>
        <w:t xml:space="preserve">den Austausch bewährter städtischer Praktiken zwischen EU-Städten und Städten in strategischen Partnerländern wie Indien und China ermöglicht. In diesem Jahr wurde auch ein spezielles Investitionsfenster für "nachhaltige Städte" (</w:t>
      </w:r>
      <w:hyperlink w:history="1" r:id="rId160">
        <w:r w:rsidRPr="00EE42EB">
          <w:rPr>
            <w:rFonts w:ascii="Times New Roman" w:hAnsi="Times New Roman" w:eastAsia="Times New Roman" w:cs="Times New Roman"/>
            <w:color w:val="0000FF"/>
            <w:sz w:val="27"/>
            <w:szCs w:val="27"/>
            <w:u w:val="single"/>
            <w:lang w:val="fr-FR" w:eastAsia="de-DE"/>
          </w:rPr>
          <w:t xml:space="preserve">SDG 11</w:t>
        </w:r>
      </w:hyperlink>
      <w:r w:rsidRPr="00EE42EB">
        <w:rPr>
          <w:rFonts w:ascii="Times New Roman" w:hAnsi="Times New Roman" w:eastAsia="Times New Roman" w:cs="Times New Roman"/>
          <w:color w:val="000000"/>
          <w:sz w:val="27"/>
          <w:szCs w:val="27"/>
          <w:lang w:val="fr-FR" w:eastAsia="de-DE"/>
        </w:rPr>
        <w:t xml:space="preserve">) </w:t>
      </w:r>
      <w:r w:rsidRPr="00EE42EB">
        <w:rPr>
          <w:rFonts w:ascii="Times New Roman" w:hAnsi="Times New Roman" w:eastAsia="Times New Roman" w:cs="Times New Roman"/>
          <w:color w:val="000000"/>
          <w:sz w:val="27"/>
          <w:szCs w:val="27"/>
          <w:lang w:val="fr-FR" w:eastAsia="de-DE"/>
        </w:rPr>
        <w:t xml:space="preserve">in den IAP aufgenommen.</w:t>
      </w:r>
    </w:p>
    <w:p w:rsidRPr="00EE42EB" w:rsidR="00EE42EB" w:rsidP="00EE42EB" w:rsidRDefault="00EE42EB" w14:paraId="70AC112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Frieden</w:t>
      </w:r>
    </w:p>
    <w:p w:rsidRPr="00EE42EB" w:rsidR="00EE42EB" w:rsidP="00EE42EB" w:rsidRDefault="00EE42EB" w14:paraId="141A777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Demokratie, Menschenrechte, gute Regierungsführung</w:t>
      </w:r>
    </w:p>
    <w:p w:rsidRPr="00EE42EB" w:rsidR="00EE42EB" w:rsidP="00EE42EB" w:rsidRDefault="00EE42EB" w14:paraId="5665943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w:t>
      </w:r>
      <w:r w:rsidRPr="00EE42EB">
        <w:rPr>
          <w:rFonts w:ascii="Times New Roman" w:hAnsi="Times New Roman" w:eastAsia="Times New Roman" w:cs="Times New Roman"/>
          <w:color w:val="000000"/>
          <w:sz w:val="27"/>
          <w:szCs w:val="27"/>
          <w:lang w:val="fr-FR" w:eastAsia="de-DE"/>
        </w:rPr>
        <w:t xml:space="preserve">EU gründet sich auf die Grundwerte der Achtung der Demokratie, der Rechtsstaatlichkeit und der Menschenrechte (</w:t>
      </w:r>
      <w:hyperlink w:history="1" r:id="rId161">
        <w:r w:rsidRPr="00EE42EB">
          <w:rPr>
            <w:rFonts w:ascii="Times New Roman" w:hAnsi="Times New Roman" w:eastAsia="Times New Roman" w:cs="Times New Roman"/>
            <w:color w:val="0000FF"/>
            <w:sz w:val="27"/>
            <w:szCs w:val="27"/>
            <w:u w:val="single"/>
            <w:lang w:val="fr-FR" w:eastAsia="de-DE"/>
          </w:rPr>
          <w:t xml:space="preserve">Artikel 2 </w:t>
        </w:r>
      </w:hyperlink>
      <w:r w:rsidRPr="00EE42EB">
        <w:rPr>
          <w:rFonts w:ascii="Times New Roman" w:hAnsi="Times New Roman" w:eastAsia="Times New Roman" w:cs="Times New Roman"/>
          <w:color w:val="000000"/>
          <w:sz w:val="27"/>
          <w:szCs w:val="27"/>
          <w:lang w:val="fr-FR" w:eastAsia="de-DE"/>
        </w:rPr>
        <w:t xml:space="preserve">EUV). Die Förderung dieser Werte ist eine Schlüsselpriorität in den Außenbeziehungen (</w:t>
      </w:r>
      <w:hyperlink w:history="1" r:id="rId162">
        <w:r w:rsidRPr="00EE42EB">
          <w:rPr>
            <w:rFonts w:ascii="Times New Roman" w:hAnsi="Times New Roman" w:eastAsia="Times New Roman" w:cs="Times New Roman"/>
            <w:color w:val="0000FF"/>
            <w:sz w:val="27"/>
            <w:szCs w:val="27"/>
            <w:u w:val="single"/>
            <w:lang w:val="fr-FR" w:eastAsia="de-DE"/>
          </w:rPr>
          <w:t xml:space="preserve">Artikel 21 </w:t>
        </w:r>
      </w:hyperlink>
      <w:r w:rsidRPr="00EE42EB">
        <w:rPr>
          <w:rFonts w:ascii="Times New Roman" w:hAnsi="Times New Roman" w:eastAsia="Times New Roman" w:cs="Times New Roman"/>
          <w:color w:val="000000"/>
          <w:sz w:val="27"/>
          <w:szCs w:val="27"/>
          <w:lang w:val="fr-FR" w:eastAsia="de-DE"/>
        </w:rPr>
        <w:t xml:space="preserve">EUV), die in der globalen Strategie der EU (EUMS) ihren Niederschlag gefunden hat. Durch ihre Entwicklungshilfeprogramme unterstützt die Union die Partnerländer bei der Umsetzung von </w:t>
      </w:r>
      <w:hyperlink w:history="1" r:id="rId163">
        <w:r w:rsidRPr="00EE42EB">
          <w:rPr>
            <w:rFonts w:ascii="Times New Roman" w:hAnsi="Times New Roman" w:eastAsia="Times New Roman" w:cs="Times New Roman"/>
            <w:color w:val="0000FF"/>
            <w:sz w:val="27"/>
            <w:szCs w:val="27"/>
            <w:u w:val="single"/>
            <w:lang w:val="fr-FR" w:eastAsia="de-DE"/>
          </w:rPr>
          <w:t xml:space="preserve">MDG 16 </w:t>
        </w:r>
      </w:hyperlink>
      <w:r w:rsidRPr="00EE42EB">
        <w:rPr>
          <w:rFonts w:ascii="Times New Roman" w:hAnsi="Times New Roman" w:eastAsia="Times New Roman" w:cs="Times New Roman"/>
          <w:color w:val="000000"/>
          <w:sz w:val="27"/>
          <w:szCs w:val="27"/>
          <w:lang w:val="fr-FR" w:eastAsia="de-DE"/>
        </w:rPr>
        <w:t xml:space="preserve">zu </w:t>
      </w:r>
      <w:hyperlink w:history="1" r:id="rId164">
        <w:r w:rsidRPr="00EE42EB">
          <w:rPr>
            <w:rFonts w:ascii="Times New Roman" w:hAnsi="Times New Roman" w:eastAsia="Times New Roman" w:cs="Times New Roman"/>
            <w:color w:val="0000FF"/>
            <w:sz w:val="27"/>
            <w:szCs w:val="27"/>
            <w:u w:val="single"/>
            <w:lang w:val="fr-FR" w:eastAsia="de-DE"/>
          </w:rPr>
          <w:t xml:space="preserve">Demokratie</w:t>
        </w:r>
      </w:hyperlink>
      <w:r w:rsidRPr="00EE42EB">
        <w:rPr>
          <w:rFonts w:ascii="Times New Roman" w:hAnsi="Times New Roman" w:eastAsia="Times New Roman" w:cs="Times New Roman"/>
          <w:color w:val="000000"/>
          <w:sz w:val="27"/>
          <w:szCs w:val="27"/>
          <w:lang w:val="fr-FR" w:eastAsia="de-DE"/>
        </w:rPr>
        <w:t xml:space="preserve">, Zugang zur Justiz, Korruptionsbekämpfung, </w:t>
      </w:r>
      <w:hyperlink w:history="1" r:id="rId165">
        <w:r w:rsidRPr="00EE42EB">
          <w:rPr>
            <w:rFonts w:ascii="Times New Roman" w:hAnsi="Times New Roman" w:eastAsia="Times New Roman" w:cs="Times New Roman"/>
            <w:color w:val="0000FF"/>
            <w:sz w:val="27"/>
            <w:szCs w:val="27"/>
            <w:u w:val="single"/>
            <w:lang w:val="fr-FR" w:eastAsia="de-DE"/>
          </w:rPr>
          <w:t xml:space="preserve">Menschenrechten </w:t>
        </w:r>
      </w:hyperlink>
      <w:r w:rsidRPr="00EE42EB">
        <w:rPr>
          <w:rFonts w:ascii="Times New Roman" w:hAnsi="Times New Roman" w:eastAsia="Times New Roman" w:cs="Times New Roman"/>
          <w:color w:val="000000"/>
          <w:sz w:val="27"/>
          <w:szCs w:val="27"/>
          <w:lang w:val="fr-FR" w:eastAsia="de-DE"/>
        </w:rPr>
        <w:t xml:space="preserve">und guter Regierungsführung. Zu den Aktivitäten, die in Partnerschaft mit den Regierungen von Drittländern durchgeführt werden, gehören Wahlhilfe und Unterstützung von Reformen in den Bereichen Demokratie, Justiz und Korruptionsbekämpfung sowie die Förderung der Unabhängigkeit der Medien und der Grundfreiheiten.</w:t>
      </w:r>
    </w:p>
    <w:p w:rsidRPr="00EE42EB" w:rsidR="00EE42EB" w:rsidP="00EE42EB" w:rsidRDefault="00EE42EB" w14:paraId="11F35A6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Darüber hinaus spielt die EU auf globaler Ebene eine führende Rolle durch ihr </w:t>
      </w:r>
      <w:hyperlink w:history="1" r:id="rId166">
        <w:r w:rsidRPr="00EE42EB">
          <w:rPr>
            <w:rFonts w:ascii="Times New Roman" w:hAnsi="Times New Roman" w:eastAsia="Times New Roman" w:cs="Times New Roman"/>
            <w:color w:val="0000FF"/>
            <w:sz w:val="27"/>
            <w:szCs w:val="27"/>
            <w:u w:val="single"/>
            <w:lang w:val="fr-FR" w:eastAsia="de-DE"/>
          </w:rPr>
          <w:t xml:space="preserve">Europäisches Instrument für Demokratie und Menschenrechte</w:t>
        </w:r>
      </w:hyperlink>
      <w:r w:rsidRPr="00EE42EB">
        <w:rPr>
          <w:rFonts w:ascii="Times New Roman" w:hAnsi="Times New Roman" w:eastAsia="Times New Roman" w:cs="Times New Roman"/>
          <w:color w:val="000000"/>
          <w:sz w:val="27"/>
          <w:szCs w:val="27"/>
          <w:lang w:val="fr-FR" w:eastAsia="de-DE"/>
        </w:rPr>
        <w:t xml:space="preserve">, dessen Prioritäten sich am EU-Aktionsplan für Menschenrechte und Demokratie (2014-2019) orientieren. Dieses Instrument konzentriert sich auf die Stärkung internationaler Menschenrechtsgerichtshöfe und -tribunale und richtet sich in erster Linie an die Zivilgesellschaft und unabhängige Überwachungsorgane, um die Förderung und den Schutz von Menschenrechten und Demokratie zu gewährleisten.</w:t>
      </w:r>
    </w:p>
    <w:p w:rsidRPr="00EE42EB" w:rsidR="00EE42EB" w:rsidP="00EE42EB" w:rsidRDefault="00EE42EB" w14:paraId="3FE0984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So ermöglicht das Europäische Instrument für Demokratie und Menschenrechte Sofortmaßnahmen und vertrauliche Projekte zum Schutz von Menschenrechtsorganisationen und -verteidigern, die in den schwierigsten Kontexten tätig sind.</w:t>
      </w:r>
    </w:p>
    <w:p w:rsidRPr="00EE42EB" w:rsidR="00EE42EB" w:rsidP="00EE42EB" w:rsidRDefault="00EE42EB" w14:paraId="263FD59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Die </w:t>
      </w:r>
      <w:r w:rsidRPr="00EE42EB">
        <w:rPr>
          <w:rFonts w:ascii="Times New Roman" w:hAnsi="Times New Roman" w:eastAsia="Times New Roman" w:cs="Times New Roman"/>
          <w:color w:val="000000"/>
          <w:sz w:val="27"/>
          <w:szCs w:val="27"/>
          <w:lang w:val="fr-FR" w:eastAsia="de-DE"/>
        </w:rPr>
        <w:t xml:space="preserve">EU-Delegationen erhalten gezielte Unterstützung beim </w:t>
      </w:r>
      <w:r w:rsidRPr="00EE42EB">
        <w:rPr>
          <w:rFonts w:ascii="Times New Roman" w:hAnsi="Times New Roman" w:eastAsia="Times New Roman" w:cs="Times New Roman"/>
          <w:b/>
          <w:bCs/>
          <w:color w:val="000000"/>
          <w:sz w:val="27"/>
          <w:szCs w:val="27"/>
          <w:lang w:val="fr-FR" w:eastAsia="de-DE"/>
        </w:rPr>
        <w:t xml:space="preserve">Aufbau von Kapazitäten zur Förderung der Menschenrechte. </w:t>
      </w:r>
      <w:r w:rsidRPr="00EE42EB">
        <w:rPr>
          <w:rFonts w:ascii="Times New Roman" w:hAnsi="Times New Roman" w:eastAsia="Times New Roman" w:cs="Times New Roman"/>
          <w:color w:val="000000"/>
          <w:sz w:val="27"/>
          <w:szCs w:val="27"/>
          <w:lang w:val="fr-FR" w:eastAsia="de-DE"/>
        </w:rPr>
        <w:t xml:space="preserve">Die </w:t>
      </w:r>
      <w:r w:rsidRPr="00EE42EB">
        <w:rPr>
          <w:rFonts w:ascii="Times New Roman" w:hAnsi="Times New Roman" w:eastAsia="Times New Roman" w:cs="Times New Roman"/>
          <w:b/>
          <w:bCs/>
          <w:color w:val="000000"/>
          <w:sz w:val="27"/>
          <w:szCs w:val="27"/>
          <w:lang w:val="fr-FR" w:eastAsia="de-DE"/>
        </w:rPr>
        <w:t xml:space="preserve">freie Meinungsäußerung wird zum </w:t>
      </w:r>
      <w:r w:rsidRPr="00EE42EB">
        <w:rPr>
          <w:rFonts w:ascii="Times New Roman" w:hAnsi="Times New Roman" w:eastAsia="Times New Roman" w:cs="Times New Roman"/>
          <w:color w:val="000000"/>
          <w:sz w:val="27"/>
          <w:szCs w:val="27"/>
          <w:lang w:val="fr-FR" w:eastAsia="de-DE"/>
        </w:rPr>
        <w:t xml:space="preserve">Beispiel durch zwei Programme unterstützt:</w:t>
      </w:r>
    </w:p>
    <w:p w:rsidRPr="00EE42EB" w:rsidR="00EE42EB" w:rsidP="00EE42EB" w:rsidRDefault="00EE42EB" w14:paraId="79F18885" w14:textId="77777777">
      <w:pPr>
        <w:numPr>
          <w:ilvl w:val="0"/>
          <w:numId w:val="42"/>
        </w:numPr>
        <w:spacing w:before="240" w:after="240" w:line="240" w:lineRule="auto"/>
        <w:ind w:start="1200"/>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eastAsia="de-DE"/>
        </w:rPr>
        <w:t xml:space="preserve">Unterstützung der </w:t>
      </w:r>
      <w:r w:rsidRPr="00EE42EB">
        <w:rPr>
          <w:rFonts w:ascii="Times New Roman" w:hAnsi="Times New Roman" w:eastAsia="Times New Roman" w:cs="Times New Roman"/>
          <w:color w:val="000000"/>
          <w:sz w:val="27"/>
          <w:szCs w:val="27"/>
          <w:lang w:eastAsia="de-DE"/>
        </w:rPr>
        <w:t xml:space="preserve">Demokratie; und</w:t>
      </w:r>
    </w:p>
    <w:p w:rsidRPr="00EE42EB" w:rsidR="00EE42EB" w:rsidP="00EE42EB" w:rsidRDefault="00E52C24" w14:paraId="420F5CE3" w14:textId="77777777">
      <w:pPr>
        <w:numPr>
          <w:ilvl w:val="0"/>
          <w:numId w:val="42"/>
        </w:numPr>
        <w:spacing w:before="240" w:after="240" w:line="240" w:lineRule="auto"/>
        <w:ind w:start="1200"/>
        <w:rPr>
          <w:rFonts w:ascii="Times New Roman" w:hAnsi="Times New Roman" w:eastAsia="Times New Roman" w:cs="Times New Roman"/>
          <w:color w:val="000000"/>
          <w:sz w:val="27"/>
          <w:szCs w:val="27"/>
          <w:lang w:eastAsia="de-DE"/>
        </w:rPr>
      </w:pPr>
      <w:hyperlink w:history="1" r:id="rId167">
        <w:r w:rsidRPr="00EE42EB" w:rsidR="00EE42EB">
          <w:rPr>
            <w:rFonts w:ascii="Times New Roman" w:hAnsi="Times New Roman" w:eastAsia="Times New Roman" w:cs="Times New Roman"/>
            <w:color w:val="0000FF"/>
            <w:sz w:val="27"/>
            <w:szCs w:val="27"/>
            <w:u w:val="single"/>
            <w:lang w:eastAsia="de-DE"/>
          </w:rPr>
          <w:t xml:space="preserve">Media4Democracy</w:t>
        </w:r>
      </w:hyperlink>
      <w:r w:rsidRPr="00EE42EB" w:rsid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626B52FE"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i/>
          <w:iCs/>
          <w:color w:val="000000"/>
          <w:sz w:val="27"/>
          <w:szCs w:val="27"/>
          <w:lang w:eastAsia="de-DE"/>
        </w:rPr>
        <w:t xml:space="preserve">Fragilität </w:t>
      </w:r>
      <w:r w:rsidRPr="00EE42EB">
        <w:rPr>
          <w:rFonts w:ascii="Times New Roman" w:hAnsi="Times New Roman" w:eastAsia="Times New Roman" w:cs="Times New Roman"/>
          <w:i/>
          <w:iCs/>
          <w:color w:val="000000"/>
          <w:sz w:val="27"/>
          <w:szCs w:val="27"/>
          <w:lang w:eastAsia="de-DE"/>
        </w:rPr>
        <w:t xml:space="preserve">und </w:t>
      </w:r>
      <w:r w:rsidRPr="00EE42EB">
        <w:rPr>
          <w:rFonts w:ascii="Times New Roman" w:hAnsi="Times New Roman" w:eastAsia="Times New Roman" w:cs="Times New Roman"/>
          <w:i/>
          <w:iCs/>
          <w:color w:val="000000"/>
          <w:sz w:val="27"/>
          <w:szCs w:val="27"/>
          <w:lang w:eastAsia="de-DE"/>
        </w:rPr>
        <w:t xml:space="preserve">Resilienz</w:t>
      </w:r>
    </w:p>
    <w:p w:rsidRPr="00EE42EB" w:rsidR="00EE42EB" w:rsidP="00EE42EB" w:rsidRDefault="00EE42EB" w14:paraId="4A5BD50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lastRenderedPageBreak/>
        <w:t xml:space="preserve">Im Jahr 2017 hat die EU eine </w:t>
      </w:r>
      <w:hyperlink w:history="1" r:id="rId168">
        <w:r w:rsidRPr="00EE42EB">
          <w:rPr>
            <w:rFonts w:ascii="Times New Roman" w:hAnsi="Times New Roman" w:eastAsia="Times New Roman" w:cs="Times New Roman"/>
            <w:color w:val="0000FF"/>
            <w:sz w:val="27"/>
            <w:szCs w:val="27"/>
            <w:u w:val="single"/>
            <w:lang w:val="fr-FR" w:eastAsia="de-DE"/>
          </w:rPr>
          <w:t xml:space="preserve">Verpflichtung zur Resilienz </w:t>
        </w:r>
      </w:hyperlink>
      <w:r w:rsidRPr="00EE42EB">
        <w:rPr>
          <w:rFonts w:ascii="Times New Roman" w:hAnsi="Times New Roman" w:eastAsia="Times New Roman" w:cs="Times New Roman"/>
          <w:color w:val="000000"/>
          <w:sz w:val="27"/>
          <w:szCs w:val="27"/>
          <w:lang w:val="fr-FR" w:eastAsia="de-DE"/>
        </w:rPr>
        <w:lastRenderedPageBreak/>
        <w:t xml:space="preserve">angenommen</w:t>
      </w:r>
      <w:hyperlink w:history="1" r:id="rId168">
        <w:r w:rsidRPr="00EE42EB">
          <w:rPr>
            <w:rFonts w:ascii="Times New Roman" w:hAnsi="Times New Roman" w:eastAsia="Times New Roman" w:cs="Times New Roman"/>
            <w:color w:val="0000FF"/>
            <w:sz w:val="27"/>
            <w:szCs w:val="27"/>
            <w:u w:val="single"/>
            <w:lang w:val="fr-FR" w:eastAsia="de-DE"/>
          </w:rPr>
          <w:t xml:space="preserve">, die für mehrere Sektoren gilt</w:t>
        </w:r>
      </w:hyperlink>
      <w:r w:rsidRPr="00EE42EB">
        <w:rPr>
          <w:rFonts w:ascii="Times New Roman" w:hAnsi="Times New Roman" w:eastAsia="Times New Roman" w:cs="Times New Roman"/>
          <w:color w:val="000000"/>
          <w:sz w:val="27"/>
          <w:szCs w:val="27"/>
          <w:lang w:val="fr-FR" w:eastAsia="de-DE"/>
        </w:rPr>
        <w:t xml:space="preserve">. In sechs Ländern (Irak, Myanmar/Burma, Nigeria, Uganda, Sudan und Tschad) wurde ein Pilotprozess gestartet, um einen breiteren Ansatz für die Verbindung zwischen humanitärer Hilfe, Entwicklung und Frieden in fragilen Kontexten zu testen.</w:t>
      </w:r>
    </w:p>
    <w:p w:rsidRPr="00EE42EB" w:rsidR="00EE42EB" w:rsidP="00EE42EB" w:rsidRDefault="00EE42EB" w14:paraId="4007756F"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Im Laufe des Jahres 2017 wurden die Arbeiten zur Resilienz und zum Umgang mit Fragilität auch in den folgenden 4 Bereichen vorangetrieben.</w:t>
      </w:r>
    </w:p>
    <w:p w:rsidRPr="00EE42EB" w:rsidR="00EE42EB" w:rsidP="00EE42EB" w:rsidRDefault="00EE42EB" w14:paraId="7930F6A4" w14:textId="77777777">
      <w:pPr>
        <w:numPr>
          <w:ilvl w:val="0"/>
          <w:numId w:val="43"/>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Stärkung des Resilienz-Rahmens, u. a. durch die Verabschiedung der gemeinsamen Mitteilung "Ein strategischer Ansatz für Resilienz im außenpolitischen Handeln der EU".</w:t>
      </w:r>
    </w:p>
    <w:p w:rsidRPr="00EE42EB" w:rsidR="00EE42EB" w:rsidP="00EE42EB" w:rsidRDefault="00EE42EB" w14:paraId="6672F12E" w14:textId="77777777">
      <w:pPr>
        <w:numPr>
          <w:ilvl w:val="0"/>
          <w:numId w:val="43"/>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Entwicklung und Umsetzung eines </w:t>
      </w:r>
      <w:hyperlink w:history="1" r:id="rId169">
        <w:r w:rsidRPr="00EE42EB">
          <w:rPr>
            <w:rFonts w:ascii="Times New Roman" w:hAnsi="Times New Roman" w:eastAsia="Times New Roman" w:cs="Times New Roman"/>
            <w:color w:val="0000FF"/>
            <w:sz w:val="27"/>
            <w:szCs w:val="27"/>
            <w:u w:val="single"/>
            <w:lang w:val="fr-FR" w:eastAsia="de-DE"/>
          </w:rPr>
          <w:t xml:space="preserve">integrierten Konzepts für externe Konflikte und Krisen</w:t>
        </w:r>
      </w:hyperlink>
      <w:r w:rsidRPr="00EE42EB">
        <w:rPr>
          <w:rFonts w:ascii="Times New Roman" w:hAnsi="Times New Roman" w:eastAsia="Times New Roman" w:cs="Times New Roman"/>
          <w:color w:val="000000"/>
          <w:sz w:val="27"/>
          <w:szCs w:val="27"/>
          <w:lang w:val="fr-FR" w:eastAsia="de-DE"/>
        </w:rPr>
        <w:t xml:space="preserve">, das die einschlägigen EU-Institutionen und -Instrumente sowie die EU-Länder für ein besser koordiniertes und kohärenteres außenpolitisches Handeln zusammenführt. Ihr Hauptziel ist es, die Wirkung der EU bei der Verhinderung, Bewältigung und Lösung von Konflikten und Krisen zu erhöhen.</w:t>
      </w:r>
    </w:p>
    <w:p w:rsidRPr="00EE42EB" w:rsidR="00EE42EB" w:rsidP="00EE42EB" w:rsidRDefault="00EE42EB" w14:paraId="629B5870" w14:textId="77777777">
      <w:pPr>
        <w:numPr>
          <w:ilvl w:val="0"/>
          <w:numId w:val="43"/>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Stärkung der Bedeutung von Resilienz in Konflikten und Krisen, u. a. durch staatliche Reformen und resilienzfördernde Verträge, als Teil unserer Budgethilfe-Maßnahmen.</w:t>
      </w:r>
    </w:p>
    <w:p w:rsidRPr="00EE42EB" w:rsidR="00EE42EB" w:rsidP="00EE42EB" w:rsidRDefault="00EE42EB" w14:paraId="7C9C9BA6" w14:textId="77777777">
      <w:pPr>
        <w:numPr>
          <w:ilvl w:val="0"/>
          <w:numId w:val="43"/>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Unterstützung des </w:t>
      </w:r>
      <w:hyperlink w:history="1" r:id="rId170">
        <w:r w:rsidRPr="00EE42EB">
          <w:rPr>
            <w:rFonts w:ascii="Times New Roman" w:hAnsi="Times New Roman" w:eastAsia="Times New Roman" w:cs="Times New Roman"/>
            <w:color w:val="0000FF"/>
            <w:sz w:val="27"/>
            <w:szCs w:val="27"/>
            <w:u w:val="single"/>
            <w:lang w:val="fr-FR" w:eastAsia="de-DE"/>
          </w:rPr>
          <w:t xml:space="preserve">internationalen Dialogs über Friedenskonsolidierung und Staatsaufbau</w:t>
        </w:r>
      </w:hyperlink>
      <w:r w:rsidRPr="00EE42EB">
        <w:rPr>
          <w:rFonts w:ascii="Times New Roman" w:hAnsi="Times New Roman" w:eastAsia="Times New Roman" w:cs="Times New Roman"/>
          <w:color w:val="000000"/>
          <w:sz w:val="27"/>
          <w:szCs w:val="27"/>
          <w:lang w:val="fr-FR" w:eastAsia="de-DE"/>
        </w:rPr>
        <w:t xml:space="preserve">, der von Regierungen fragiler Staaten und </w:t>
      </w:r>
      <w:hyperlink w:history="1" r:id="rId171">
        <w:r w:rsidRPr="00EE42EB">
          <w:rPr>
            <w:rFonts w:ascii="Times New Roman" w:hAnsi="Times New Roman" w:eastAsia="Times New Roman" w:cs="Times New Roman"/>
            <w:color w:val="0000FF"/>
            <w:sz w:val="27"/>
            <w:szCs w:val="27"/>
            <w:u w:val="single"/>
            <w:lang w:val="fr-FR" w:eastAsia="de-DE"/>
          </w:rPr>
          <w:t xml:space="preserve">zivilgesellschaftlichen Organisationen </w:t>
        </w:r>
      </w:hyperlink>
      <w:r w:rsidRPr="00EE42EB">
        <w:rPr>
          <w:rFonts w:ascii="Times New Roman" w:hAnsi="Times New Roman" w:eastAsia="Times New Roman" w:cs="Times New Roman"/>
          <w:color w:val="000000"/>
          <w:sz w:val="27"/>
          <w:szCs w:val="27"/>
          <w:lang w:val="fr-FR" w:eastAsia="de-DE"/>
        </w:rPr>
        <w:t xml:space="preserve">(CSOs) </w:t>
      </w:r>
      <w:r w:rsidRPr="00EE42EB">
        <w:rPr>
          <w:rFonts w:ascii="Times New Roman" w:hAnsi="Times New Roman" w:eastAsia="Times New Roman" w:cs="Times New Roman"/>
          <w:color w:val="000000"/>
          <w:sz w:val="27"/>
          <w:szCs w:val="27"/>
          <w:lang w:val="fr-FR" w:eastAsia="de-DE"/>
        </w:rPr>
        <w:t xml:space="preserve">geführt wird.</w:t>
      </w:r>
    </w:p>
    <w:p w:rsidRPr="00EE42EB" w:rsidR="00EE42EB" w:rsidP="00EE42EB" w:rsidRDefault="00EE42EB" w14:paraId="1F0C1CC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Sicherheit</w:t>
      </w:r>
    </w:p>
    <w:p w:rsidRPr="00EE42EB" w:rsidR="00EE42EB" w:rsidP="00EE42EB" w:rsidRDefault="00EE42EB" w14:paraId="2EB8C04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Das </w:t>
      </w:r>
      <w:hyperlink w:history="1" r:id="rId172">
        <w:r w:rsidRPr="00EE42EB">
          <w:rPr>
            <w:rFonts w:ascii="Times New Roman" w:hAnsi="Times New Roman" w:eastAsia="Times New Roman" w:cs="Times New Roman"/>
            <w:color w:val="0000FF"/>
            <w:sz w:val="27"/>
            <w:szCs w:val="27"/>
            <w:u w:val="single"/>
            <w:lang w:val="fr-FR" w:eastAsia="de-DE"/>
          </w:rPr>
          <w:t xml:space="preserve">Instrument zur Förderung von Stabilität und Frieden (</w:t>
        </w:r>
        <w:r w:rsidRPr="00EE42EB">
          <w:rPr>
            <w:rFonts w:ascii="Times New Roman" w:hAnsi="Times New Roman" w:eastAsia="Times New Roman" w:cs="Times New Roman"/>
            <w:color w:val="0000FF"/>
            <w:sz w:val="27"/>
            <w:szCs w:val="27"/>
            <w:u w:val="single"/>
            <w:lang w:val="fr-FR" w:eastAsia="de-DE"/>
          </w:rPr>
          <w:t xml:space="preserve">IcSP</w:t>
        </w:r>
        <w:r w:rsidRPr="00EE42EB">
          <w:rPr>
            <w:rFonts w:ascii="Times New Roman" w:hAnsi="Times New Roman" w:eastAsia="Times New Roman" w:cs="Times New Roman"/>
            <w:color w:val="0000FF"/>
            <w:sz w:val="27"/>
            <w:szCs w:val="27"/>
            <w:u w:val="single"/>
            <w:lang w:val="fr-FR" w:eastAsia="de-DE"/>
          </w:rPr>
          <w:t xml:space="preserve">) </w:t>
        </w:r>
      </w:hyperlink>
      <w:r w:rsidRPr="00EE42EB">
        <w:rPr>
          <w:rFonts w:ascii="Times New Roman" w:hAnsi="Times New Roman" w:eastAsia="Times New Roman" w:cs="Times New Roman"/>
          <w:color w:val="000000"/>
          <w:sz w:val="27"/>
          <w:szCs w:val="27"/>
          <w:lang w:val="fr-FR" w:eastAsia="de-DE"/>
        </w:rPr>
        <w:t xml:space="preserve">ist das wichtigste Finanzinstrument der Kommission zur Verbesserung von Stabilität, Frieden und Widerstandsfähigkeit in den Partnerländern. Durch ihre internationale Reichweite und ihren Fokus auf Sicherheit ist sie komplementär zu anderen Finanzinstrumenten, insbesondere wenn bestimmte geografische oder thematische Instrumente, die von Kriterien der öffentlichen Entwicklungshilfe abhängig sind, nicht eingesetzt werden können. Sie kann auch Themen mit überregionalem oder globalem Bezug behandeln. Im Rahmen des programmierbaren Teils des </w:t>
      </w:r>
      <w:r w:rsidRPr="00EE42EB">
        <w:rPr>
          <w:rFonts w:ascii="Times New Roman" w:hAnsi="Times New Roman" w:eastAsia="Times New Roman" w:cs="Times New Roman"/>
          <w:color w:val="000000"/>
          <w:sz w:val="27"/>
          <w:szCs w:val="27"/>
          <w:lang w:val="fr-FR" w:eastAsia="de-DE"/>
        </w:rPr>
        <w:t xml:space="preserve">IcSP</w:t>
      </w:r>
      <w:r w:rsidRPr="00EE42EB">
        <w:rPr>
          <w:rFonts w:ascii="Times New Roman" w:hAnsi="Times New Roman" w:eastAsia="Times New Roman" w:cs="Times New Roman"/>
          <w:color w:val="000000"/>
          <w:sz w:val="27"/>
          <w:szCs w:val="27"/>
          <w:lang w:val="fr-FR" w:eastAsia="de-DE"/>
        </w:rPr>
        <w:t xml:space="preserve">, der von der </w:t>
      </w:r>
      <w:hyperlink w:history="1" r:id="rId173">
        <w:r w:rsidRPr="00EE42EB">
          <w:rPr>
            <w:rFonts w:ascii="Times New Roman" w:hAnsi="Times New Roman" w:eastAsia="Times New Roman" w:cs="Times New Roman"/>
            <w:color w:val="0000FF"/>
            <w:sz w:val="27"/>
            <w:szCs w:val="27"/>
            <w:u w:val="single"/>
            <w:lang w:val="fr-FR" w:eastAsia="de-DE"/>
          </w:rPr>
          <w:t xml:space="preserve">Generaldirektion für internationale Zusammenarbeit und Entwicklung </w:t>
        </w:r>
      </w:hyperlink>
      <w:r w:rsidRPr="00EE42EB">
        <w:rPr>
          <w:rFonts w:ascii="Times New Roman" w:hAnsi="Times New Roman" w:eastAsia="Times New Roman" w:cs="Times New Roman"/>
          <w:color w:val="000000"/>
          <w:sz w:val="27"/>
          <w:szCs w:val="27"/>
          <w:lang w:val="fr-FR" w:eastAsia="de-DE"/>
        </w:rPr>
        <w:t xml:space="preserve">(DEVCO) </w:t>
      </w:r>
      <w:r w:rsidRPr="00EE42EB">
        <w:rPr>
          <w:rFonts w:ascii="Times New Roman" w:hAnsi="Times New Roman" w:eastAsia="Times New Roman" w:cs="Times New Roman"/>
          <w:color w:val="000000"/>
          <w:sz w:val="27"/>
          <w:szCs w:val="27"/>
          <w:lang w:val="fr-FR" w:eastAsia="de-DE"/>
        </w:rPr>
        <w:t xml:space="preserve">verwaltet wird</w:t>
      </w:r>
      <w:r w:rsidRPr="00EE42EB">
        <w:rPr>
          <w:rFonts w:ascii="Times New Roman" w:hAnsi="Times New Roman" w:eastAsia="Times New Roman" w:cs="Times New Roman"/>
          <w:color w:val="000000"/>
          <w:sz w:val="27"/>
          <w:szCs w:val="27"/>
          <w:lang w:val="fr-FR" w:eastAsia="de-DE"/>
        </w:rPr>
        <w:t xml:space="preserve">, gibt es mehr als 260 laufende Projekte, die 70 Ländern zugute kommen. Diese Projekte werden gemeinsam von Agenturen in Partnerländern und EU-Ländern durchgeführt.</w:t>
      </w:r>
    </w:p>
    <w:p w:rsidRPr="00EE42EB" w:rsidR="00EE42EB" w:rsidP="00EE42EB" w:rsidRDefault="00EE42EB" w14:paraId="00B64B2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Sie decken ein breites Spektrum an Themen ab, z.B.: Bekämpfung von gewalttätigem Extremismus; technische Hilfe für Strafverfolgungsbehörden zur Bekämpfung von Terrorismus, chemischen, biologischen, radiologischen und nuklearen Bedrohungen, organisiertem Verbrechen, Drogenhandel oder Geldwäsche; Aufbau von Kapazitäten zur Verbesserung der Justizsysteme oder Schutz kritischer Infrastrukturen. Zu den Unterstützungsinstrumenten können die Schulung von </w:t>
      </w:r>
      <w:r w:rsidRPr="00EE42EB">
        <w:rPr>
          <w:rFonts w:ascii="Times New Roman" w:hAnsi="Times New Roman" w:eastAsia="Times New Roman" w:cs="Times New Roman"/>
          <w:color w:val="000000"/>
          <w:sz w:val="27"/>
          <w:szCs w:val="27"/>
          <w:lang w:val="fr-FR" w:eastAsia="de-DE"/>
        </w:rPr>
        <w:lastRenderedPageBreak/>
        <w:t xml:space="preserve">Ausbildern, Unterstützung vor Ort, grenzüberschreitende Feldübungen, simuliert oder real, und die Entwicklung nationaler Aktionspläne auf der Grundlage von Bedarfs- und Risikobewertungen </w:t>
      </w:r>
      <w:r w:rsidRPr="00EE42EB">
        <w:rPr>
          <w:rFonts w:ascii="Times New Roman" w:hAnsi="Times New Roman" w:eastAsia="Times New Roman" w:cs="Times New Roman"/>
          <w:color w:val="000000"/>
          <w:sz w:val="27"/>
          <w:szCs w:val="27"/>
          <w:lang w:val="fr-FR" w:eastAsia="de-DE"/>
        </w:rPr>
        <w:t xml:space="preserve">gehören.</w:t>
      </w:r>
      <w:r w:rsidRPr="00EE42EB">
        <w:rPr>
          <w:rFonts w:ascii="Times New Roman" w:hAnsi="Times New Roman" w:eastAsia="Times New Roman" w:cs="Times New Roman"/>
          <w:color w:val="000000"/>
          <w:sz w:val="27"/>
          <w:szCs w:val="27"/>
          <w:lang w:val="fr-FR" w:eastAsia="de-DE"/>
        </w:rPr>
        <w:lastRenderedPageBreak/>
        <w:t xml:space="preserve"> Seit Januar 2018 kann die EU den Aufbau von Kapazitäten zur Unterstützung von Sicherheit und Entwicklung (RCSD) fördern. Dies ermöglicht es, den Streitkräften der Partnerländer Ausbildung und Ausrüstung zur Verfügung zu stellen, damit sie unter außergewöhnlichen Umständen Aktivitäten durchführen können, die Entwicklungsziele unterstützen.</w:t>
      </w:r>
    </w:p>
    <w:p w:rsidRPr="00EE42EB" w:rsidR="00EE42EB" w:rsidP="00EE42EB" w:rsidRDefault="00EE42EB" w14:paraId="6C6DD05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Mit seinem multidimensionalen Ansatz, der sowohl vorsätzliche (Terrorismus, Kriminalität) als auch unfallbedingte (Seveso, Fukushima) und umweltbedingte (Ebola) Risiken abdeckt, </w:t>
      </w:r>
      <w:r w:rsidRPr="00EE42EB">
        <w:rPr>
          <w:rFonts w:ascii="Times New Roman" w:hAnsi="Times New Roman" w:eastAsia="Times New Roman" w:cs="Times New Roman"/>
          <w:color w:val="000000"/>
          <w:sz w:val="27"/>
          <w:szCs w:val="27"/>
          <w:lang w:val="fr-FR" w:eastAsia="de-DE"/>
        </w:rPr>
        <w:t xml:space="preserve">trägt </w:t>
      </w:r>
      <w:r w:rsidRPr="00EE42EB">
        <w:rPr>
          <w:rFonts w:ascii="Times New Roman" w:hAnsi="Times New Roman" w:eastAsia="Times New Roman" w:cs="Times New Roman"/>
          <w:color w:val="000000"/>
          <w:sz w:val="27"/>
          <w:szCs w:val="27"/>
          <w:lang w:val="fr-FR" w:eastAsia="de-DE"/>
        </w:rPr>
        <w:t xml:space="preserve">das </w:t>
      </w:r>
      <w:r w:rsidRPr="00EE42EB">
        <w:rPr>
          <w:rFonts w:ascii="Times New Roman" w:hAnsi="Times New Roman" w:eastAsia="Times New Roman" w:cs="Times New Roman"/>
          <w:color w:val="000000"/>
          <w:sz w:val="27"/>
          <w:szCs w:val="27"/>
          <w:lang w:val="fr-FR" w:eastAsia="de-DE"/>
        </w:rPr>
        <w:t xml:space="preserve">IcSP </w:t>
      </w:r>
      <w:r w:rsidRPr="00EE42EB">
        <w:rPr>
          <w:rFonts w:ascii="Times New Roman" w:hAnsi="Times New Roman" w:eastAsia="Times New Roman" w:cs="Times New Roman"/>
          <w:color w:val="000000"/>
          <w:sz w:val="27"/>
          <w:szCs w:val="27"/>
          <w:lang w:val="fr-FR" w:eastAsia="de-DE"/>
        </w:rPr>
        <w:t xml:space="preserve">zu mehreren SDGs der Vereinten Nationen sowie zu zentralen Grundsätzen des Europäischen Konsenses über die Entwicklungspolitik bei, einschließlich wichtiger vorrangiger Maßnahmen in der EU-Nachbarschaft.</w:t>
      </w:r>
    </w:p>
    <w:p w:rsidRPr="00EE42EB" w:rsidR="00EE42EB" w:rsidP="00EE42EB" w:rsidRDefault="00EE42EB" w14:paraId="4BDE63C9"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Nukleare Sicherheit</w:t>
      </w:r>
    </w:p>
    <w:p w:rsidRPr="00EE42EB" w:rsidR="00EE42EB" w:rsidP="00EE42EB" w:rsidRDefault="00EE42EB" w14:paraId="2DA6F4A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Europäische Kommission fördert nicht die Kernenergie, die in der alleinigen Verantwortung einer staatlichen Regierung liegt, aber sie fördert die nukleare Sicherheit. Jeder Atomunfall hat globale Auswirkungen auf die Gesellschaft. Die Zusammenarbeit im Bereich der nuklearen Sicherheit ist daher von größter Bedeutung für die Sicherheit der europäischen Bürger und der Umwelt.</w:t>
      </w:r>
    </w:p>
    <w:p w:rsidRPr="00EE42EB" w:rsidR="00EE42EB" w:rsidP="00EE42EB" w:rsidRDefault="00EE42EB" w14:paraId="7904945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Mit seinem mehrdimensionalen Ansatz, der nukleare Sicherheit, Gesundheit, Umwelt und andere damit zusammenhängende Fragen umfasst, </w:t>
      </w:r>
      <w:r w:rsidRPr="00EE42EB">
        <w:rPr>
          <w:rFonts w:ascii="Times New Roman" w:hAnsi="Times New Roman" w:eastAsia="Times New Roman" w:cs="Times New Roman"/>
          <w:color w:val="000000"/>
          <w:sz w:val="27"/>
          <w:szCs w:val="27"/>
          <w:lang w:val="fr-FR" w:eastAsia="de-DE"/>
        </w:rPr>
        <w:t xml:space="preserve">trägt </w:t>
      </w:r>
      <w:r w:rsidRPr="00EE42EB">
        <w:rPr>
          <w:rFonts w:ascii="Times New Roman" w:hAnsi="Times New Roman" w:eastAsia="Times New Roman" w:cs="Times New Roman"/>
          <w:color w:val="000000"/>
          <w:sz w:val="27"/>
          <w:szCs w:val="27"/>
          <w:lang w:val="fr-FR" w:eastAsia="de-DE"/>
        </w:rPr>
        <w:t xml:space="preserve">das </w:t>
      </w:r>
      <w:hyperlink w:history="1" r:id="rId174">
        <w:r w:rsidRPr="00EE42EB">
          <w:rPr>
            <w:rFonts w:ascii="Times New Roman" w:hAnsi="Times New Roman" w:eastAsia="Times New Roman" w:cs="Times New Roman"/>
            <w:color w:val="0000FF"/>
            <w:sz w:val="27"/>
            <w:szCs w:val="27"/>
            <w:u w:val="single"/>
            <w:lang w:val="fr-FR" w:eastAsia="de-DE"/>
          </w:rPr>
          <w:t xml:space="preserve">Instrument für die Zusammenarbeit im Bereich der nuklearen Sicherheit </w:t>
        </w:r>
      </w:hyperlink>
      <w:r w:rsidRPr="00EE42EB">
        <w:rPr>
          <w:rFonts w:ascii="Times New Roman" w:hAnsi="Times New Roman" w:eastAsia="Times New Roman" w:cs="Times New Roman"/>
          <w:color w:val="000000"/>
          <w:sz w:val="27"/>
          <w:szCs w:val="27"/>
          <w:lang w:val="fr-FR" w:eastAsia="de-DE"/>
        </w:rPr>
        <w:t xml:space="preserve">zu vielen Schlüsselbereichen des Europäischen Konsenses über die Entwicklungspolitik bei, einschließlich wichtiger vorrangiger Maßnahmen in den Nachbarländern der EU, in Zentralasien und im Iran.</w:t>
      </w:r>
    </w:p>
    <w:p w:rsidRPr="00EE42EB" w:rsidR="00EE42EB" w:rsidP="00EE42EB" w:rsidRDefault="00EE42EB" w14:paraId="3FBAC59C"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In der Tat gibt es in der Nachbarschaft der EU einige Herausforderungen, die vor allem Länder betreffen, die sich für die Nutzung der Kernenergie entscheiden, wie Weißrussland und die Türkei, Länder, die die Lebensdauer von Reaktoren verlängern, wie Armenien und die Ukraine, und Länder, die radioaktive Abfälle stilllegen und entsorgen.</w:t>
      </w:r>
    </w:p>
    <w:p w:rsidRPr="00EE42EB" w:rsidR="00EE42EB" w:rsidP="00EE42EB" w:rsidRDefault="00EE42EB" w14:paraId="7B3BD7F2"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Partnerschaften</w:t>
      </w:r>
    </w:p>
    <w:p w:rsidRPr="00EE42EB" w:rsidR="00EE42EB" w:rsidP="00EE42EB" w:rsidRDefault="00EE42EB" w14:paraId="41D85CCB"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75">
        <w:r w:rsidRPr="00EE42EB">
          <w:rPr>
            <w:rFonts w:ascii="Times New Roman" w:hAnsi="Times New Roman" w:eastAsia="Times New Roman" w:cs="Times New Roman"/>
            <w:color w:val="0000FF"/>
            <w:sz w:val="27"/>
            <w:szCs w:val="27"/>
            <w:u w:val="single"/>
            <w:lang w:val="fr-FR" w:eastAsia="de-DE"/>
          </w:rPr>
          <w:t xml:space="preserve">SDG 17 </w:t>
        </w:r>
      </w:hyperlink>
      <w:r w:rsidRPr="00EE42EB">
        <w:rPr>
          <w:rFonts w:ascii="Times New Roman" w:hAnsi="Times New Roman" w:eastAsia="Times New Roman" w:cs="Times New Roman"/>
          <w:color w:val="000000"/>
          <w:sz w:val="27"/>
          <w:szCs w:val="27"/>
          <w:lang w:val="fr-FR" w:eastAsia="de-DE"/>
        </w:rPr>
        <w:t xml:space="preserve">bezieht sich auf die Partnerschaft für Entwicklung und betont die Bedeutung von Multi-Stakeholder- und inklusiven Plattformen als Mittel zur effektiven Umsetzung der 2030-Agenda. Die EU setzt sich für die Verwirklichung von SDG 17 ein, sowohl durch eigene Maßnahmen und externe Ressourcen als auch durch die Beteiligung an der Umsetzung mit anderen Mitteln. Die EU setzt ihre Beteiligung an den Entwicklungsprozessen der Vereinten Nationen fort, insbesondere an der </w:t>
      </w:r>
      <w:hyperlink w:history="1" r:id="rId176">
        <w:r w:rsidRPr="00EE42EB">
          <w:rPr>
            <w:rFonts w:ascii="Times New Roman" w:hAnsi="Times New Roman" w:eastAsia="Times New Roman" w:cs="Times New Roman"/>
            <w:color w:val="0000FF"/>
            <w:sz w:val="27"/>
            <w:szCs w:val="27"/>
            <w:u w:val="single"/>
            <w:lang w:val="fr-FR" w:eastAsia="de-DE"/>
          </w:rPr>
          <w:t xml:space="preserve">Globalen Partnerschaft für wirksame Entwicklungszusammenarbeit (GPEDC)</w:t>
        </w:r>
      </w:hyperlink>
      <w:r w:rsidRPr="00EE42EB">
        <w:rPr>
          <w:rFonts w:ascii="Times New Roman" w:hAnsi="Times New Roman" w:eastAsia="Times New Roman" w:cs="Times New Roman"/>
          <w:color w:val="000000"/>
          <w:sz w:val="27"/>
          <w:szCs w:val="27"/>
          <w:lang w:val="fr-FR" w:eastAsia="de-DE"/>
        </w:rPr>
        <w:t xml:space="preserve">, die derzeit die Wirksamkeit der Entwicklung auf Länderebene überwacht.</w:t>
      </w:r>
    </w:p>
    <w:p w:rsidRPr="00EE42EB" w:rsidR="00EE42EB" w:rsidP="00EE42EB" w:rsidRDefault="00EE42EB" w14:paraId="246CB79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Zusammenarbeit mit der Zivilgesellschaft</w:t>
      </w:r>
    </w:p>
    <w:p w:rsidRPr="00EE42EB" w:rsidR="00EE42EB" w:rsidP="00EE42EB" w:rsidRDefault="00EE42EB" w14:paraId="79CB8ED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Mit der Verabschiedung der </w:t>
      </w:r>
      <w:hyperlink w:history="1" r:id="rId177">
        <w:r w:rsidRPr="00EE42EB">
          <w:rPr>
            <w:rFonts w:ascii="Times New Roman" w:hAnsi="Times New Roman" w:eastAsia="Times New Roman" w:cs="Times New Roman"/>
            <w:color w:val="0000FF"/>
            <w:sz w:val="27"/>
            <w:szCs w:val="27"/>
            <w:u w:val="single"/>
            <w:lang w:val="fr-FR" w:eastAsia="de-DE"/>
          </w:rPr>
          <w:t xml:space="preserve">Mitteilung von 2012 </w:t>
        </w:r>
      </w:hyperlink>
      <w:r w:rsidRPr="00EE42EB">
        <w:rPr>
          <w:rFonts w:ascii="Times New Roman" w:hAnsi="Times New Roman" w:eastAsia="Times New Roman" w:cs="Times New Roman"/>
          <w:color w:val="000000"/>
          <w:sz w:val="27"/>
          <w:szCs w:val="27"/>
          <w:lang w:val="fr-FR" w:eastAsia="de-DE"/>
        </w:rPr>
        <w:t xml:space="preserve">erkennt die Europäische Kommission zivilgesellschaftliche Organisationen (CSOs) als Akteure in der Governance an, </w:t>
      </w:r>
      <w:r w:rsidRPr="00EE42EB">
        <w:rPr>
          <w:rFonts w:ascii="Times New Roman" w:hAnsi="Times New Roman" w:eastAsia="Times New Roman" w:cs="Times New Roman"/>
          <w:color w:val="000000"/>
          <w:sz w:val="27"/>
          <w:szCs w:val="27"/>
          <w:lang w:val="fr-FR" w:eastAsia="de-DE"/>
        </w:rPr>
        <w:lastRenderedPageBreak/>
        <w:t xml:space="preserve">nicht nur als Dienstleistungsanbieter. Zur Umsetzung der SDGs verfolgt die EU auch einen inklusiven und umfassenden Ansatz, der die gesamte Gesellschaft erreicht, indem sie ihr Engagement auf nicht-konventionelle CSOs wie Stiftungen, Diaspora, Gewerkschaften, Berufsverbände usw. ausweitet. Vor allem Stiftungen spielen dabei eine wachsende und einflussreiche Rolle.</w:t>
      </w:r>
    </w:p>
    <w:p w:rsidRPr="00EE42EB" w:rsidR="00EE42EB" w:rsidP="00EE42EB" w:rsidRDefault="00EE42EB" w14:paraId="1132D0E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Europäische Kommission hat den Dialog und die Konsultation rund um die SDGs gefördert, u. a. durch das Development Policy Forum, das einen Raum für den Multi-Stakeholder-Austausch über Entwicklungspolitik bietet. Sie hat 25 Partnerschaftsrahmenverträge mit internationalen und regionalen zivilgesellschaftlichen Netzwerken unterzeichnet, um CSOs dabei zu unterstützen, zur regionalen und globalen Politikgestaltung beizutragen, insbesondere im Hinblick auf die erfolgreiche Umsetzung der SDGs.</w:t>
      </w:r>
    </w:p>
    <w:p w:rsidRPr="00EE42EB" w:rsidR="00EE42EB" w:rsidP="00EE42EB" w:rsidRDefault="00EE42EB" w14:paraId="6584F3D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Auf Länderebene hat die EU 107 Roadmaps für ihr Engagement mit der Zivilgesellschaft entwickelt. Diese Fahrpläne bilden den umfassenden strategischen Rahmen eines Landes, der die gesamte EU-Unterstützung (einschließlich derjenigen der EU-Delegationen und der Länder) für die Zivilgesellschaft umfasst. Konzipiert als gemeinsame Initiative der Europäischen Union und ihrer Mitgliedsländer, wurden die Roadmaps eingeführt, um das Engagement Europas in der Zivilgesellschaft zu stärken.</w:t>
      </w:r>
    </w:p>
    <w:p w:rsidRPr="00EE42EB" w:rsidR="00EE42EB" w:rsidP="00EE42EB" w:rsidRDefault="00EE42EB" w14:paraId="388AD18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Für den Zeitraum 2014-2020 hat die EU 1,4 Milliarden Euro für die Unterstützung von CSOs auf globaler und nationaler Ebene durch das CSO Local Authorities Programme bereitgestellt. Diese setzt auf Partizipation, Partnerschaft und Multi-Stakeholder-Dialoge, um die Kernwerte der Agenda 2030 widerzuspiegeln.</w:t>
      </w:r>
    </w:p>
    <w:p w:rsidRPr="00EE42EB" w:rsidR="00EE42EB" w:rsidP="00EE42EB" w:rsidRDefault="00EE42EB" w14:paraId="4095D74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Der </w:t>
      </w:r>
      <w:hyperlink w:history="1" r:id="rId178">
        <w:r w:rsidRPr="00EE42EB">
          <w:rPr>
            <w:rFonts w:ascii="Times New Roman" w:hAnsi="Times New Roman" w:eastAsia="Times New Roman" w:cs="Times New Roman"/>
            <w:color w:val="0000FF"/>
            <w:sz w:val="27"/>
            <w:szCs w:val="27"/>
            <w:u w:val="single"/>
            <w:lang w:val="fr-FR" w:eastAsia="de-DE"/>
          </w:rPr>
          <w:t xml:space="preserve">Bericht 2017 über das Engagement der EU für die Zivilgesellschaft skizziert </w:t>
        </w:r>
      </w:hyperlink>
      <w:r w:rsidRPr="00EE42EB">
        <w:rPr>
          <w:rFonts w:ascii="Times New Roman" w:hAnsi="Times New Roman" w:eastAsia="Times New Roman" w:cs="Times New Roman"/>
          <w:color w:val="000000"/>
          <w:sz w:val="27"/>
          <w:szCs w:val="27"/>
          <w:lang w:val="fr-FR" w:eastAsia="de-DE"/>
        </w:rPr>
        <w:t xml:space="preserve">die vielfältigen Möglichkeiten der Unterstützung und nennt Beispiele. Der Bericht erörtert auch die Möglichkeiten, wie dieses Engagement verstärkt werden kann.</w:t>
      </w:r>
    </w:p>
    <w:p w:rsidRPr="00EE42EB" w:rsidR="00EE42EB" w:rsidP="00EE42EB" w:rsidRDefault="00EE42EB" w14:paraId="4F709C7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t xml:space="preserve">Zusammenarbeit mit Geberländern</w:t>
      </w:r>
    </w:p>
    <w:p w:rsidRPr="00EE42EB" w:rsidR="00EE42EB" w:rsidP="00EE42EB" w:rsidRDefault="00EE42EB" w14:paraId="2E2EE9E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Europäische Union ist zusammen mit ihren Mitgliedsländern </w:t>
      </w:r>
      <w:hyperlink w:history="1" r:id="rId179">
        <w:r w:rsidRPr="00EE42EB">
          <w:rPr>
            <w:rFonts w:ascii="Times New Roman" w:hAnsi="Times New Roman" w:eastAsia="Times New Roman" w:cs="Times New Roman"/>
            <w:color w:val="0000FF"/>
            <w:sz w:val="27"/>
            <w:szCs w:val="27"/>
            <w:u w:val="single"/>
            <w:lang w:val="fr-FR" w:eastAsia="de-DE"/>
          </w:rPr>
          <w:t xml:space="preserve">der weltweit größte Geber von offizieller Entwicklungshilfe</w:t>
        </w:r>
      </w:hyperlink>
      <w:r w:rsidRPr="00EE42EB">
        <w:rPr>
          <w:rFonts w:ascii="Times New Roman" w:hAnsi="Times New Roman" w:eastAsia="Times New Roman" w:cs="Times New Roman"/>
          <w:color w:val="000000"/>
          <w:sz w:val="27"/>
          <w:szCs w:val="27"/>
          <w:lang w:val="fr-FR" w:eastAsia="de-DE"/>
        </w:rPr>
        <w:t xml:space="preserve">: Ihre Unterstützung macht fast 57 % der gesamten Hilfe aus, die von den Gebern des Entwicklungshilfeausschusses der Organisation für wirtschaftliche Zusammenarbeit und Entwicklung geleistet wird. Die EU arbeitet auch an gemeinsamen Politiken sowie auf Länderebene an der Anwendung gemeinsamer Ansätze, einschließlich einer </w:t>
      </w:r>
      <w:hyperlink w:history="1" r:id="rId180">
        <w:r w:rsidRPr="00EE42EB">
          <w:rPr>
            <w:rFonts w:ascii="Times New Roman" w:hAnsi="Times New Roman" w:eastAsia="Times New Roman" w:cs="Times New Roman"/>
            <w:color w:val="0000FF"/>
            <w:sz w:val="27"/>
            <w:szCs w:val="27"/>
            <w:u w:val="single"/>
            <w:lang w:val="fr-FR" w:eastAsia="de-DE"/>
          </w:rPr>
          <w:t xml:space="preserve">gemeinsamen Programmierung</w:t>
        </w:r>
      </w:hyperlink>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58D1167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Darüber hinaus </w:t>
      </w:r>
      <w:r w:rsidRPr="00EE42EB">
        <w:rPr>
          <w:rFonts w:ascii="Times New Roman" w:hAnsi="Times New Roman" w:eastAsia="Times New Roman" w:cs="Times New Roman"/>
          <w:color w:val="000000"/>
          <w:sz w:val="27"/>
          <w:szCs w:val="27"/>
          <w:lang w:val="fr-FR" w:eastAsia="de-DE"/>
        </w:rPr>
        <w:t xml:space="preserve">führt die Europäische Kommission im Einklang mit der Partnerschaft für die Umsetzung der Agenda 2030 und des Aktionsplans von Addis Abeba sowie zur Stärkung des Multilateralismus einen </w:t>
      </w:r>
      <w:r w:rsidRPr="00EE42EB">
        <w:rPr>
          <w:rFonts w:ascii="Times New Roman" w:hAnsi="Times New Roman" w:eastAsia="Times New Roman" w:cs="Times New Roman"/>
          <w:b/>
          <w:bCs/>
          <w:color w:val="000000"/>
          <w:sz w:val="27"/>
          <w:szCs w:val="27"/>
          <w:lang w:val="fr-FR" w:eastAsia="de-DE"/>
        </w:rPr>
        <w:t xml:space="preserve">regelmäßigen Entwicklungsdialog mit nichteuropäischen Partnern </w:t>
      </w:r>
      <w:r w:rsidRPr="00EE42EB">
        <w:rPr>
          <w:rFonts w:ascii="Times New Roman" w:hAnsi="Times New Roman" w:eastAsia="Times New Roman" w:cs="Times New Roman"/>
          <w:color w:val="000000"/>
          <w:sz w:val="27"/>
          <w:szCs w:val="27"/>
          <w:lang w:val="fr-FR" w:eastAsia="de-DE"/>
        </w:rPr>
        <w:t xml:space="preserve">wie Australien, Kanada, Korea, den Vereinigten Staaten und Japan. Der Kreis der Partner wächst weiter durch die Zusammenarbeit mit neuen und aufstrebenden Gebern, z. B. in der arabischen Welt.</w:t>
      </w:r>
    </w:p>
    <w:p w:rsidRPr="00EE42EB" w:rsidR="00EE42EB" w:rsidP="00EE42EB" w:rsidRDefault="00EE42EB" w14:paraId="6858C11A"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i/>
          <w:iCs/>
          <w:color w:val="000000"/>
          <w:sz w:val="27"/>
          <w:szCs w:val="27"/>
          <w:lang w:val="fr-FR" w:eastAsia="de-DE"/>
        </w:rPr>
        <w:lastRenderedPageBreak/>
        <w:t xml:space="preserve">Zusammenarbeit mit internationalen Organisationen</w:t>
      </w:r>
    </w:p>
    <w:p w:rsidRPr="00EE42EB" w:rsidR="00EE42EB" w:rsidP="00EE42EB" w:rsidRDefault="00EE42EB" w14:paraId="2FF500C7" w14:textId="77777777">
      <w:pPr>
        <w:spacing w:before="195" w:after="0" w:line="240" w:lineRule="auto"/>
        <w:jc w:val="both"/>
        <w:rPr>
          <w:rFonts w:ascii="Times New Roman" w:hAnsi="Times New Roman" w:eastAsia="Times New Roman" w:cs="Times New Roman"/>
          <w:color w:val="000000"/>
          <w:sz w:val="27"/>
          <w:szCs w:val="27"/>
          <w:lang w:eastAsia="de-DE"/>
        </w:rPr>
      </w:pPr>
      <w:r w:rsidRPr="00EE42EB">
        <w:rPr>
          <w:rFonts w:ascii="Times New Roman" w:hAnsi="Times New Roman" w:eastAsia="Times New Roman" w:cs="Times New Roman"/>
          <w:color w:val="000000"/>
          <w:sz w:val="27"/>
          <w:szCs w:val="27"/>
          <w:lang w:val="fr-FR" w:eastAsia="de-DE"/>
        </w:rPr>
        <w:t xml:space="preserve">Die EU arbeitet auch strategisch mit der UN und anderen internationalen Organisationen und Finanzinstitutionen zusammen. Zusätzlich zu der umfangreichen Unterstützung, die durch diese Organisationen und Institutionen geleistet wird, finden regelmäßig hochrangige politische Dialoge statt. </w:t>
      </w:r>
      <w:r w:rsidRPr="00EE42EB">
        <w:rPr>
          <w:rFonts w:ascii="Times New Roman" w:hAnsi="Times New Roman" w:eastAsia="Times New Roman" w:cs="Times New Roman"/>
          <w:color w:val="000000"/>
          <w:sz w:val="27"/>
          <w:szCs w:val="27"/>
          <w:lang w:eastAsia="de-DE"/>
        </w:rPr>
        <w:t xml:space="preserve">Die EU ist </w:t>
      </w:r>
      <w:r w:rsidRPr="00EE42EB">
        <w:rPr>
          <w:rFonts w:ascii="Times New Roman" w:hAnsi="Times New Roman" w:eastAsia="Times New Roman" w:cs="Times New Roman"/>
          <w:color w:val="000000"/>
          <w:sz w:val="27"/>
          <w:szCs w:val="27"/>
          <w:lang w:eastAsia="de-DE"/>
        </w:rPr>
        <w:t xml:space="preserve">also </w:t>
      </w:r>
      <w:r w:rsidRPr="00EE42EB">
        <w:rPr>
          <w:rFonts w:ascii="Times New Roman" w:hAnsi="Times New Roman" w:eastAsia="Times New Roman" w:cs="Times New Roman"/>
          <w:color w:val="000000"/>
          <w:sz w:val="27"/>
          <w:szCs w:val="27"/>
          <w:lang w:eastAsia="de-DE"/>
        </w:rPr>
        <w:t xml:space="preserve">besonders </w:t>
      </w:r>
      <w:r w:rsidRPr="00EE42EB">
        <w:rPr>
          <w:rFonts w:ascii="Times New Roman" w:hAnsi="Times New Roman" w:eastAsia="Times New Roman" w:cs="Times New Roman"/>
          <w:color w:val="000000"/>
          <w:sz w:val="27"/>
          <w:szCs w:val="27"/>
          <w:lang w:eastAsia="de-DE"/>
        </w:rPr>
        <w:t xml:space="preserve">engagiert</w:t>
      </w:r>
      <w:r w:rsidRPr="00EE42EB">
        <w:rPr>
          <w:rFonts w:ascii="Times New Roman" w:hAnsi="Times New Roman" w:eastAsia="Times New Roman" w:cs="Times New Roman"/>
          <w:color w:val="000000"/>
          <w:sz w:val="27"/>
          <w:szCs w:val="27"/>
          <w:lang w:eastAsia="de-DE"/>
        </w:rPr>
        <w:t xml:space="preserve">:</w:t>
      </w:r>
    </w:p>
    <w:p w:rsidRPr="00EE42EB" w:rsidR="00EE42EB" w:rsidP="00EE42EB" w:rsidRDefault="00EE42EB" w14:paraId="652B8F35" w14:textId="77777777">
      <w:pPr>
        <w:numPr>
          <w:ilvl w:val="0"/>
          <w:numId w:val="4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Entwicklungsbezogene </w:t>
      </w:r>
      <w:r w:rsidRPr="00EE42EB">
        <w:rPr>
          <w:rFonts w:ascii="Times New Roman" w:hAnsi="Times New Roman" w:eastAsia="Times New Roman" w:cs="Times New Roman"/>
          <w:b/>
          <w:bCs/>
          <w:color w:val="000000"/>
          <w:sz w:val="27"/>
          <w:szCs w:val="27"/>
          <w:lang w:val="fr-FR" w:eastAsia="de-DE"/>
        </w:rPr>
        <w:t xml:space="preserve">UN-Prozesse</w:t>
      </w:r>
      <w:r w:rsidRPr="00EE42EB">
        <w:rPr>
          <w:rFonts w:ascii="Times New Roman" w:hAnsi="Times New Roman" w:eastAsia="Times New Roman" w:cs="Times New Roman"/>
          <w:color w:val="000000"/>
          <w:sz w:val="27"/>
          <w:szCs w:val="27"/>
          <w:lang w:val="fr-FR" w:eastAsia="de-DE"/>
        </w:rPr>
        <w:t xml:space="preserve">, </w:t>
      </w:r>
      <w:r w:rsidRPr="00EE42EB">
        <w:rPr>
          <w:rFonts w:ascii="Times New Roman" w:hAnsi="Times New Roman" w:eastAsia="Times New Roman" w:cs="Times New Roman"/>
          <w:color w:val="000000"/>
          <w:sz w:val="27"/>
          <w:szCs w:val="27"/>
          <w:lang w:val="fr-FR" w:eastAsia="de-DE"/>
        </w:rPr>
        <w:t xml:space="preserve">darunter das High Level Political Forum und das Financing for Development Forum. Sie demonstriert ihre Unterstützung für die UN auch durch die </w:t>
      </w:r>
      <w:hyperlink w:history="1" r:id="rId181">
        <w:r w:rsidRPr="00EE42EB">
          <w:rPr>
            <w:rFonts w:ascii="Times New Roman" w:hAnsi="Times New Roman" w:eastAsia="Times New Roman" w:cs="Times New Roman"/>
            <w:color w:val="0000FF"/>
            <w:sz w:val="27"/>
            <w:szCs w:val="27"/>
            <w:u w:val="single"/>
            <w:lang w:val="fr-FR" w:eastAsia="de-DE"/>
          </w:rPr>
          <w:t xml:space="preserve">erneuerte EU-UN-Entwicklungspartnerschaft </w:t>
        </w:r>
      </w:hyperlink>
      <w:r w:rsidRPr="00EE42EB">
        <w:rPr>
          <w:rFonts w:ascii="Times New Roman" w:hAnsi="Times New Roman" w:eastAsia="Times New Roman" w:cs="Times New Roman"/>
          <w:color w:val="000000"/>
          <w:sz w:val="27"/>
          <w:szCs w:val="27"/>
          <w:lang w:val="fr-FR" w:eastAsia="de-DE"/>
        </w:rPr>
        <w:t xml:space="preserve">(2018);</w:t>
      </w:r>
    </w:p>
    <w:p w:rsidRPr="00EE42EB" w:rsidR="00EE42EB" w:rsidP="00EE42EB" w:rsidRDefault="00EE42EB" w14:paraId="5321D7F1" w14:textId="77777777">
      <w:pPr>
        <w:numPr>
          <w:ilvl w:val="0"/>
          <w:numId w:val="4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Diskussionen und Beratungen der </w:t>
      </w:r>
      <w:hyperlink w:history="1" r:id="rId182">
        <w:r w:rsidRPr="00EE42EB">
          <w:rPr>
            <w:rFonts w:ascii="Times New Roman" w:hAnsi="Times New Roman" w:eastAsia="Times New Roman" w:cs="Times New Roman"/>
            <w:color w:val="0000FF"/>
            <w:sz w:val="27"/>
            <w:szCs w:val="27"/>
            <w:u w:val="single"/>
            <w:lang w:val="fr-FR" w:eastAsia="de-DE"/>
          </w:rPr>
          <w:t xml:space="preserve">Organisation für wirtschaftliche Zusammenarbeit und Entwicklung </w:t>
        </w:r>
      </w:hyperlink>
      <w:r w:rsidRPr="00EE42EB">
        <w:rPr>
          <w:rFonts w:ascii="Times New Roman" w:hAnsi="Times New Roman" w:eastAsia="Times New Roman" w:cs="Times New Roman"/>
          <w:color w:val="000000"/>
          <w:sz w:val="27"/>
          <w:szCs w:val="27"/>
          <w:lang w:val="fr-FR" w:eastAsia="de-DE"/>
        </w:rPr>
        <w:t xml:space="preserve">durch ihre Teilnahme am Entwicklungshilfeausschuss (DAC);</w:t>
      </w:r>
    </w:p>
    <w:p w:rsidRPr="00EE42EB" w:rsidR="00EE42EB" w:rsidP="00EE42EB" w:rsidRDefault="00EE42EB" w14:paraId="546623C6" w14:textId="77777777">
      <w:pPr>
        <w:numPr>
          <w:ilvl w:val="0"/>
          <w:numId w:val="4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der </w:t>
      </w:r>
      <w:r w:rsidRPr="00EE42EB">
        <w:rPr>
          <w:rFonts w:ascii="Times New Roman" w:hAnsi="Times New Roman" w:eastAsia="Times New Roman" w:cs="Times New Roman"/>
          <w:b/>
          <w:bCs/>
          <w:color w:val="000000"/>
          <w:sz w:val="27"/>
          <w:szCs w:val="27"/>
          <w:lang w:val="fr-FR" w:eastAsia="de-DE"/>
        </w:rPr>
        <w:t xml:space="preserve">G20 </w:t>
      </w:r>
      <w:r w:rsidRPr="00EE42EB">
        <w:rPr>
          <w:rFonts w:ascii="Times New Roman" w:hAnsi="Times New Roman" w:eastAsia="Times New Roman" w:cs="Times New Roman"/>
          <w:color w:val="000000"/>
          <w:sz w:val="27"/>
          <w:szCs w:val="27"/>
          <w:lang w:val="fr-FR" w:eastAsia="de-DE"/>
        </w:rPr>
        <w:t xml:space="preserve">und </w:t>
      </w:r>
      <w:r w:rsidRPr="00EE42EB">
        <w:rPr>
          <w:rFonts w:ascii="Times New Roman" w:hAnsi="Times New Roman" w:eastAsia="Times New Roman" w:cs="Times New Roman"/>
          <w:b/>
          <w:bCs/>
          <w:color w:val="000000"/>
          <w:sz w:val="27"/>
          <w:szCs w:val="27"/>
          <w:lang w:val="fr-FR" w:eastAsia="de-DE"/>
        </w:rPr>
        <w:t xml:space="preserve">G7</w:t>
      </w:r>
      <w:r w:rsidRPr="00EE42EB">
        <w:rPr>
          <w:rFonts w:ascii="Times New Roman" w:hAnsi="Times New Roman" w:eastAsia="Times New Roman" w:cs="Times New Roman"/>
          <w:color w:val="000000"/>
          <w:sz w:val="27"/>
          <w:szCs w:val="27"/>
          <w:lang w:val="fr-FR" w:eastAsia="de-DE"/>
        </w:rPr>
        <w:t xml:space="preserve">, um sicherzustellen, dass sie ihr Engagement für die Umsetzung der 2030-Agenda und ihrer SDGs unterstreicht;</w:t>
      </w:r>
    </w:p>
    <w:p w:rsidRPr="00EE42EB" w:rsidR="00EE42EB" w:rsidP="00EE42EB" w:rsidRDefault="00EE42EB" w14:paraId="6D7739FE" w14:textId="77777777">
      <w:pPr>
        <w:numPr>
          <w:ilvl w:val="0"/>
          <w:numId w:val="44"/>
        </w:numPr>
        <w:spacing w:before="240" w:after="240" w:line="240" w:lineRule="auto"/>
        <w:ind w:start="1200"/>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die </w:t>
      </w:r>
      <w:r w:rsidRPr="00EE42EB">
        <w:rPr>
          <w:rFonts w:ascii="Times New Roman" w:hAnsi="Times New Roman" w:eastAsia="Times New Roman" w:cs="Times New Roman"/>
          <w:color w:val="000000"/>
          <w:sz w:val="27"/>
          <w:szCs w:val="27"/>
          <w:lang w:val="fr-FR" w:eastAsia="de-DE"/>
        </w:rPr>
        <w:t xml:space="preserve">Stärkung der </w:t>
      </w:r>
      <w:r w:rsidRPr="00EE42EB">
        <w:rPr>
          <w:rFonts w:ascii="Times New Roman" w:hAnsi="Times New Roman" w:eastAsia="Times New Roman" w:cs="Times New Roman"/>
          <w:b/>
          <w:bCs/>
          <w:color w:val="000000"/>
          <w:sz w:val="27"/>
          <w:szCs w:val="27"/>
          <w:lang w:val="fr-FR" w:eastAsia="de-DE"/>
        </w:rPr>
        <w:t xml:space="preserve">Partnerschaften mit internationalen Finanzinstitutionen</w:t>
      </w:r>
      <w:r w:rsidRPr="00EE42EB">
        <w:rPr>
          <w:rFonts w:ascii="Times New Roman" w:hAnsi="Times New Roman" w:eastAsia="Times New Roman" w:cs="Times New Roman"/>
          <w:color w:val="000000"/>
          <w:sz w:val="27"/>
          <w:szCs w:val="27"/>
          <w:lang w:val="fr-FR" w:eastAsia="de-DE"/>
        </w:rPr>
        <w:t xml:space="preserve">, wie der Weltbankgruppe (WBG) und dem Internationalen Währungsfonds (IWF), sowie mit </w:t>
      </w:r>
      <w:r w:rsidRPr="00EE42EB">
        <w:rPr>
          <w:rFonts w:ascii="Times New Roman" w:hAnsi="Times New Roman" w:eastAsia="Times New Roman" w:cs="Times New Roman"/>
          <w:b/>
          <w:bCs/>
          <w:color w:val="000000"/>
          <w:sz w:val="27"/>
          <w:szCs w:val="27"/>
          <w:lang w:val="fr-FR" w:eastAsia="de-DE"/>
        </w:rPr>
        <w:t xml:space="preserve">europäischen Finanzinstitutionen und regionalen Entwicklungsbanken</w:t>
      </w:r>
      <w:r w:rsidRPr="00EE42EB">
        <w:rPr>
          <w:rFonts w:ascii="Times New Roman" w:hAnsi="Times New Roman" w:eastAsia="Times New Roman" w:cs="Times New Roman"/>
          <w:color w:val="000000"/>
          <w:sz w:val="27"/>
          <w:szCs w:val="27"/>
          <w:lang w:val="fr-FR" w:eastAsia="de-DE"/>
        </w:rPr>
        <w:t xml:space="preserve">.</w:t>
      </w:r>
    </w:p>
    <w:p w:rsidRPr="00EE42EB" w:rsidR="00EE42EB" w:rsidP="00EE42EB" w:rsidRDefault="00EE42EB" w14:paraId="11F8C80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b/>
          <w:bCs/>
          <w:color w:val="000000"/>
          <w:sz w:val="27"/>
          <w:szCs w:val="27"/>
          <w:lang w:val="fr-FR" w:eastAsia="de-DE"/>
        </w:rPr>
        <w:t xml:space="preserve">Globale Reichweite</w:t>
      </w:r>
    </w:p>
    <w:p w:rsidRPr="00EE42EB" w:rsidR="00EE42EB" w:rsidP="00EE42EB" w:rsidRDefault="00E52C24" w14:paraId="101E66AC"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83">
        <w:r w:rsidRPr="00EE42EB" w:rsidR="00EE42EB">
          <w:rPr>
            <w:rFonts w:ascii="Times New Roman" w:hAnsi="Times New Roman" w:eastAsia="Times New Roman" w:cs="Times New Roman"/>
            <w:color w:val="0000FF"/>
            <w:sz w:val="27"/>
            <w:szCs w:val="27"/>
            <w:u w:val="single"/>
            <w:lang w:val="fr-FR" w:eastAsia="de-DE"/>
          </w:rPr>
          <w:t xml:space="preserve">Liste der Länder, die für EU-Entwicklungshilfe in Frage kommen</w:t>
        </w:r>
      </w:hyperlink>
    </w:p>
    <w:p w:rsidRPr="00EE42EB" w:rsidR="00EE42EB" w:rsidP="00EE42EB" w:rsidRDefault="00EE42EB" w14:paraId="79559BD0" w14:textId="77777777">
      <w:pPr>
        <w:spacing w:before="390" w:after="195" w:line="240" w:lineRule="auto"/>
        <w:outlineLvl w:val="1"/>
        <w:rPr>
          <w:rFonts w:ascii="Times New Roman" w:hAnsi="Times New Roman" w:eastAsia="Times New Roman" w:cs="Times New Roman"/>
          <w:b/>
          <w:bCs/>
          <w:color w:val="444444"/>
          <w:sz w:val="27"/>
          <w:szCs w:val="27"/>
          <w:lang w:val="fr-FR" w:eastAsia="de-DE"/>
        </w:rPr>
      </w:pPr>
      <w:r w:rsidRPr="00EE42EB">
        <w:rPr>
          <w:rFonts w:ascii="Times New Roman" w:hAnsi="Times New Roman" w:eastAsia="Times New Roman" w:cs="Times New Roman"/>
          <w:b/>
          <w:bCs/>
          <w:color w:val="444444"/>
          <w:sz w:val="27"/>
          <w:szCs w:val="27"/>
          <w:lang w:val="fr-FR" w:eastAsia="de-DE"/>
        </w:rPr>
        <w:t xml:space="preserve">SCHLÜSSELDOKUMENTE</w:t>
      </w:r>
    </w:p>
    <w:p w:rsidRPr="00EE42EB" w:rsidR="00EE42EB" w:rsidP="00EE42EB" w:rsidRDefault="00EE42EB" w14:paraId="644777C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Konsolidierte Fassung des Vertrags über die Arbeitsweise der Europäischen Union - Erster Teil - Die Grundsätze - Titel I - Kategorien und Bereiche der Zuständigkeit der Union - </w:t>
      </w:r>
      <w:hyperlink w:history="1" r:id="rId184">
        <w:r w:rsidRPr="00EE42EB">
          <w:rPr>
            <w:rFonts w:ascii="Times New Roman" w:hAnsi="Times New Roman" w:eastAsia="Times New Roman" w:cs="Times New Roman"/>
            <w:color w:val="0000FF"/>
            <w:sz w:val="27"/>
            <w:szCs w:val="27"/>
            <w:u w:val="single"/>
            <w:lang w:val="fr-FR" w:eastAsia="de-DE"/>
          </w:rPr>
          <w:t xml:space="preserve">Artikel 4 </w:t>
        </w:r>
      </w:hyperlink>
      <w:r w:rsidRPr="00EE42EB">
        <w:rPr>
          <w:rFonts w:ascii="Times New Roman" w:hAnsi="Times New Roman" w:eastAsia="Times New Roman" w:cs="Times New Roman"/>
          <w:color w:val="000000"/>
          <w:sz w:val="27"/>
          <w:szCs w:val="27"/>
          <w:lang w:val="fr-FR" w:eastAsia="de-DE"/>
        </w:rPr>
        <w:t xml:space="preserve">(ABl. C 202 vom 7.6.2016, S. 51-52)</w:t>
      </w:r>
    </w:p>
    <w:p w:rsidRPr="00EE42EB" w:rsidR="00EE42EB" w:rsidP="00EE42EB" w:rsidRDefault="00EE42EB" w14:paraId="24CA8820"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Konsolidierte Fassung des Vertrags über die Arbeitsweise der Europäischen Union - Fünfter Teil - Das auswärtige Handeln der Union - Titel III - Zusammenarbeit mit Drittländern und humanitäre Hilfe - Kapitel 1 - Entwicklungszusammenarbeit - </w:t>
      </w:r>
      <w:hyperlink w:history="1" r:id="rId185">
        <w:r w:rsidRPr="00EE42EB">
          <w:rPr>
            <w:rFonts w:ascii="Times New Roman" w:hAnsi="Times New Roman" w:eastAsia="Times New Roman" w:cs="Times New Roman"/>
            <w:color w:val="0000FF"/>
            <w:sz w:val="27"/>
            <w:szCs w:val="27"/>
            <w:u w:val="single"/>
            <w:lang w:val="fr-FR" w:eastAsia="de-DE"/>
          </w:rPr>
          <w:t xml:space="preserve">Artikel 208 </w:t>
        </w:r>
      </w:hyperlink>
      <w:r w:rsidRPr="00EE42EB">
        <w:rPr>
          <w:rFonts w:ascii="Times New Roman" w:hAnsi="Times New Roman" w:eastAsia="Times New Roman" w:cs="Times New Roman"/>
          <w:color w:val="000000"/>
          <w:sz w:val="27"/>
          <w:szCs w:val="27"/>
          <w:lang w:val="fr-FR" w:eastAsia="de-DE"/>
        </w:rPr>
        <w:t xml:space="preserve">(ex-Artikel 177 EGV) (ABl. C 202 vom 7.6.2016, S. 141)</w:t>
      </w:r>
    </w:p>
    <w:p w:rsidRPr="00EE42EB" w:rsidR="00EE42EB" w:rsidP="00EE42EB" w:rsidRDefault="00EE42EB" w14:paraId="08D4F903"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EE42EB">
        <w:rPr>
          <w:rFonts w:ascii="Times New Roman" w:hAnsi="Times New Roman" w:eastAsia="Times New Roman" w:cs="Times New Roman"/>
          <w:color w:val="000000"/>
          <w:sz w:val="27"/>
          <w:szCs w:val="27"/>
          <w:lang w:val="fr-FR" w:eastAsia="de-DE"/>
        </w:rPr>
        <w:t xml:space="preserve">Konsolidierte Fassung des Vertrags über die Europäische Union - Titel V - Allgemeine Bestimmungen über das auswärtige Handeln der Union und besondere Bestimmungen über die Gemeinsame Außen- und Sicherheitspolitik - Kapitel 1 - Allgemeine Bestimmungen über das auswärtige Handeln der Union - </w:t>
      </w:r>
      <w:hyperlink w:history="1" r:id="rId186">
        <w:r w:rsidRPr="00EE42EB">
          <w:rPr>
            <w:rFonts w:ascii="Times New Roman" w:hAnsi="Times New Roman" w:eastAsia="Times New Roman" w:cs="Times New Roman"/>
            <w:color w:val="0000FF"/>
            <w:sz w:val="27"/>
            <w:szCs w:val="27"/>
            <w:u w:val="single"/>
            <w:lang w:val="fr-FR" w:eastAsia="de-DE"/>
          </w:rPr>
          <w:t xml:space="preserve">Artikel 21 Absatz 2 Buchstabe d </w:t>
        </w:r>
      </w:hyperlink>
      <w:r w:rsidRPr="00EE42EB">
        <w:rPr>
          <w:rFonts w:ascii="Times New Roman" w:hAnsi="Times New Roman" w:eastAsia="Times New Roman" w:cs="Times New Roman"/>
          <w:color w:val="000000"/>
          <w:sz w:val="27"/>
          <w:szCs w:val="27"/>
          <w:lang w:val="fr-FR" w:eastAsia="de-DE"/>
        </w:rPr>
        <w:t xml:space="preserve">(ABl. C 202 vom 7.6.2016, S. 28-29)</w:t>
      </w:r>
    </w:p>
    <w:p w:rsidRPr="00601F4B" w:rsidR="00EE42EB" w:rsidP="00EE42EB" w:rsidRDefault="00EE42EB" w14:paraId="6D61A335" w14:textId="77777777">
      <w:pPr>
        <w:spacing w:before="810" w:after="100" w:afterAutospacing="1" w:line="240" w:lineRule="auto"/>
        <w:jc w:val="right"/>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lastRenderedPageBreak/>
        <w:t xml:space="preserve">letzte Änderung 09.07.2019</w:t>
      </w:r>
    </w:p>
    <w:p w:rsidRPr="00601F4B" w:rsidR="00601F4B" w:rsidP="00601F4B" w:rsidRDefault="00601F4B" w14:paraId="6460BF4F" w14:textId="77777777">
      <w:pPr>
        <w:spacing w:before="810" w:after="390" w:line="240" w:lineRule="auto"/>
        <w:jc w:val="center"/>
        <w:rPr>
          <w:rFonts w:ascii="Times New Roman" w:hAnsi="Times New Roman" w:eastAsia="Times New Roman" w:cs="Times New Roman"/>
          <w:b/>
          <w:bCs/>
          <w:color w:val="444444"/>
          <w:sz w:val="42"/>
          <w:szCs w:val="42"/>
          <w:lang w:val="fr-FR" w:eastAsia="de-DE"/>
        </w:rPr>
      </w:pPr>
      <w:r w:rsidRPr="00601F4B">
        <w:rPr>
          <w:rFonts w:ascii="Times New Roman" w:hAnsi="Times New Roman" w:eastAsia="Times New Roman" w:cs="Times New Roman"/>
          <w:b/>
          <w:bCs/>
          <w:color w:val="444444"/>
          <w:sz w:val="42"/>
          <w:szCs w:val="42"/>
          <w:lang w:val="fr-FR" w:eastAsia="de-DE"/>
        </w:rPr>
        <w:t xml:space="preserve">Stärkung der Wirtschafts- und Währungsunion</w:t>
      </w:r>
    </w:p>
    <w:p w:rsidRPr="00601F4B" w:rsidR="00601F4B" w:rsidP="00601F4B" w:rsidRDefault="00601F4B" w14:paraId="6E98358E"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 </w:t>
      </w:r>
    </w:p>
    <w:p w:rsidRPr="00601F4B" w:rsidR="00601F4B" w:rsidP="00601F4B" w:rsidRDefault="00601F4B" w14:paraId="604B6C17"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SYNTHESE VON DOKUMENTEN:</w:t>
      </w:r>
    </w:p>
    <w:p w:rsidRPr="00601F4B" w:rsidR="00601F4B" w:rsidP="00601F4B" w:rsidRDefault="00E52C24" w14:paraId="487E9096"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87">
        <w:r w:rsidRPr="00601F4B" w:rsidR="00601F4B">
          <w:rPr>
            <w:rFonts w:ascii="Times New Roman" w:hAnsi="Times New Roman" w:eastAsia="Times New Roman" w:cs="Times New Roman"/>
            <w:color w:val="0000FF"/>
            <w:sz w:val="27"/>
            <w:szCs w:val="27"/>
            <w:u w:val="single"/>
            <w:lang w:val="fr-FR" w:eastAsia="de-DE"/>
          </w:rPr>
          <w:t xml:space="preserve">Mitteilung (COM(2015) 600 final) über Maßnahmen zur Vollendung der Wirtschafts- und Währungsunion</w:t>
        </w:r>
      </w:hyperlink>
    </w:p>
    <w:p w:rsidRPr="00601F4B" w:rsidR="00601F4B" w:rsidP="00601F4B" w:rsidRDefault="00E52C24" w14:paraId="3A7DA95A"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88">
        <w:r w:rsidRPr="00601F4B" w:rsidR="00601F4B">
          <w:rPr>
            <w:rFonts w:ascii="Times New Roman" w:hAnsi="Times New Roman" w:eastAsia="Times New Roman" w:cs="Times New Roman"/>
            <w:color w:val="0000FF"/>
            <w:sz w:val="27"/>
            <w:szCs w:val="27"/>
            <w:u w:val="single"/>
            <w:lang w:val="fr-FR" w:eastAsia="de-DE"/>
          </w:rPr>
          <w:t xml:space="preserve">Artikel 119 des Vertrags über die Arbeitsweise der Europäischen Union</w:t>
        </w:r>
      </w:hyperlink>
    </w:p>
    <w:p w:rsidRPr="00601F4B" w:rsidR="00601F4B" w:rsidP="00601F4B" w:rsidRDefault="00E52C24" w14:paraId="01D6B9E4"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89">
        <w:r w:rsidRPr="00601F4B" w:rsidR="00601F4B">
          <w:rPr>
            <w:rFonts w:ascii="Times New Roman" w:hAnsi="Times New Roman" w:eastAsia="Times New Roman" w:cs="Times New Roman"/>
            <w:color w:val="0000FF"/>
            <w:sz w:val="27"/>
            <w:szCs w:val="27"/>
            <w:u w:val="single"/>
            <w:lang w:val="fr-FR" w:eastAsia="de-DE"/>
          </w:rPr>
          <w:t xml:space="preserve">Artikel 120 des Vertrags über die Arbeitsweise der Europäischen Union</w:t>
        </w:r>
      </w:hyperlink>
    </w:p>
    <w:p w:rsidRPr="00601F4B" w:rsidR="00601F4B" w:rsidP="00601F4B" w:rsidRDefault="00E52C24" w14:paraId="25A60B4A" w14:textId="77777777">
      <w:pPr>
        <w:spacing w:before="195" w:after="0" w:line="240" w:lineRule="auto"/>
        <w:jc w:val="both"/>
        <w:rPr>
          <w:rFonts w:ascii="Times New Roman" w:hAnsi="Times New Roman" w:eastAsia="Times New Roman" w:cs="Times New Roman"/>
          <w:color w:val="000000"/>
          <w:sz w:val="27"/>
          <w:szCs w:val="27"/>
          <w:lang w:val="fr-FR" w:eastAsia="de-DE"/>
        </w:rPr>
      </w:pPr>
      <w:hyperlink w:history="1" r:id="rId190">
        <w:r w:rsidRPr="00601F4B" w:rsidR="00601F4B">
          <w:rPr>
            <w:rFonts w:ascii="Times New Roman" w:hAnsi="Times New Roman" w:eastAsia="Times New Roman" w:cs="Times New Roman"/>
            <w:color w:val="0000FF"/>
            <w:sz w:val="27"/>
            <w:szCs w:val="27"/>
            <w:u w:val="single"/>
            <w:lang w:val="fr-FR" w:eastAsia="de-DE"/>
          </w:rPr>
          <w:t xml:space="preserve">Artikel 121 des Vertrags über die Arbeitsweise der Europäischen Union</w:t>
        </w:r>
      </w:hyperlink>
    </w:p>
    <w:p w:rsidRPr="00601F4B" w:rsidR="00601F4B" w:rsidP="00601F4B" w:rsidRDefault="00601F4B" w14:paraId="6E0BD6D8"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WAS IST DER ZWECK DIESER MITTEILUNG UND DER VERTRAGSARTIKEL ZUR WÄHRUNGS- UND WIRTSCHAFTSPOLITIK?</w:t>
      </w:r>
    </w:p>
    <w:p w:rsidRPr="00601F4B" w:rsidR="00601F4B" w:rsidP="00601F4B" w:rsidRDefault="00601F4B" w14:paraId="573E1FD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In der Mitteilung werden die Maßnahmen dargelegt, die erforderlich sind, um die erste Stufe der </w:t>
      </w:r>
      <w:hyperlink w:history="1" r:id="rId191">
        <w:r w:rsidRPr="00601F4B">
          <w:rPr>
            <w:rFonts w:ascii="Times New Roman" w:hAnsi="Times New Roman" w:eastAsia="Times New Roman" w:cs="Times New Roman"/>
            <w:color w:val="0000FF"/>
            <w:sz w:val="27"/>
            <w:szCs w:val="27"/>
            <w:u w:val="single"/>
            <w:lang w:val="fr-FR" w:eastAsia="de-DE"/>
          </w:rPr>
          <w:t xml:space="preserve">Wirtschafts- und Währungsunion (WWU)</w:t>
        </w:r>
      </w:hyperlink>
      <w:r w:rsidRPr="00601F4B">
        <w:rPr>
          <w:rFonts w:ascii="Times New Roman" w:hAnsi="Times New Roman" w:eastAsia="Times New Roman" w:cs="Times New Roman"/>
          <w:color w:val="000000"/>
          <w:sz w:val="27"/>
          <w:szCs w:val="27"/>
          <w:lang w:val="fr-FR" w:eastAsia="de-DE"/>
        </w:rPr>
        <w:t xml:space="preserve">, die am 1. Juli 2015 eingeführt wurde, </w:t>
      </w:r>
      <w:r w:rsidRPr="00601F4B">
        <w:rPr>
          <w:rFonts w:ascii="Times New Roman" w:hAnsi="Times New Roman" w:eastAsia="Times New Roman" w:cs="Times New Roman"/>
          <w:color w:val="000000"/>
          <w:sz w:val="27"/>
          <w:szCs w:val="27"/>
          <w:lang w:val="fr-FR" w:eastAsia="de-DE"/>
        </w:rPr>
        <w:t xml:space="preserve">bis Anfang 2017 zu vollenden. </w:t>
      </w:r>
      <w:r w:rsidRPr="00601F4B">
        <w:rPr>
          <w:rFonts w:ascii="Times New Roman" w:hAnsi="Times New Roman" w:eastAsia="Times New Roman" w:cs="Times New Roman"/>
          <w:color w:val="000000"/>
          <w:sz w:val="27"/>
          <w:szCs w:val="27"/>
          <w:lang w:val="fr-FR" w:eastAsia="de-DE"/>
        </w:rPr>
        <w:t xml:space="preserve">Seitdem hat die Europäische Kommission es um ein </w:t>
      </w:r>
      <w:hyperlink w:history="1" r:id="rId192">
        <w:r w:rsidRPr="00601F4B">
          <w:rPr>
            <w:rFonts w:ascii="Times New Roman" w:hAnsi="Times New Roman" w:eastAsia="Times New Roman" w:cs="Times New Roman"/>
            <w:color w:val="0000FF"/>
            <w:sz w:val="27"/>
            <w:szCs w:val="27"/>
            <w:u w:val="single"/>
            <w:lang w:val="fr-FR" w:eastAsia="de-DE"/>
          </w:rPr>
          <w:t xml:space="preserve">Diskussionspapier zur Vertiefung der Wirtschafts- und Währungsunion </w:t>
        </w:r>
      </w:hyperlink>
      <w:r w:rsidRPr="00601F4B">
        <w:rPr>
          <w:rFonts w:ascii="Times New Roman" w:hAnsi="Times New Roman" w:eastAsia="Times New Roman" w:cs="Times New Roman"/>
          <w:color w:val="000000"/>
          <w:sz w:val="27"/>
          <w:szCs w:val="27"/>
          <w:lang w:val="fr-FR" w:eastAsia="de-DE"/>
        </w:rPr>
        <w:t xml:space="preserve">ergänzt</w:t>
      </w:r>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05577ECE" w14:textId="77777777">
      <w:pPr>
        <w:spacing w:before="195" w:after="0" w:line="240" w:lineRule="auto"/>
        <w:jc w:val="both"/>
        <w:rPr>
          <w:rFonts w:ascii="Times New Roman" w:hAnsi="Times New Roman" w:eastAsia="Times New Roman" w:cs="Times New Roman"/>
          <w:color w:val="000000"/>
          <w:sz w:val="27"/>
          <w:szCs w:val="27"/>
          <w:lang w:eastAsia="de-DE"/>
        </w:rPr>
      </w:pPr>
      <w:r w:rsidRPr="00601F4B">
        <w:rPr>
          <w:rFonts w:ascii="Times New Roman" w:hAnsi="Times New Roman" w:eastAsia="Times New Roman" w:cs="Times New Roman"/>
          <w:color w:val="000000"/>
          <w:sz w:val="27"/>
          <w:szCs w:val="27"/>
          <w:lang w:val="fr-FR" w:eastAsia="de-DE"/>
        </w:rPr>
        <w:t xml:space="preserve">Die Artikel 119, 120 und 121 des Vertrags über die Arbeitsweise der Europäischen Union befassen sich mit der Wirtschafts- und Währungspolitik der Europäischen Union (EU). </w:t>
      </w:r>
      <w:r w:rsidRPr="00601F4B">
        <w:rPr>
          <w:rFonts w:ascii="Times New Roman" w:hAnsi="Times New Roman" w:eastAsia="Times New Roman" w:cs="Times New Roman"/>
          <w:color w:val="000000"/>
          <w:sz w:val="27"/>
          <w:szCs w:val="27"/>
          <w:lang w:eastAsia="de-DE"/>
        </w:rPr>
        <w:t xml:space="preserve">Nach </w:t>
      </w:r>
      <w:r w:rsidRPr="00601F4B">
        <w:rPr>
          <w:rFonts w:ascii="Times New Roman" w:hAnsi="Times New Roman" w:eastAsia="Times New Roman" w:cs="Times New Roman"/>
          <w:color w:val="000000"/>
          <w:sz w:val="27"/>
          <w:szCs w:val="27"/>
          <w:lang w:eastAsia="de-DE"/>
        </w:rPr>
        <w:t xml:space="preserve">diesen </w:t>
      </w:r>
      <w:r w:rsidRPr="00601F4B">
        <w:rPr>
          <w:rFonts w:ascii="Times New Roman" w:hAnsi="Times New Roman" w:eastAsia="Times New Roman" w:cs="Times New Roman"/>
          <w:color w:val="000000"/>
          <w:sz w:val="27"/>
          <w:szCs w:val="27"/>
          <w:lang w:eastAsia="de-DE"/>
        </w:rPr>
        <w:t xml:space="preserve">Artikeln </w:t>
      </w:r>
      <w:r w:rsidRPr="00601F4B">
        <w:rPr>
          <w:rFonts w:ascii="Times New Roman" w:hAnsi="Times New Roman" w:eastAsia="Times New Roman" w:cs="Times New Roman"/>
          <w:color w:val="000000"/>
          <w:sz w:val="27"/>
          <w:szCs w:val="27"/>
          <w:lang w:eastAsia="de-DE"/>
        </w:rPr>
        <w:t xml:space="preserve">stimmen </w:t>
      </w:r>
      <w:r w:rsidRPr="00601F4B">
        <w:rPr>
          <w:rFonts w:ascii="Times New Roman" w:hAnsi="Times New Roman" w:eastAsia="Times New Roman" w:cs="Times New Roman"/>
          <w:color w:val="000000"/>
          <w:sz w:val="27"/>
          <w:szCs w:val="27"/>
          <w:lang w:eastAsia="de-DE"/>
        </w:rPr>
        <w:t xml:space="preserve">die </w:t>
      </w:r>
      <w:r w:rsidRPr="00601F4B">
        <w:rPr>
          <w:rFonts w:ascii="Times New Roman" w:hAnsi="Times New Roman" w:eastAsia="Times New Roman" w:cs="Times New Roman"/>
          <w:color w:val="000000"/>
          <w:sz w:val="27"/>
          <w:szCs w:val="27"/>
          <w:lang w:eastAsia="de-DE"/>
        </w:rPr>
        <w:t xml:space="preserve">EU-Länder </w:t>
      </w:r>
      <w:r w:rsidRPr="00601F4B">
        <w:rPr>
          <w:rFonts w:ascii="Times New Roman" w:hAnsi="Times New Roman" w:eastAsia="Times New Roman" w:cs="Times New Roman"/>
          <w:color w:val="000000"/>
          <w:sz w:val="27"/>
          <w:szCs w:val="27"/>
          <w:lang w:eastAsia="de-DE"/>
        </w:rPr>
        <w:t xml:space="preserve">zu</w:t>
      </w:r>
      <w:r w:rsidRPr="00601F4B">
        <w:rPr>
          <w:rFonts w:ascii="Times New Roman" w:hAnsi="Times New Roman" w:eastAsia="Times New Roman" w:cs="Times New Roman"/>
          <w:color w:val="000000"/>
          <w:sz w:val="27"/>
          <w:szCs w:val="27"/>
          <w:lang w:eastAsia="de-DE"/>
        </w:rPr>
        <w:t xml:space="preserve">:</w:t>
      </w:r>
    </w:p>
    <w:p w:rsidRPr="00601F4B" w:rsidR="00601F4B" w:rsidP="00601F4B" w:rsidRDefault="00601F4B" w14:paraId="08A84B34" w14:textId="77777777">
      <w:pPr>
        <w:numPr>
          <w:ilvl w:val="0"/>
          <w:numId w:val="45"/>
        </w:numPr>
        <w:spacing w:before="240" w:after="240" w:line="240" w:lineRule="auto"/>
        <w:ind w:start="1200"/>
        <w:rPr>
          <w:rFonts w:ascii="Times New Roman" w:hAnsi="Times New Roman" w:eastAsia="Times New Roman" w:cs="Times New Roman"/>
          <w:color w:val="000000"/>
          <w:sz w:val="27"/>
          <w:szCs w:val="27"/>
          <w:lang w:eastAsia="de-DE"/>
        </w:rPr>
      </w:pPr>
      <w:r w:rsidRPr="00601F4B">
        <w:rPr>
          <w:rFonts w:ascii="Times New Roman" w:hAnsi="Times New Roman" w:eastAsia="Times New Roman" w:cs="Times New Roman"/>
          <w:color w:val="000000"/>
          <w:sz w:val="27"/>
          <w:szCs w:val="27"/>
          <w:lang w:eastAsia="de-DE"/>
        </w:rPr>
        <w:t xml:space="preserve">ihre </w:t>
      </w:r>
      <w:r w:rsidRPr="00601F4B">
        <w:rPr>
          <w:rFonts w:ascii="Times New Roman" w:hAnsi="Times New Roman" w:eastAsia="Times New Roman" w:cs="Times New Roman"/>
          <w:color w:val="000000"/>
          <w:sz w:val="27"/>
          <w:szCs w:val="27"/>
          <w:lang w:eastAsia="de-DE"/>
        </w:rPr>
        <w:t xml:space="preserve">Wirtschaftspolitik </w:t>
      </w:r>
      <w:r w:rsidRPr="00601F4B">
        <w:rPr>
          <w:rFonts w:ascii="Times New Roman" w:hAnsi="Times New Roman" w:eastAsia="Times New Roman" w:cs="Times New Roman"/>
          <w:color w:val="000000"/>
          <w:sz w:val="27"/>
          <w:szCs w:val="27"/>
          <w:lang w:eastAsia="de-DE"/>
        </w:rPr>
        <w:t xml:space="preserve">zu koordinieren</w:t>
      </w:r>
      <w:r w:rsidRPr="00601F4B">
        <w:rPr>
          <w:rFonts w:ascii="Times New Roman" w:hAnsi="Times New Roman" w:eastAsia="Times New Roman" w:cs="Times New Roman"/>
          <w:color w:val="000000"/>
          <w:sz w:val="27"/>
          <w:szCs w:val="27"/>
          <w:lang w:eastAsia="de-DE"/>
        </w:rPr>
        <w:t xml:space="preserve">;</w:t>
      </w:r>
    </w:p>
    <w:p w:rsidRPr="00601F4B" w:rsidR="00601F4B" w:rsidP="00601F4B" w:rsidRDefault="00601F4B" w14:paraId="3B59BD5E" w14:textId="77777777">
      <w:pPr>
        <w:numPr>
          <w:ilvl w:val="0"/>
          <w:numId w:val="45"/>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auf eine Konvergenz ihrer Wirtschaftsleistung hinarbeiten; und</w:t>
      </w:r>
    </w:p>
    <w:p w:rsidRPr="00601F4B" w:rsidR="00601F4B" w:rsidP="00601F4B" w:rsidRDefault="00601F4B" w14:paraId="7CC290D1" w14:textId="77777777">
      <w:pPr>
        <w:numPr>
          <w:ilvl w:val="0"/>
          <w:numId w:val="45"/>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nach den Grundsätzen einer offenen Marktwirtschaft handeln.</w:t>
      </w:r>
    </w:p>
    <w:p w:rsidRPr="00601F4B" w:rsidR="00601F4B" w:rsidP="00601F4B" w:rsidRDefault="00601F4B" w14:paraId="4F3AA1AE"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SCHLÜSSELPUNKTE</w:t>
      </w:r>
    </w:p>
    <w:p w:rsidRPr="00601F4B" w:rsidR="00601F4B" w:rsidP="00601F4B" w:rsidRDefault="00601F4B" w14:paraId="17595E84"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Die Kommunikation spricht für:</w:t>
      </w:r>
    </w:p>
    <w:p w:rsidRPr="00601F4B" w:rsidR="00601F4B" w:rsidP="00601F4B" w:rsidRDefault="00E52C24" w14:paraId="5A8B9A4F" w14:textId="77777777">
      <w:pPr>
        <w:numPr>
          <w:ilvl w:val="0"/>
          <w:numId w:val="46"/>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193">
        <w:r w:rsidRPr="00601F4B" w:rsidR="00601F4B">
          <w:rPr>
            <w:rFonts w:ascii="Times New Roman" w:hAnsi="Times New Roman" w:eastAsia="Times New Roman" w:cs="Times New Roman"/>
            <w:color w:val="0000FF"/>
            <w:sz w:val="27"/>
            <w:szCs w:val="27"/>
            <w:u w:val="single"/>
            <w:lang w:val="fr-FR" w:eastAsia="de-DE"/>
          </w:rPr>
          <w:t xml:space="preserve">ein europäisches Semester* </w:t>
        </w:r>
      </w:hyperlink>
      <w:r w:rsidRPr="00601F4B" w:rsidR="00601F4B">
        <w:rPr>
          <w:rFonts w:ascii="Times New Roman" w:hAnsi="Times New Roman" w:eastAsia="Times New Roman" w:cs="Times New Roman"/>
          <w:b/>
          <w:bCs/>
          <w:color w:val="000000"/>
          <w:sz w:val="27"/>
          <w:szCs w:val="27"/>
          <w:lang w:val="fr-FR" w:eastAsia="de-DE"/>
        </w:rPr>
        <w:t xml:space="preserve">neu gestaltet </w:t>
      </w:r>
      <w:r w:rsidRPr="00601F4B" w:rsidR="00601F4B">
        <w:rPr>
          <w:rFonts w:ascii="Times New Roman" w:hAnsi="Times New Roman" w:eastAsia="Times New Roman" w:cs="Times New Roman"/>
          <w:color w:val="000000"/>
          <w:sz w:val="27"/>
          <w:szCs w:val="27"/>
          <w:lang w:val="fr-FR" w:eastAsia="de-DE"/>
        </w:rPr>
        <w:t xml:space="preserve">in:</w:t>
      </w:r>
    </w:p>
    <w:p w:rsidRPr="00601F4B" w:rsidR="00601F4B" w:rsidP="00601F4B" w:rsidRDefault="00601F4B" w14:paraId="38ABB6EB"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die bessere Integration von nationalen und </w:t>
      </w:r>
      <w:hyperlink w:history="1" r:id="rId195">
        <w:r w:rsidRPr="00601F4B">
          <w:rPr>
            <w:rFonts w:ascii="Times New Roman" w:hAnsi="Times New Roman" w:eastAsia="Times New Roman" w:cs="Times New Roman"/>
            <w:color w:val="0000FF"/>
            <w:sz w:val="27"/>
            <w:szCs w:val="27"/>
            <w:u w:val="single"/>
            <w:lang w:val="fr-FR" w:eastAsia="de-DE"/>
          </w:rPr>
          <w:t xml:space="preserve">Euroraum-Überlegungen</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2E9536A1"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lastRenderedPageBreak/>
        <w:t xml:space="preserve">verstärktes Augenmerk auf die soziale und beschäftigungspolitische Leistung legen,</w:t>
      </w:r>
    </w:p>
    <w:p w:rsidRPr="00601F4B" w:rsidR="00601F4B" w:rsidP="00601F4B" w:rsidRDefault="00601F4B" w14:paraId="2D5D8F7D"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Förderung der wirtschaftlichen Konvergenz durch die Festlegung von Benchmarks und die Anwendung von Best Practices,</w:t>
      </w:r>
    </w:p>
    <w:p w:rsidRPr="00601F4B" w:rsidR="00601F4B" w:rsidP="00601F4B" w:rsidRDefault="00601F4B" w14:paraId="79566F72"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Unterstützung von Reformen durch die </w:t>
      </w:r>
      <w:hyperlink w:history="1" r:id="rId196">
        <w:r w:rsidRPr="00601F4B">
          <w:rPr>
            <w:rFonts w:ascii="Times New Roman" w:hAnsi="Times New Roman" w:eastAsia="Times New Roman" w:cs="Times New Roman"/>
            <w:color w:val="0000FF"/>
            <w:sz w:val="27"/>
            <w:szCs w:val="27"/>
            <w:u w:val="single"/>
            <w:lang w:val="fr-FR" w:eastAsia="de-DE"/>
          </w:rPr>
          <w:t xml:space="preserve">Europäischen Struktur- und Investitionsfonds </w:t>
        </w:r>
      </w:hyperlink>
      <w:r w:rsidRPr="00601F4B">
        <w:rPr>
          <w:rFonts w:ascii="Times New Roman" w:hAnsi="Times New Roman" w:eastAsia="Times New Roman" w:cs="Times New Roman"/>
          <w:color w:val="000000"/>
          <w:sz w:val="27"/>
          <w:szCs w:val="27"/>
          <w:lang w:val="fr-FR" w:eastAsia="de-DE"/>
        </w:rPr>
        <w:t xml:space="preserve">und technische Hilfe;</w:t>
      </w:r>
    </w:p>
    <w:p w:rsidRPr="00601F4B" w:rsidR="00601F4B" w:rsidP="00601F4B" w:rsidRDefault="00E52C24" w14:paraId="03FE5BBC" w14:textId="77777777">
      <w:pPr>
        <w:numPr>
          <w:ilvl w:val="0"/>
          <w:numId w:val="46"/>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sidR="00601F4B">
        <w:rPr>
          <w:rFonts w:ascii="Times New Roman" w:hAnsi="Times New Roman" w:eastAsia="Times New Roman" w:cs="Times New Roman"/>
          <w:b/>
          <w:bCs/>
          <w:color w:val="000000"/>
          <w:sz w:val="27"/>
          <w:szCs w:val="27"/>
          <w:lang w:val="fr-FR" w:eastAsia="de-DE"/>
        </w:rPr>
        <w:t xml:space="preserve">verbesserte </w:t>
      </w:r>
      <w:hyperlink w:history="1" r:id="rId197">
        <w:r w:rsidRPr="00601F4B" w:rsidR="00601F4B">
          <w:rPr>
            <w:rFonts w:ascii="Times New Roman" w:hAnsi="Times New Roman" w:eastAsia="Times New Roman" w:cs="Times New Roman"/>
            <w:color w:val="0000FF"/>
            <w:sz w:val="27"/>
            <w:szCs w:val="27"/>
            <w:u w:val="single"/>
            <w:lang w:val="fr-FR" w:eastAsia="de-DE"/>
          </w:rPr>
          <w:t xml:space="preserve">wirtschaftliche Steuerung </w:t>
        </w:r>
      </w:hyperlink>
      <w:r w:rsidRPr="00601F4B" w:rsidR="00601F4B">
        <w:rPr>
          <w:rFonts w:ascii="Times New Roman" w:hAnsi="Times New Roman" w:eastAsia="Times New Roman" w:cs="Times New Roman"/>
          <w:color w:val="000000"/>
          <w:sz w:val="27"/>
          <w:szCs w:val="27"/>
          <w:lang w:val="fr-FR" w:eastAsia="de-DE"/>
        </w:rPr>
        <w:t xml:space="preserve">in:</w:t>
      </w:r>
    </w:p>
    <w:p w:rsidRPr="00601F4B" w:rsidR="00601F4B" w:rsidP="00601F4B" w:rsidRDefault="00601F4B" w14:paraId="5011DD63"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Reduzierung der Komplexität und Erhöhung der Transparenz der Haushaltsregeln,</w:t>
      </w:r>
    </w:p>
    <w:p w:rsidRPr="00601F4B" w:rsidR="00601F4B" w:rsidP="00601F4B" w:rsidRDefault="00601F4B" w14:paraId="5867119B"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Stärkung der Verfahren zum Umgang mit </w:t>
      </w:r>
      <w:hyperlink w:history="1" r:id="rId198">
        <w:r w:rsidRPr="00601F4B">
          <w:rPr>
            <w:rFonts w:ascii="Times New Roman" w:hAnsi="Times New Roman" w:eastAsia="Times New Roman" w:cs="Times New Roman"/>
            <w:color w:val="0000FF"/>
            <w:sz w:val="27"/>
            <w:szCs w:val="27"/>
            <w:u w:val="single"/>
            <w:lang w:val="fr-FR" w:eastAsia="de-DE"/>
          </w:rPr>
          <w:t xml:space="preserve">makroökonomischen Ungleichgewichten</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051B3DB4"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Schaffung eines Systems von nationalen Behörden für die Wettbewerbsfähigkeit, die unabhängiges Fachwissen bereitstellen,</w:t>
      </w:r>
    </w:p>
    <w:p w:rsidRPr="00601F4B" w:rsidR="00601F4B" w:rsidP="00601F4B" w:rsidRDefault="00601F4B" w14:paraId="011AE66E"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die </w:t>
      </w:r>
      <w:r w:rsidRPr="00601F4B">
        <w:rPr>
          <w:rFonts w:ascii="Times New Roman" w:hAnsi="Times New Roman" w:eastAsia="Times New Roman" w:cs="Times New Roman"/>
          <w:color w:val="000000"/>
          <w:sz w:val="27"/>
          <w:szCs w:val="27"/>
          <w:lang w:val="fr-FR" w:eastAsia="de-DE"/>
        </w:rPr>
        <w:t xml:space="preserve">Einrichtung eines </w:t>
      </w:r>
      <w:hyperlink w:history="1" r:id="rId199">
        <w:r w:rsidRPr="00601F4B">
          <w:rPr>
            <w:rFonts w:ascii="Times New Roman" w:hAnsi="Times New Roman" w:eastAsia="Times New Roman" w:cs="Times New Roman"/>
            <w:color w:val="0000FF"/>
            <w:sz w:val="27"/>
            <w:szCs w:val="27"/>
            <w:u w:val="single"/>
            <w:lang w:val="fr-FR" w:eastAsia="de-DE"/>
          </w:rPr>
          <w:t xml:space="preserve">Europäischen </w:t>
        </w:r>
      </w:hyperlink>
      <w:r w:rsidRPr="00601F4B">
        <w:rPr>
          <w:rFonts w:ascii="Times New Roman" w:hAnsi="Times New Roman" w:eastAsia="Times New Roman" w:cs="Times New Roman"/>
          <w:color w:val="000000"/>
          <w:sz w:val="27"/>
          <w:szCs w:val="27"/>
          <w:lang w:val="fr-FR" w:eastAsia="de-DE"/>
        </w:rPr>
        <w:t xml:space="preserve">Beratenden </w:t>
      </w:r>
      <w:hyperlink w:history="1" r:id="rId199">
        <w:r w:rsidRPr="00601F4B">
          <w:rPr>
            <w:rFonts w:ascii="Times New Roman" w:hAnsi="Times New Roman" w:eastAsia="Times New Roman" w:cs="Times New Roman"/>
            <w:color w:val="0000FF"/>
            <w:sz w:val="27"/>
            <w:szCs w:val="27"/>
            <w:u w:val="single"/>
            <w:lang w:val="fr-FR" w:eastAsia="de-DE"/>
          </w:rPr>
          <w:t xml:space="preserve">Haushaltsausschusses </w:t>
        </w:r>
      </w:hyperlink>
      <w:r w:rsidRPr="00601F4B">
        <w:rPr>
          <w:rFonts w:ascii="Times New Roman" w:hAnsi="Times New Roman" w:eastAsia="Times New Roman" w:cs="Times New Roman"/>
          <w:color w:val="000000"/>
          <w:sz w:val="27"/>
          <w:szCs w:val="27"/>
          <w:lang w:val="fr-FR" w:eastAsia="de-DE"/>
        </w:rPr>
        <w:t xml:space="preserve">zur Verbesserung der haushaltspolitischen Überwachung des Euroraums;</w:t>
      </w:r>
    </w:p>
    <w:p w:rsidRPr="00601F4B" w:rsidR="00601F4B" w:rsidP="00601F4B" w:rsidRDefault="00601F4B" w14:paraId="0006BABE" w14:textId="77777777">
      <w:pPr>
        <w:numPr>
          <w:ilvl w:val="0"/>
          <w:numId w:val="46"/>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eine </w:t>
      </w:r>
      <w:r w:rsidRPr="00601F4B">
        <w:rPr>
          <w:rFonts w:ascii="Times New Roman" w:hAnsi="Times New Roman" w:eastAsia="Times New Roman" w:cs="Times New Roman"/>
          <w:b/>
          <w:bCs/>
          <w:color w:val="000000"/>
          <w:sz w:val="27"/>
          <w:szCs w:val="27"/>
          <w:lang w:val="fr-FR" w:eastAsia="de-DE"/>
        </w:rPr>
        <w:t xml:space="preserve">verstärkte Vertretung des Euro nach außen</w:t>
      </w:r>
      <w:r w:rsidRPr="00601F4B">
        <w:rPr>
          <w:rFonts w:ascii="Times New Roman" w:hAnsi="Times New Roman" w:eastAsia="Times New Roman" w:cs="Times New Roman"/>
          <w:color w:val="000000"/>
          <w:sz w:val="27"/>
          <w:szCs w:val="27"/>
          <w:lang w:val="fr-FR" w:eastAsia="de-DE"/>
        </w:rPr>
        <w:t xml:space="preserve">, indem die Länder des Euroraums ermutigt werden, auf der internationalen Bühne, insbesondere im </w:t>
      </w:r>
      <w:hyperlink w:history="1" r:id="rId200">
        <w:r w:rsidRPr="00601F4B">
          <w:rPr>
            <w:rFonts w:ascii="Times New Roman" w:hAnsi="Times New Roman" w:eastAsia="Times New Roman" w:cs="Times New Roman"/>
            <w:color w:val="0000FF"/>
            <w:sz w:val="27"/>
            <w:szCs w:val="27"/>
            <w:u w:val="single"/>
            <w:lang w:val="fr-FR" w:eastAsia="de-DE"/>
          </w:rPr>
          <w:t xml:space="preserve">Internationalen Währungsfonds, </w:t>
        </w:r>
      </w:hyperlink>
      <w:r w:rsidRPr="00601F4B">
        <w:rPr>
          <w:rFonts w:ascii="Times New Roman" w:hAnsi="Times New Roman" w:eastAsia="Times New Roman" w:cs="Times New Roman"/>
          <w:color w:val="000000"/>
          <w:sz w:val="27"/>
          <w:szCs w:val="27"/>
          <w:lang w:val="fr-FR" w:eastAsia="de-DE"/>
        </w:rPr>
        <w:t xml:space="preserve">mit einer Stimme zu sprechen</w:t>
      </w:r>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1D36C805" w14:textId="77777777">
      <w:pPr>
        <w:numPr>
          <w:ilvl w:val="0"/>
          <w:numId w:val="46"/>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b/>
          <w:bCs/>
          <w:color w:val="000000"/>
          <w:sz w:val="27"/>
          <w:szCs w:val="27"/>
          <w:lang w:val="fr-FR" w:eastAsia="de-DE"/>
        </w:rPr>
        <w:t xml:space="preserve">den Wunsch, sich in Richtung einer echten Finanzunion zu bewegen</w:t>
      </w:r>
      <w:r w:rsidRPr="00601F4B">
        <w:rPr>
          <w:rFonts w:ascii="Times New Roman" w:hAnsi="Times New Roman" w:eastAsia="Times New Roman" w:cs="Times New Roman"/>
          <w:color w:val="000000"/>
          <w:sz w:val="27"/>
          <w:szCs w:val="27"/>
          <w:lang w:val="fr-FR" w:eastAsia="de-DE"/>
        </w:rPr>
        <w:t xml:space="preserve">, insbesondere durch:</w:t>
      </w:r>
    </w:p>
    <w:p w:rsidRPr="00601F4B" w:rsidR="00601F4B" w:rsidP="00601F4B" w:rsidRDefault="00601F4B" w14:paraId="59A4213F"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hyperlink w:history="1" r:id="rId201">
        <w:r w:rsidRPr="00601F4B">
          <w:rPr>
            <w:rFonts w:ascii="Times New Roman" w:hAnsi="Times New Roman" w:eastAsia="Times New Roman" w:cs="Times New Roman"/>
            <w:color w:val="0000FF"/>
            <w:sz w:val="27"/>
            <w:szCs w:val="27"/>
            <w:u w:val="single"/>
            <w:lang w:val="fr-FR" w:eastAsia="de-DE"/>
          </w:rPr>
          <w:t xml:space="preserve">die Gründung </w:t>
        </w:r>
      </w:hyperlink>
      <w:r w:rsidRPr="00601F4B">
        <w:rPr>
          <w:rFonts w:ascii="Times New Roman" w:hAnsi="Times New Roman" w:eastAsia="Times New Roman" w:cs="Times New Roman"/>
          <w:color w:val="000000"/>
          <w:sz w:val="27"/>
          <w:szCs w:val="27"/>
          <w:lang w:val="fr-FR" w:eastAsia="de-DE"/>
        </w:rPr>
        <w:t xml:space="preserve">einer </w:t>
      </w:r>
      <w:hyperlink w:history="1" r:id="rId201">
        <w:r w:rsidRPr="00601F4B">
          <w:rPr>
            <w:rFonts w:ascii="Times New Roman" w:hAnsi="Times New Roman" w:eastAsia="Times New Roman" w:cs="Times New Roman"/>
            <w:color w:val="0000FF"/>
            <w:sz w:val="27"/>
            <w:szCs w:val="27"/>
            <w:u w:val="single"/>
            <w:lang w:val="fr-FR" w:eastAsia="de-DE"/>
          </w:rPr>
          <w:t xml:space="preserve">Bankenunion</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089C4ECF"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die Genehmigung eines </w:t>
      </w:r>
      <w:hyperlink w:history="1" r:id="rId202">
        <w:r w:rsidRPr="00601F4B">
          <w:rPr>
            <w:rFonts w:ascii="Times New Roman" w:hAnsi="Times New Roman" w:eastAsia="Times New Roman" w:cs="Times New Roman"/>
            <w:color w:val="0000FF"/>
            <w:sz w:val="27"/>
            <w:szCs w:val="27"/>
            <w:u w:val="single"/>
            <w:lang w:val="fr-FR" w:eastAsia="de-DE"/>
          </w:rPr>
          <w:t xml:space="preserve">europäischen Einlagensicherungssystems</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6F881FFB" w14:textId="77777777">
      <w:pPr>
        <w:numPr>
          <w:ilvl w:val="1"/>
          <w:numId w:val="46"/>
        </w:numPr>
        <w:spacing w:before="240" w:after="240" w:line="240" w:lineRule="auto"/>
        <w:ind w:start="2400"/>
        <w:rPr>
          <w:rFonts w:ascii="Times New Roman" w:hAnsi="Times New Roman" w:eastAsia="Times New Roman" w:cs="Times New Roman"/>
          <w:color w:val="000000"/>
          <w:sz w:val="27"/>
          <w:szCs w:val="27"/>
          <w:lang w:val="fr-FR" w:eastAsia="de-DE"/>
        </w:rPr>
      </w:pPr>
      <w:hyperlink w:history="1" r:id="rId203">
        <w:r w:rsidRPr="00601F4B">
          <w:rPr>
            <w:rFonts w:ascii="Times New Roman" w:hAnsi="Times New Roman" w:eastAsia="Times New Roman" w:cs="Times New Roman"/>
            <w:color w:val="0000FF"/>
            <w:sz w:val="27"/>
            <w:szCs w:val="27"/>
            <w:u w:val="single"/>
            <w:lang w:val="fr-FR" w:eastAsia="de-DE"/>
          </w:rPr>
          <w:t xml:space="preserve">Gründung </w:t>
        </w:r>
      </w:hyperlink>
      <w:r w:rsidRPr="00601F4B">
        <w:rPr>
          <w:rFonts w:ascii="Times New Roman" w:hAnsi="Times New Roman" w:eastAsia="Times New Roman" w:cs="Times New Roman"/>
          <w:color w:val="000000"/>
          <w:sz w:val="27"/>
          <w:szCs w:val="27"/>
          <w:lang w:val="fr-FR" w:eastAsia="de-DE"/>
        </w:rPr>
        <w:t xml:space="preserve">einer </w:t>
      </w:r>
      <w:hyperlink w:history="1" r:id="rId203">
        <w:r w:rsidRPr="00601F4B">
          <w:rPr>
            <w:rFonts w:ascii="Times New Roman" w:hAnsi="Times New Roman" w:eastAsia="Times New Roman" w:cs="Times New Roman"/>
            <w:color w:val="0000FF"/>
            <w:sz w:val="27"/>
            <w:szCs w:val="27"/>
            <w:u w:val="single"/>
            <w:lang w:val="fr-FR" w:eastAsia="de-DE"/>
          </w:rPr>
          <w:t xml:space="preserve">Kapitalmarktunion</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543FD6A5" w14:textId="77777777">
      <w:pPr>
        <w:numPr>
          <w:ilvl w:val="0"/>
          <w:numId w:val="46"/>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eine </w:t>
      </w:r>
      <w:r w:rsidRPr="00601F4B">
        <w:rPr>
          <w:rFonts w:ascii="Times New Roman" w:hAnsi="Times New Roman" w:eastAsia="Times New Roman" w:cs="Times New Roman"/>
          <w:color w:val="000000"/>
          <w:sz w:val="27"/>
          <w:szCs w:val="27"/>
          <w:lang w:val="fr-FR" w:eastAsia="de-DE"/>
        </w:rPr>
        <w:t xml:space="preserve">wirksamere </w:t>
      </w:r>
      <w:r w:rsidRPr="00601F4B">
        <w:rPr>
          <w:rFonts w:ascii="Times New Roman" w:hAnsi="Times New Roman" w:eastAsia="Times New Roman" w:cs="Times New Roman"/>
          <w:b/>
          <w:bCs/>
          <w:color w:val="000000"/>
          <w:sz w:val="27"/>
          <w:szCs w:val="27"/>
          <w:lang w:val="fr-FR" w:eastAsia="de-DE"/>
        </w:rPr>
        <w:t xml:space="preserve">demokratische Legitimation </w:t>
      </w:r>
      <w:r w:rsidRPr="00601F4B">
        <w:rPr>
          <w:rFonts w:ascii="Times New Roman" w:hAnsi="Times New Roman" w:eastAsia="Times New Roman" w:cs="Times New Roman"/>
          <w:color w:val="000000"/>
          <w:sz w:val="27"/>
          <w:szCs w:val="27"/>
          <w:lang w:val="fr-FR" w:eastAsia="de-DE"/>
        </w:rPr>
        <w:t xml:space="preserve">durch eine stärkere parlamentarische Kontrolle der Entwicklungen in der WWU und eine engere Einbeziehung der nationalen Parlamente.</w:t>
      </w:r>
    </w:p>
    <w:p w:rsidRPr="00601F4B" w:rsidR="00601F4B" w:rsidP="00601F4B" w:rsidRDefault="00601F4B" w14:paraId="301A5886" w14:textId="77777777">
      <w:pPr>
        <w:spacing w:before="195" w:after="0" w:line="240" w:lineRule="auto"/>
        <w:jc w:val="both"/>
        <w:rPr>
          <w:rFonts w:ascii="Times New Roman" w:hAnsi="Times New Roman" w:eastAsia="Times New Roman" w:cs="Times New Roman"/>
          <w:color w:val="000000"/>
          <w:sz w:val="27"/>
          <w:szCs w:val="27"/>
          <w:lang w:eastAsia="de-DE"/>
        </w:rPr>
      </w:pPr>
      <w:r w:rsidRPr="00601F4B">
        <w:rPr>
          <w:rFonts w:ascii="Times New Roman" w:hAnsi="Times New Roman" w:eastAsia="Times New Roman" w:cs="Times New Roman"/>
          <w:color w:val="000000"/>
          <w:sz w:val="27"/>
          <w:szCs w:val="27"/>
          <w:lang w:val="fr-FR" w:eastAsia="de-DE"/>
        </w:rPr>
        <w:t xml:space="preserve">Im Mai 2017 veröffentlichte die Kommission ein Reflexionspapier zur WWU auf der Grundlage der Mitteilung von 2015. Dieses fördert </w:t>
      </w:r>
      <w:r w:rsidRPr="00601F4B">
        <w:rPr>
          <w:rFonts w:ascii="Times New Roman" w:hAnsi="Times New Roman" w:eastAsia="Times New Roman" w:cs="Times New Roman"/>
          <w:b/>
          <w:bCs/>
          <w:color w:val="000000"/>
          <w:sz w:val="27"/>
          <w:szCs w:val="27"/>
          <w:lang w:val="fr-FR" w:eastAsia="de-DE"/>
        </w:rPr>
        <w:t xml:space="preserve">vier Prinzipien </w:t>
      </w:r>
      <w:r w:rsidRPr="00601F4B">
        <w:rPr>
          <w:rFonts w:ascii="Times New Roman" w:hAnsi="Times New Roman" w:eastAsia="Times New Roman" w:cs="Times New Roman"/>
          <w:color w:val="000000"/>
          <w:sz w:val="27"/>
          <w:szCs w:val="27"/>
          <w:lang w:val="fr-FR" w:eastAsia="de-DE"/>
        </w:rPr>
        <w:t xml:space="preserve">zur Stärkung der gemeinsamen Währung und zur gemeinsamen Bewältigung von Themen von gemeinsamem Interesse, die nationale Grenzen überschreiten. </w:t>
      </w:r>
      <w:r w:rsidRPr="00601F4B">
        <w:rPr>
          <w:rFonts w:ascii="Times New Roman" w:hAnsi="Times New Roman" w:eastAsia="Times New Roman" w:cs="Times New Roman"/>
          <w:color w:val="000000"/>
          <w:sz w:val="27"/>
          <w:szCs w:val="27"/>
          <w:lang w:eastAsia="de-DE"/>
        </w:rPr>
        <w:t xml:space="preserve">Diese </w:t>
      </w:r>
      <w:r w:rsidRPr="00601F4B">
        <w:rPr>
          <w:rFonts w:ascii="Times New Roman" w:hAnsi="Times New Roman" w:eastAsia="Times New Roman" w:cs="Times New Roman"/>
          <w:color w:val="000000"/>
          <w:sz w:val="27"/>
          <w:szCs w:val="27"/>
          <w:lang w:eastAsia="de-DE"/>
        </w:rPr>
        <w:t xml:space="preserve">sind</w:t>
      </w:r>
      <w:r w:rsidRPr="00601F4B">
        <w:rPr>
          <w:rFonts w:ascii="Times New Roman" w:hAnsi="Times New Roman" w:eastAsia="Times New Roman" w:cs="Times New Roman"/>
          <w:color w:val="000000"/>
          <w:sz w:val="27"/>
          <w:szCs w:val="27"/>
          <w:lang w:eastAsia="de-DE"/>
        </w:rPr>
        <w:t xml:space="preserve">:</w:t>
      </w:r>
    </w:p>
    <w:p w:rsidRPr="00601F4B" w:rsidR="00601F4B" w:rsidP="00601F4B" w:rsidRDefault="00601F4B" w14:paraId="7DC2EBAF" w14:textId="77777777">
      <w:pPr>
        <w:numPr>
          <w:ilvl w:val="0"/>
          <w:numId w:val="47"/>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b/>
          <w:bCs/>
          <w:color w:val="000000"/>
          <w:sz w:val="27"/>
          <w:szCs w:val="27"/>
          <w:lang w:val="fr-FR" w:eastAsia="de-DE"/>
        </w:rPr>
        <w:t xml:space="preserve">Beschäftigung</w:t>
      </w:r>
      <w:r w:rsidRPr="00601F4B">
        <w:rPr>
          <w:rFonts w:ascii="Times New Roman" w:hAnsi="Times New Roman" w:eastAsia="Times New Roman" w:cs="Times New Roman"/>
          <w:color w:val="000000"/>
          <w:sz w:val="27"/>
          <w:szCs w:val="27"/>
          <w:lang w:val="fr-FR" w:eastAsia="de-DE"/>
        </w:rPr>
        <w:t xml:space="preserve">, </w:t>
      </w:r>
      <w:r w:rsidRPr="00601F4B">
        <w:rPr>
          <w:rFonts w:ascii="Times New Roman" w:hAnsi="Times New Roman" w:eastAsia="Times New Roman" w:cs="Times New Roman"/>
          <w:b/>
          <w:bCs/>
          <w:color w:val="000000"/>
          <w:sz w:val="27"/>
          <w:szCs w:val="27"/>
          <w:lang w:val="fr-FR" w:eastAsia="de-DE"/>
        </w:rPr>
        <w:t xml:space="preserve">Wachstum</w:t>
      </w:r>
      <w:r w:rsidRPr="00601F4B">
        <w:rPr>
          <w:rFonts w:ascii="Times New Roman" w:hAnsi="Times New Roman" w:eastAsia="Times New Roman" w:cs="Times New Roman"/>
          <w:color w:val="000000"/>
          <w:sz w:val="27"/>
          <w:szCs w:val="27"/>
          <w:lang w:val="fr-FR" w:eastAsia="de-DE"/>
        </w:rPr>
        <w:t xml:space="preserve">, </w:t>
      </w:r>
      <w:r w:rsidRPr="00601F4B">
        <w:rPr>
          <w:rFonts w:ascii="Times New Roman" w:hAnsi="Times New Roman" w:eastAsia="Times New Roman" w:cs="Times New Roman"/>
          <w:b/>
          <w:bCs/>
          <w:color w:val="000000"/>
          <w:sz w:val="27"/>
          <w:szCs w:val="27"/>
          <w:lang w:val="fr-FR" w:eastAsia="de-DE"/>
        </w:rPr>
        <w:t xml:space="preserve">soziale Gerechtigkeit</w:t>
      </w:r>
      <w:r w:rsidRPr="00601F4B">
        <w:rPr>
          <w:rFonts w:ascii="Times New Roman" w:hAnsi="Times New Roman" w:eastAsia="Times New Roman" w:cs="Times New Roman"/>
          <w:color w:val="000000"/>
          <w:sz w:val="27"/>
          <w:szCs w:val="27"/>
          <w:lang w:val="fr-FR" w:eastAsia="de-DE"/>
        </w:rPr>
        <w:t xml:space="preserve">, </w:t>
      </w:r>
      <w:r w:rsidRPr="00601F4B">
        <w:rPr>
          <w:rFonts w:ascii="Times New Roman" w:hAnsi="Times New Roman" w:eastAsia="Times New Roman" w:cs="Times New Roman"/>
          <w:b/>
          <w:bCs/>
          <w:color w:val="000000"/>
          <w:sz w:val="27"/>
          <w:szCs w:val="27"/>
          <w:lang w:val="fr-FR" w:eastAsia="de-DE"/>
        </w:rPr>
        <w:t xml:space="preserve">wirtschaftliche Konvergenz </w:t>
      </w:r>
      <w:r w:rsidRPr="00601F4B">
        <w:rPr>
          <w:rFonts w:ascii="Times New Roman" w:hAnsi="Times New Roman" w:eastAsia="Times New Roman" w:cs="Times New Roman"/>
          <w:color w:val="000000"/>
          <w:sz w:val="27"/>
          <w:szCs w:val="27"/>
          <w:lang w:val="fr-FR" w:eastAsia="de-DE"/>
        </w:rPr>
        <w:t xml:space="preserve">und </w:t>
      </w:r>
      <w:r w:rsidRPr="00601F4B">
        <w:rPr>
          <w:rFonts w:ascii="Times New Roman" w:hAnsi="Times New Roman" w:eastAsia="Times New Roman" w:cs="Times New Roman"/>
          <w:b/>
          <w:bCs/>
          <w:color w:val="000000"/>
          <w:sz w:val="27"/>
          <w:szCs w:val="27"/>
          <w:lang w:val="fr-FR" w:eastAsia="de-DE"/>
        </w:rPr>
        <w:t xml:space="preserve">finanzielle Stabilität</w:t>
      </w:r>
      <w:r w:rsidRPr="00601F4B">
        <w:rPr>
          <w:rFonts w:ascii="Times New Roman" w:hAnsi="Times New Roman" w:eastAsia="Times New Roman" w:cs="Times New Roman"/>
          <w:color w:val="000000"/>
          <w:sz w:val="27"/>
          <w:szCs w:val="27"/>
          <w:lang w:val="fr-FR" w:eastAsia="de-DE"/>
        </w:rPr>
        <w:t xml:space="preserve">, die wichtigsten Ziele der WWU;</w:t>
      </w:r>
    </w:p>
    <w:p w:rsidRPr="00601F4B" w:rsidR="00601F4B" w:rsidP="00601F4B" w:rsidRDefault="00601F4B" w14:paraId="39D8A511" w14:textId="77777777">
      <w:pPr>
        <w:numPr>
          <w:ilvl w:val="0"/>
          <w:numId w:val="47"/>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b/>
          <w:bCs/>
          <w:color w:val="000000"/>
          <w:sz w:val="27"/>
          <w:szCs w:val="27"/>
          <w:lang w:val="fr-FR" w:eastAsia="de-DE"/>
        </w:rPr>
        <w:lastRenderedPageBreak/>
        <w:t xml:space="preserve">Solidarität </w:t>
      </w:r>
      <w:r w:rsidRPr="00601F4B">
        <w:rPr>
          <w:rFonts w:ascii="Times New Roman" w:hAnsi="Times New Roman" w:eastAsia="Times New Roman" w:cs="Times New Roman"/>
          <w:color w:val="000000"/>
          <w:sz w:val="27"/>
          <w:szCs w:val="27"/>
          <w:lang w:val="fr-FR" w:eastAsia="de-DE"/>
        </w:rPr>
        <w:t xml:space="preserve">und </w:t>
      </w:r>
      <w:r w:rsidRPr="00601F4B">
        <w:rPr>
          <w:rFonts w:ascii="Times New Roman" w:hAnsi="Times New Roman" w:eastAsia="Times New Roman" w:cs="Times New Roman"/>
          <w:b/>
          <w:bCs/>
          <w:color w:val="000000"/>
          <w:sz w:val="27"/>
          <w:szCs w:val="27"/>
          <w:lang w:val="fr-FR" w:eastAsia="de-DE"/>
        </w:rPr>
        <w:t xml:space="preserve">Verantwortung</w:t>
      </w:r>
      <w:r w:rsidRPr="00601F4B">
        <w:rPr>
          <w:rFonts w:ascii="Times New Roman" w:hAnsi="Times New Roman" w:eastAsia="Times New Roman" w:cs="Times New Roman"/>
          <w:color w:val="000000"/>
          <w:sz w:val="27"/>
          <w:szCs w:val="27"/>
          <w:lang w:val="fr-FR" w:eastAsia="de-DE"/>
        </w:rPr>
        <w:t xml:space="preserve">, </w:t>
      </w:r>
      <w:r w:rsidRPr="00601F4B">
        <w:rPr>
          <w:rFonts w:ascii="Times New Roman" w:hAnsi="Times New Roman" w:eastAsia="Times New Roman" w:cs="Times New Roman"/>
          <w:b/>
          <w:bCs/>
          <w:color w:val="000000"/>
          <w:sz w:val="27"/>
          <w:szCs w:val="27"/>
          <w:lang w:val="fr-FR" w:eastAsia="de-DE"/>
        </w:rPr>
        <w:t xml:space="preserve">Risikominderung </w:t>
      </w:r>
      <w:r w:rsidRPr="00601F4B">
        <w:rPr>
          <w:rFonts w:ascii="Times New Roman" w:hAnsi="Times New Roman" w:eastAsia="Times New Roman" w:cs="Times New Roman"/>
          <w:color w:val="000000"/>
          <w:sz w:val="27"/>
          <w:szCs w:val="27"/>
          <w:lang w:val="fr-FR" w:eastAsia="de-DE"/>
        </w:rPr>
        <w:t xml:space="preserve">und </w:t>
      </w:r>
      <w:r w:rsidRPr="00601F4B">
        <w:rPr>
          <w:rFonts w:ascii="Times New Roman" w:hAnsi="Times New Roman" w:eastAsia="Times New Roman" w:cs="Times New Roman"/>
          <w:b/>
          <w:bCs/>
          <w:color w:val="000000"/>
          <w:sz w:val="27"/>
          <w:szCs w:val="27"/>
          <w:lang w:val="fr-FR" w:eastAsia="de-DE"/>
        </w:rPr>
        <w:t xml:space="preserve">Risikoteilung</w:t>
      </w:r>
      <w:r w:rsidRPr="00601F4B">
        <w:rPr>
          <w:rFonts w:ascii="Times New Roman" w:hAnsi="Times New Roman" w:eastAsia="Times New Roman" w:cs="Times New Roman"/>
          <w:color w:val="000000"/>
          <w:sz w:val="27"/>
          <w:szCs w:val="27"/>
          <w:lang w:val="fr-FR" w:eastAsia="de-DE"/>
        </w:rPr>
        <w:t xml:space="preserve">, die eng miteinander verbunden sind;</w:t>
      </w:r>
    </w:p>
    <w:p w:rsidRPr="00601F4B" w:rsidR="00601F4B" w:rsidP="00601F4B" w:rsidRDefault="00601F4B" w14:paraId="474146D5" w14:textId="77777777">
      <w:pPr>
        <w:numPr>
          <w:ilvl w:val="0"/>
          <w:numId w:val="47"/>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Die </w:t>
      </w:r>
      <w:r w:rsidRPr="00601F4B">
        <w:rPr>
          <w:rFonts w:ascii="Times New Roman" w:hAnsi="Times New Roman" w:eastAsia="Times New Roman" w:cs="Times New Roman"/>
          <w:b/>
          <w:bCs/>
          <w:color w:val="000000"/>
          <w:sz w:val="27"/>
          <w:szCs w:val="27"/>
          <w:lang w:val="fr-FR" w:eastAsia="de-DE"/>
        </w:rPr>
        <w:t xml:space="preserve">Mitgliedschaft in der WWU</w:t>
      </w:r>
      <w:r w:rsidRPr="00601F4B">
        <w:rPr>
          <w:rFonts w:ascii="Times New Roman" w:hAnsi="Times New Roman" w:eastAsia="Times New Roman" w:cs="Times New Roman"/>
          <w:color w:val="000000"/>
          <w:sz w:val="27"/>
          <w:szCs w:val="27"/>
          <w:lang w:val="fr-FR" w:eastAsia="de-DE"/>
        </w:rPr>
        <w:t xml:space="preserve">, die allen EU-Ländern offen steht (außer dem Vereinigten Königreich (</w:t>
      </w:r>
      <w:hyperlink w:history="1" w:anchor="BREXIT" r:id="rId204">
        <w:r w:rsidRPr="00601F4B">
          <w:rPr>
            <w:rFonts w:ascii="Times New Roman" w:hAnsi="Times New Roman" w:eastAsia="Times New Roman" w:cs="Times New Roman"/>
            <w:color w:val="0000FF"/>
            <w:sz w:val="24"/>
            <w:szCs w:val="24"/>
            <w:u w:val="single"/>
            <w:vertAlign w:val="superscript"/>
            <w:lang w:val="fr-FR" w:eastAsia="de-DE"/>
          </w:rPr>
          <w:t xml:space="preserve">1 ) </w:t>
        </w:r>
      </w:hyperlink>
      <w:r w:rsidRPr="00601F4B">
        <w:rPr>
          <w:rFonts w:ascii="Times New Roman" w:hAnsi="Times New Roman" w:eastAsia="Times New Roman" w:cs="Times New Roman"/>
          <w:color w:val="000000"/>
          <w:sz w:val="27"/>
          <w:szCs w:val="27"/>
          <w:lang w:val="fr-FR" w:eastAsia="de-DE"/>
        </w:rPr>
        <w:t xml:space="preserve">und Dänemark, die </w:t>
      </w:r>
      <w:hyperlink w:history="1" r:id="rId205">
        <w:r w:rsidRPr="00601F4B">
          <w:rPr>
            <w:rFonts w:ascii="Times New Roman" w:hAnsi="Times New Roman" w:eastAsia="Times New Roman" w:cs="Times New Roman"/>
            <w:color w:val="0000FF"/>
            <w:sz w:val="27"/>
            <w:szCs w:val="27"/>
            <w:u w:val="single"/>
            <w:lang w:val="fr-FR" w:eastAsia="de-DE"/>
          </w:rPr>
          <w:t xml:space="preserve">sich gegen einen Beitritt entschieden haben</w:t>
        </w:r>
      </w:hyperlink>
      <w:r w:rsidRPr="00601F4B">
        <w:rPr>
          <w:rFonts w:ascii="Times New Roman" w:hAnsi="Times New Roman" w:eastAsia="Times New Roman" w:cs="Times New Roman"/>
          <w:color w:val="000000"/>
          <w:sz w:val="27"/>
          <w:szCs w:val="27"/>
          <w:lang w:val="fr-FR" w:eastAsia="de-DE"/>
        </w:rPr>
        <w:t xml:space="preserve">). Der Binnenmarkt ist für eine wirksame gemeinsame Währung unerlässlich, und seine Integrität muss erhalten bleiben;</w:t>
      </w:r>
    </w:p>
    <w:p w:rsidRPr="00601F4B" w:rsidR="00601F4B" w:rsidP="00601F4B" w:rsidRDefault="00601F4B" w14:paraId="2E472210" w14:textId="77777777">
      <w:pPr>
        <w:numPr>
          <w:ilvl w:val="0"/>
          <w:numId w:val="47"/>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die </w:t>
      </w:r>
      <w:r w:rsidRPr="00601F4B">
        <w:rPr>
          <w:rFonts w:ascii="Times New Roman" w:hAnsi="Times New Roman" w:eastAsia="Times New Roman" w:cs="Times New Roman"/>
          <w:b/>
          <w:bCs/>
          <w:color w:val="000000"/>
          <w:sz w:val="27"/>
          <w:szCs w:val="27"/>
          <w:lang w:val="fr-FR" w:eastAsia="de-DE"/>
        </w:rPr>
        <w:t xml:space="preserve">Methode der Entscheidungsfindung</w:t>
      </w:r>
      <w:r w:rsidRPr="00601F4B">
        <w:rPr>
          <w:rFonts w:ascii="Times New Roman" w:hAnsi="Times New Roman" w:eastAsia="Times New Roman" w:cs="Times New Roman"/>
          <w:color w:val="000000"/>
          <w:sz w:val="27"/>
          <w:szCs w:val="27"/>
          <w:lang w:val="fr-FR" w:eastAsia="de-DE"/>
        </w:rPr>
        <w:t xml:space="preserve">, die transparenter und demokratischer werden muss.</w:t>
      </w:r>
    </w:p>
    <w:p w:rsidRPr="00601F4B" w:rsidR="00601F4B" w:rsidP="00601F4B" w:rsidRDefault="00601F4B" w14:paraId="79F27AA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In dem Papier wird die Notwendigkeit von Fortschritten in </w:t>
      </w:r>
      <w:r w:rsidRPr="00601F4B">
        <w:rPr>
          <w:rFonts w:ascii="Times New Roman" w:hAnsi="Times New Roman" w:eastAsia="Times New Roman" w:cs="Times New Roman"/>
          <w:b/>
          <w:bCs/>
          <w:color w:val="000000"/>
          <w:sz w:val="27"/>
          <w:szCs w:val="27"/>
          <w:lang w:val="fr-FR" w:eastAsia="de-DE"/>
        </w:rPr>
        <w:t xml:space="preserve">drei Bereichen </w:t>
      </w:r>
      <w:r w:rsidRPr="00601F4B">
        <w:rPr>
          <w:rFonts w:ascii="Times New Roman" w:hAnsi="Times New Roman" w:eastAsia="Times New Roman" w:cs="Times New Roman"/>
          <w:color w:val="000000"/>
          <w:sz w:val="27"/>
          <w:szCs w:val="27"/>
          <w:lang w:val="fr-FR" w:eastAsia="de-DE"/>
        </w:rPr>
        <w:t xml:space="preserve">hervorgehoben</w:t>
      </w:r>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665762E1" w14:textId="77777777">
      <w:pPr>
        <w:numPr>
          <w:ilvl w:val="0"/>
          <w:numId w:val="48"/>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die Schaffung einer </w:t>
      </w:r>
      <w:r w:rsidRPr="00601F4B">
        <w:rPr>
          <w:rFonts w:ascii="Times New Roman" w:hAnsi="Times New Roman" w:eastAsia="Times New Roman" w:cs="Times New Roman"/>
          <w:b/>
          <w:bCs/>
          <w:color w:val="000000"/>
          <w:sz w:val="27"/>
          <w:szCs w:val="27"/>
          <w:lang w:val="fr-FR" w:eastAsia="de-DE"/>
        </w:rPr>
        <w:t xml:space="preserve">echten Finanzunion</w:t>
      </w:r>
      <w:r w:rsidRPr="00601F4B">
        <w:rPr>
          <w:rFonts w:ascii="Times New Roman" w:hAnsi="Times New Roman" w:eastAsia="Times New Roman" w:cs="Times New Roman"/>
          <w:color w:val="000000"/>
          <w:sz w:val="27"/>
          <w:szCs w:val="27"/>
          <w:lang w:val="fr-FR" w:eastAsia="de-DE"/>
        </w:rPr>
        <w:t xml:space="preserve">, insbesondere durch die Stärkung der Widerstandsfähigkeit des Bankensektors;</w:t>
      </w:r>
    </w:p>
    <w:p w:rsidRPr="00601F4B" w:rsidR="00601F4B" w:rsidP="00601F4B" w:rsidRDefault="00601F4B" w14:paraId="41793D43" w14:textId="77777777">
      <w:pPr>
        <w:numPr>
          <w:ilvl w:val="0"/>
          <w:numId w:val="48"/>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Erreichen einer </w:t>
      </w:r>
      <w:r w:rsidRPr="00601F4B">
        <w:rPr>
          <w:rFonts w:ascii="Times New Roman" w:hAnsi="Times New Roman" w:eastAsia="Times New Roman" w:cs="Times New Roman"/>
          <w:b/>
          <w:bCs/>
          <w:color w:val="000000"/>
          <w:sz w:val="27"/>
          <w:szCs w:val="27"/>
          <w:lang w:val="fr-FR" w:eastAsia="de-DE"/>
        </w:rPr>
        <w:t xml:space="preserve">stärker integrierten Wirtschafts- und Fiskalunion </w:t>
      </w:r>
      <w:r w:rsidRPr="00601F4B">
        <w:rPr>
          <w:rFonts w:ascii="Times New Roman" w:hAnsi="Times New Roman" w:eastAsia="Times New Roman" w:cs="Times New Roman"/>
          <w:color w:val="000000"/>
          <w:sz w:val="27"/>
          <w:szCs w:val="27"/>
          <w:lang w:val="fr-FR" w:eastAsia="de-DE"/>
        </w:rPr>
        <w:t xml:space="preserve">durch Verbesserung der makroökonomischen Stabilisierung im Euroraum;</w:t>
      </w:r>
    </w:p>
    <w:p w:rsidRPr="00601F4B" w:rsidR="00601F4B" w:rsidP="00601F4B" w:rsidRDefault="00601F4B" w14:paraId="632FFFEA" w14:textId="77777777">
      <w:pPr>
        <w:numPr>
          <w:ilvl w:val="0"/>
          <w:numId w:val="48"/>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Stärkung der WWU-Architektur durch eine </w:t>
      </w:r>
      <w:r w:rsidRPr="00601F4B">
        <w:rPr>
          <w:rFonts w:ascii="Times New Roman" w:hAnsi="Times New Roman" w:eastAsia="Times New Roman" w:cs="Times New Roman"/>
          <w:b/>
          <w:bCs/>
          <w:color w:val="000000"/>
          <w:sz w:val="27"/>
          <w:szCs w:val="27"/>
          <w:lang w:val="fr-FR" w:eastAsia="de-DE"/>
        </w:rPr>
        <w:t xml:space="preserve">bessere Aufteilung der nationalen Zuständigkeiten und Entscheidungen </w:t>
      </w:r>
      <w:r w:rsidRPr="00601F4B">
        <w:rPr>
          <w:rFonts w:ascii="Times New Roman" w:hAnsi="Times New Roman" w:eastAsia="Times New Roman" w:cs="Times New Roman"/>
          <w:color w:val="000000"/>
          <w:sz w:val="27"/>
          <w:szCs w:val="27"/>
          <w:lang w:val="fr-FR" w:eastAsia="de-DE"/>
        </w:rPr>
        <w:t xml:space="preserve">innerhalb des Euroraums innerhalb eines gemeinsamen Rechtsrahmens.</w:t>
      </w:r>
    </w:p>
    <w:p w:rsidRPr="00601F4B" w:rsidR="00601F4B" w:rsidP="00601F4B" w:rsidRDefault="00601F4B" w14:paraId="4379A646"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HINTERGRUND</w:t>
      </w:r>
    </w:p>
    <w:p w:rsidRPr="00601F4B" w:rsidR="00601F4B" w:rsidP="00601F4B" w:rsidRDefault="00601F4B" w14:paraId="2CECA55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Im Juni 2015 </w:t>
      </w:r>
      <w:r w:rsidRPr="00601F4B">
        <w:rPr>
          <w:rFonts w:ascii="Times New Roman" w:hAnsi="Times New Roman" w:eastAsia="Times New Roman" w:cs="Times New Roman"/>
          <w:color w:val="000000"/>
          <w:sz w:val="27"/>
          <w:szCs w:val="27"/>
          <w:lang w:val="fr-FR" w:eastAsia="de-DE"/>
        </w:rPr>
        <w:t xml:space="preserve">legten </w:t>
      </w:r>
      <w:r w:rsidRPr="00601F4B">
        <w:rPr>
          <w:rFonts w:ascii="Times New Roman" w:hAnsi="Times New Roman" w:eastAsia="Times New Roman" w:cs="Times New Roman"/>
          <w:color w:val="000000"/>
          <w:sz w:val="27"/>
          <w:szCs w:val="27"/>
          <w:lang w:val="fr-FR" w:eastAsia="de-DE"/>
        </w:rPr>
        <w:t xml:space="preserve">die Präsidenten der Kommission, des </w:t>
      </w:r>
      <w:hyperlink w:history="1" r:id="rId206">
        <w:r w:rsidRPr="00601F4B">
          <w:rPr>
            <w:rFonts w:ascii="Times New Roman" w:hAnsi="Times New Roman" w:eastAsia="Times New Roman" w:cs="Times New Roman"/>
            <w:color w:val="0000FF"/>
            <w:sz w:val="27"/>
            <w:szCs w:val="27"/>
            <w:u w:val="single"/>
            <w:lang w:val="fr-FR" w:eastAsia="de-DE"/>
          </w:rPr>
          <w:t xml:space="preserve">Europäischen Parlaments</w:t>
        </w:r>
      </w:hyperlink>
      <w:r w:rsidRPr="00601F4B">
        <w:rPr>
          <w:rFonts w:ascii="Times New Roman" w:hAnsi="Times New Roman" w:eastAsia="Times New Roman" w:cs="Times New Roman"/>
          <w:color w:val="000000"/>
          <w:sz w:val="27"/>
          <w:szCs w:val="27"/>
          <w:lang w:val="fr-FR" w:eastAsia="de-DE"/>
        </w:rPr>
        <w:t xml:space="preserve">, der </w:t>
      </w:r>
      <w:hyperlink w:history="1" r:id="rId207">
        <w:r w:rsidRPr="00601F4B">
          <w:rPr>
            <w:rFonts w:ascii="Times New Roman" w:hAnsi="Times New Roman" w:eastAsia="Times New Roman" w:cs="Times New Roman"/>
            <w:color w:val="0000FF"/>
            <w:sz w:val="27"/>
            <w:szCs w:val="27"/>
            <w:u w:val="single"/>
            <w:lang w:val="fr-FR" w:eastAsia="de-DE"/>
          </w:rPr>
          <w:t xml:space="preserve">Europäischen Zentralbank</w:t>
        </w:r>
      </w:hyperlink>
      <w:r w:rsidRPr="00601F4B">
        <w:rPr>
          <w:rFonts w:ascii="Times New Roman" w:hAnsi="Times New Roman" w:eastAsia="Times New Roman" w:cs="Times New Roman"/>
          <w:color w:val="000000"/>
          <w:sz w:val="27"/>
          <w:szCs w:val="27"/>
          <w:lang w:val="fr-FR" w:eastAsia="de-DE"/>
        </w:rPr>
        <w:t xml:space="preserve">, des Eurozonen-Gipfels und der </w:t>
      </w:r>
      <w:hyperlink w:history="1" r:id="rId208">
        <w:r w:rsidRPr="00601F4B">
          <w:rPr>
            <w:rFonts w:ascii="Times New Roman" w:hAnsi="Times New Roman" w:eastAsia="Times New Roman" w:cs="Times New Roman"/>
            <w:color w:val="0000FF"/>
            <w:sz w:val="27"/>
            <w:szCs w:val="27"/>
            <w:u w:val="single"/>
            <w:lang w:val="fr-FR" w:eastAsia="de-DE"/>
          </w:rPr>
          <w:t xml:space="preserve">Eurogruppe </w:t>
        </w:r>
      </w:hyperlink>
      <w:r w:rsidRPr="00601F4B">
        <w:rPr>
          <w:rFonts w:ascii="Times New Roman" w:hAnsi="Times New Roman" w:eastAsia="Times New Roman" w:cs="Times New Roman"/>
          <w:color w:val="000000"/>
          <w:sz w:val="27"/>
          <w:szCs w:val="27"/>
          <w:lang w:val="fr-FR" w:eastAsia="de-DE"/>
        </w:rPr>
        <w:t xml:space="preserve">ihren Bericht (den </w:t>
      </w:r>
      <w:hyperlink w:history="1" r:id="rId209">
        <w:r w:rsidRPr="00601F4B">
          <w:rPr>
            <w:rFonts w:ascii="Times New Roman" w:hAnsi="Times New Roman" w:eastAsia="Times New Roman" w:cs="Times New Roman"/>
            <w:color w:val="0000FF"/>
            <w:sz w:val="27"/>
            <w:szCs w:val="27"/>
            <w:u w:val="single"/>
            <w:lang w:val="fr-FR" w:eastAsia="de-DE"/>
          </w:rPr>
          <w:t xml:space="preserve">"Bericht der fünf Präsidenten"</w:t>
        </w:r>
      </w:hyperlink>
      <w:r w:rsidRPr="00601F4B">
        <w:rPr>
          <w:rFonts w:ascii="Times New Roman" w:hAnsi="Times New Roman" w:eastAsia="Times New Roman" w:cs="Times New Roman"/>
          <w:color w:val="000000"/>
          <w:sz w:val="27"/>
          <w:szCs w:val="27"/>
          <w:lang w:val="fr-FR" w:eastAsia="de-DE"/>
        </w:rPr>
        <w:t xml:space="preserve">) über die Vollendung der WWU </w:t>
      </w:r>
      <w:r w:rsidRPr="00601F4B">
        <w:rPr>
          <w:rFonts w:ascii="Times New Roman" w:hAnsi="Times New Roman" w:eastAsia="Times New Roman" w:cs="Times New Roman"/>
          <w:color w:val="000000"/>
          <w:sz w:val="27"/>
          <w:szCs w:val="27"/>
          <w:lang w:val="fr-FR" w:eastAsia="de-DE"/>
        </w:rPr>
        <w:t xml:space="preserve">vor.</w:t>
      </w:r>
      <w:r w:rsidRPr="00601F4B">
        <w:rPr>
          <w:rFonts w:ascii="Times New Roman" w:hAnsi="Times New Roman" w:eastAsia="Times New Roman" w:cs="Times New Roman"/>
          <w:color w:val="000000"/>
          <w:sz w:val="27"/>
          <w:szCs w:val="27"/>
          <w:lang w:val="fr-FR" w:eastAsia="de-DE"/>
        </w:rPr>
        <w:t xml:space="preserve"> Die Mitteilung enthält nähere Angaben zur ersten Stufe des in ihrem Bericht enthaltenen Aktionsplans.</w:t>
      </w:r>
    </w:p>
    <w:p w:rsidRPr="00601F4B" w:rsidR="00601F4B" w:rsidP="00601F4B" w:rsidRDefault="00601F4B" w14:paraId="0D8FF99D"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Das Reflexionspapier der Kommission zur WWU ist Teil einer Reihe, die im März 2017 mit der Veröffentlichung des Weißbuchs zur Zukunft Europas gestartet wurde und die Folgendes umfasst:</w:t>
      </w:r>
    </w:p>
    <w:p w:rsidRPr="00601F4B" w:rsidR="00601F4B" w:rsidP="00601F4B" w:rsidRDefault="00601F4B" w14:paraId="6767AAF0" w14:textId="77777777">
      <w:pPr>
        <w:numPr>
          <w:ilvl w:val="0"/>
          <w:numId w:val="49"/>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ein Diskussionspapier über die </w:t>
      </w:r>
      <w:hyperlink w:history="1" r:id="rId210">
        <w:r w:rsidRPr="00601F4B">
          <w:rPr>
            <w:rFonts w:ascii="Times New Roman" w:hAnsi="Times New Roman" w:eastAsia="Times New Roman" w:cs="Times New Roman"/>
            <w:color w:val="0000FF"/>
            <w:sz w:val="27"/>
            <w:szCs w:val="27"/>
            <w:u w:val="single"/>
            <w:lang w:val="fr-FR" w:eastAsia="de-DE"/>
          </w:rPr>
          <w:t xml:space="preserve">soziale Dimension Europas </w:t>
        </w:r>
      </w:hyperlink>
      <w:r w:rsidRPr="00601F4B">
        <w:rPr>
          <w:rFonts w:ascii="Times New Roman" w:hAnsi="Times New Roman" w:eastAsia="Times New Roman" w:cs="Times New Roman"/>
          <w:color w:val="000000"/>
          <w:sz w:val="27"/>
          <w:szCs w:val="27"/>
          <w:lang w:val="fr-FR" w:eastAsia="de-DE"/>
        </w:rPr>
        <w:t xml:space="preserve">und</w:t>
      </w:r>
    </w:p>
    <w:p w:rsidRPr="00601F4B" w:rsidR="00601F4B" w:rsidP="00601F4B" w:rsidRDefault="00601F4B" w14:paraId="0F15AE27" w14:textId="77777777">
      <w:pPr>
        <w:numPr>
          <w:ilvl w:val="0"/>
          <w:numId w:val="49"/>
        </w:numPr>
        <w:spacing w:before="240" w:after="240" w:line="240" w:lineRule="auto"/>
        <w:ind w:start="1200"/>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ein Reflexionspapier über die </w:t>
      </w:r>
      <w:hyperlink w:history="1" r:id="rId211">
        <w:r w:rsidRPr="00601F4B">
          <w:rPr>
            <w:rFonts w:ascii="Times New Roman" w:hAnsi="Times New Roman" w:eastAsia="Times New Roman" w:cs="Times New Roman"/>
            <w:color w:val="0000FF"/>
            <w:sz w:val="27"/>
            <w:szCs w:val="27"/>
            <w:u w:val="single"/>
            <w:lang w:val="fr-FR" w:eastAsia="de-DE"/>
          </w:rPr>
          <w:t xml:space="preserve">Zukunft der EU-Finanzen</w:t>
        </w:r>
      </w:hyperlink>
      <w:r w:rsidRP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4DC6D666" w14:textId="77777777">
      <w:pPr>
        <w:spacing w:before="195" w:after="0" w:line="240" w:lineRule="auto"/>
        <w:jc w:val="both"/>
        <w:rPr>
          <w:rFonts w:ascii="Times New Roman" w:hAnsi="Times New Roman" w:eastAsia="Times New Roman" w:cs="Times New Roman"/>
          <w:color w:val="000000"/>
          <w:sz w:val="27"/>
          <w:szCs w:val="27"/>
          <w:lang w:eastAsia="de-DE"/>
        </w:rPr>
      </w:pPr>
      <w:r w:rsidRPr="00601F4B">
        <w:rPr>
          <w:rFonts w:ascii="Times New Roman" w:hAnsi="Times New Roman" w:eastAsia="Times New Roman" w:cs="Times New Roman"/>
          <w:color w:val="000000"/>
          <w:sz w:val="27"/>
          <w:szCs w:val="27"/>
          <w:lang w:eastAsia="de-DE"/>
        </w:rPr>
        <w:t xml:space="preserve">Für weitere </w:t>
      </w:r>
      <w:r w:rsidRPr="00601F4B">
        <w:rPr>
          <w:rFonts w:ascii="Times New Roman" w:hAnsi="Times New Roman" w:eastAsia="Times New Roman" w:cs="Times New Roman"/>
          <w:color w:val="000000"/>
          <w:sz w:val="27"/>
          <w:szCs w:val="27"/>
          <w:lang w:eastAsia="de-DE"/>
        </w:rPr>
        <w:t xml:space="preserve">Informationen </w:t>
      </w:r>
      <w:r w:rsidRPr="00601F4B">
        <w:rPr>
          <w:rFonts w:ascii="Times New Roman" w:hAnsi="Times New Roman" w:eastAsia="Times New Roman" w:cs="Times New Roman"/>
          <w:color w:val="000000"/>
          <w:sz w:val="27"/>
          <w:szCs w:val="27"/>
          <w:lang w:eastAsia="de-DE"/>
        </w:rPr>
        <w:t xml:space="preserve">siehe</w:t>
      </w:r>
      <w:r w:rsidRPr="00601F4B">
        <w:rPr>
          <w:rFonts w:ascii="Times New Roman" w:hAnsi="Times New Roman" w:eastAsia="Times New Roman" w:cs="Times New Roman"/>
          <w:color w:val="000000"/>
          <w:sz w:val="27"/>
          <w:szCs w:val="27"/>
          <w:lang w:eastAsia="de-DE"/>
        </w:rPr>
        <w:t xml:space="preserve">:</w:t>
      </w:r>
    </w:p>
    <w:p w:rsidRPr="00601F4B" w:rsidR="00601F4B" w:rsidP="00601F4B" w:rsidRDefault="00E52C24" w14:paraId="601BE4CA" w14:textId="77777777">
      <w:pPr>
        <w:numPr>
          <w:ilvl w:val="0"/>
          <w:numId w:val="50"/>
        </w:numPr>
        <w:spacing w:before="240" w:after="240" w:line="240" w:lineRule="auto"/>
        <w:ind w:start="1200"/>
        <w:rPr>
          <w:rFonts w:ascii="Times New Roman" w:hAnsi="Times New Roman" w:eastAsia="Times New Roman" w:cs="Times New Roman"/>
          <w:color w:val="000000"/>
          <w:sz w:val="27"/>
          <w:szCs w:val="27"/>
          <w:lang w:val="fr-FR" w:eastAsia="de-DE"/>
        </w:rPr>
      </w:pPr>
      <w:hyperlink w:history="1" r:id="rId212">
        <w:r w:rsidRPr="00601F4B" w:rsidR="00601F4B">
          <w:rPr>
            <w:rFonts w:ascii="Times New Roman" w:hAnsi="Times New Roman" w:eastAsia="Times New Roman" w:cs="Times New Roman"/>
            <w:color w:val="0000FF"/>
            <w:sz w:val="27"/>
            <w:szCs w:val="27"/>
            <w:u w:val="single"/>
            <w:lang w:val="fr-FR" w:eastAsia="de-DE"/>
          </w:rPr>
          <w:t xml:space="preserve">"Vollendung der Europäischen Wirtschafts- und Währungsunion: Kommission unternimmt konkrete Schritte zur Stärkung der WWU</w:t>
        </w:r>
      </w:hyperlink>
      <w:r w:rsidRPr="00601F4B" w:rsidR="00601F4B">
        <w:rPr>
          <w:rFonts w:ascii="Times New Roman" w:hAnsi="Times New Roman" w:eastAsia="Times New Roman" w:cs="Times New Roman"/>
          <w:color w:val="000000"/>
          <w:sz w:val="27"/>
          <w:szCs w:val="27"/>
          <w:lang w:val="fr-FR" w:eastAsia="de-DE"/>
        </w:rPr>
        <w:t xml:space="preserve">" - Pressemitteilung (</w:t>
      </w:r>
      <w:r w:rsidRPr="00601F4B" w:rsidR="00601F4B">
        <w:rPr>
          <w:rFonts w:ascii="Times New Roman" w:hAnsi="Times New Roman" w:eastAsia="Times New Roman" w:cs="Times New Roman"/>
          <w:i/>
          <w:iCs/>
          <w:color w:val="000000"/>
          <w:sz w:val="27"/>
          <w:szCs w:val="27"/>
          <w:lang w:val="fr-FR" w:eastAsia="de-DE"/>
        </w:rPr>
        <w:t xml:space="preserve">Europäische Kommission</w:t>
      </w:r>
      <w:r w:rsidRPr="00601F4B" w:rsidR="00601F4B">
        <w:rPr>
          <w:rFonts w:ascii="Times New Roman" w:hAnsi="Times New Roman" w:eastAsia="Times New Roman" w:cs="Times New Roman"/>
          <w:color w:val="000000"/>
          <w:sz w:val="27"/>
          <w:szCs w:val="27"/>
          <w:lang w:val="fr-FR" w:eastAsia="de-DE"/>
        </w:rPr>
        <w:t xml:space="preserve">).</w:t>
      </w:r>
    </w:p>
    <w:p w:rsidRPr="00601F4B" w:rsidR="00601F4B" w:rsidP="00601F4B" w:rsidRDefault="00601F4B" w14:paraId="2924FC24"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SCHLÜSSELBEGRIFFE</w:t>
      </w:r>
    </w:p>
    <w:p w:rsidRPr="00601F4B" w:rsidR="00601F4B" w:rsidP="00601F4B" w:rsidRDefault="00601F4B" w14:paraId="0AE9B3FE" w14:textId="77777777">
      <w:pPr>
        <w:spacing w:after="0" w:line="240" w:lineRule="auto"/>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b/>
          <w:bCs/>
          <w:color w:val="000000"/>
          <w:sz w:val="27"/>
          <w:szCs w:val="27"/>
          <w:lang w:val="fr-FR" w:eastAsia="de-DE"/>
        </w:rPr>
        <w:lastRenderedPageBreak/>
        <w:t xml:space="preserve">Europäisches Semester: bietet einen </w:t>
      </w:r>
      <w:r w:rsidRPr="00601F4B">
        <w:rPr>
          <w:rFonts w:ascii="Times New Roman" w:hAnsi="Times New Roman" w:eastAsia="Times New Roman" w:cs="Times New Roman"/>
          <w:color w:val="000000"/>
          <w:sz w:val="27"/>
          <w:szCs w:val="27"/>
          <w:lang w:val="fr-FR" w:eastAsia="de-DE"/>
        </w:rPr>
        <w:t xml:space="preserve">Rahmen für die Koordinierung der nationalen Wirtschafts- und Haushaltspolitik in der EU.</w:t>
      </w:r>
    </w:p>
    <w:p w:rsidRPr="00601F4B" w:rsidR="00601F4B" w:rsidP="00601F4B" w:rsidRDefault="00601F4B" w14:paraId="42AAD29E"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SCHLÜSSELDOKUMENTE</w:t>
      </w:r>
    </w:p>
    <w:p w:rsidRPr="00601F4B" w:rsidR="00601F4B" w:rsidP="00601F4B" w:rsidRDefault="00601F4B" w14:paraId="2E5ECBD8"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Konsolidierte Fassung des Vertrags über die Arbeitsweise der Europäischen Union - Dritter Teil - Die internen Politikbereiche und Maßnahmen der Union - Titel VIII - Wirtschafts- und Währungspolitik - </w:t>
      </w:r>
      <w:hyperlink w:history="1" r:id="rId213">
        <w:r w:rsidRPr="00601F4B">
          <w:rPr>
            <w:rFonts w:ascii="Times New Roman" w:hAnsi="Times New Roman" w:eastAsia="Times New Roman" w:cs="Times New Roman"/>
            <w:color w:val="0000FF"/>
            <w:sz w:val="27"/>
            <w:szCs w:val="27"/>
            <w:u w:val="single"/>
            <w:lang w:val="fr-FR" w:eastAsia="de-DE"/>
          </w:rPr>
          <w:t xml:space="preserve">Artikel 119 </w:t>
        </w:r>
      </w:hyperlink>
      <w:r w:rsidRPr="00601F4B">
        <w:rPr>
          <w:rFonts w:ascii="Times New Roman" w:hAnsi="Times New Roman" w:eastAsia="Times New Roman" w:cs="Times New Roman"/>
          <w:color w:val="000000"/>
          <w:sz w:val="27"/>
          <w:szCs w:val="27"/>
          <w:lang w:val="fr-FR" w:eastAsia="de-DE"/>
        </w:rPr>
        <w:t xml:space="preserve">(ex-Artikel 4 EGV) (ABl. C 202 vom 7.6.2016, S. 96-97)</w:t>
      </w:r>
    </w:p>
    <w:p w:rsidRPr="00601F4B" w:rsidR="00601F4B" w:rsidP="00601F4B" w:rsidRDefault="00601F4B" w14:paraId="05BEEC26"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Konsolidierte Fassung des Vertrags über die Arbeitsweise der Europäischen Union - Dritter Teil - Die internen Politikbereiche und Tätigkeiten der Union - Titel VIII - Wirtschafts- und Währungspolitik - Kapitel 1 - Wirtschaftspolitik - </w:t>
      </w:r>
      <w:hyperlink w:history="1" r:id="rId214">
        <w:r w:rsidRPr="00601F4B">
          <w:rPr>
            <w:rFonts w:ascii="Times New Roman" w:hAnsi="Times New Roman" w:eastAsia="Times New Roman" w:cs="Times New Roman"/>
            <w:color w:val="0000FF"/>
            <w:sz w:val="27"/>
            <w:szCs w:val="27"/>
            <w:u w:val="single"/>
            <w:lang w:val="fr-FR" w:eastAsia="de-DE"/>
          </w:rPr>
          <w:t xml:space="preserve">Artikel 120 </w:t>
        </w:r>
      </w:hyperlink>
      <w:r w:rsidRPr="00601F4B">
        <w:rPr>
          <w:rFonts w:ascii="Times New Roman" w:hAnsi="Times New Roman" w:eastAsia="Times New Roman" w:cs="Times New Roman"/>
          <w:color w:val="000000"/>
          <w:sz w:val="27"/>
          <w:szCs w:val="27"/>
          <w:lang w:val="fr-FR" w:eastAsia="de-DE"/>
        </w:rPr>
        <w:t xml:space="preserve">(ex-Artikel 98 EGV) (ABl. C 202 vom 7.6.2016, S. 97)</w:t>
      </w:r>
    </w:p>
    <w:p w:rsidRPr="00601F4B" w:rsidR="00601F4B" w:rsidP="00601F4B" w:rsidRDefault="00601F4B" w14:paraId="087616A5"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Konsolidierte Fassung des Vertrags über die Arbeitsweise der Europäischen Union - Dritter Teil - Die internen Politikbereiche und Tätigkeiten der Union - Titel VIII - Wirtschafts- und Währungspolitik - Kapitel 1 - Wirtschaftspolitik - </w:t>
      </w:r>
      <w:hyperlink w:history="1" r:id="rId215">
        <w:r w:rsidRPr="00601F4B">
          <w:rPr>
            <w:rFonts w:ascii="Times New Roman" w:hAnsi="Times New Roman" w:eastAsia="Times New Roman" w:cs="Times New Roman"/>
            <w:color w:val="0000FF"/>
            <w:sz w:val="27"/>
            <w:szCs w:val="27"/>
            <w:u w:val="single"/>
            <w:lang w:val="fr-FR" w:eastAsia="de-DE"/>
          </w:rPr>
          <w:t xml:space="preserve">Artikel 121 </w:t>
        </w:r>
      </w:hyperlink>
      <w:r w:rsidRPr="00601F4B">
        <w:rPr>
          <w:rFonts w:ascii="Times New Roman" w:hAnsi="Times New Roman" w:eastAsia="Times New Roman" w:cs="Times New Roman"/>
          <w:color w:val="000000"/>
          <w:sz w:val="27"/>
          <w:szCs w:val="27"/>
          <w:lang w:val="fr-FR" w:eastAsia="de-DE"/>
        </w:rPr>
        <w:t xml:space="preserve">(ex-Artikel 99 EGV) (ABl. C 202 vom 7.6.2016, S. 97-98)</w:t>
      </w:r>
    </w:p>
    <w:p w:rsidRPr="00601F4B" w:rsidR="00601F4B" w:rsidP="00601F4B" w:rsidRDefault="00601F4B" w14:paraId="354F6B31"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Mitteilung der Kommission an das Europäische Parlament, den Rat und die Europäische Zentralbank über Maßnahmen zur Vollendung der Wirtschafts- und Währungsunion (</w:t>
      </w:r>
      <w:r w:rsidR="00E52C24">
        <w:fldChar w:fldCharType="begin"/>
      </w:r>
      <w:r w:rsidRPr="00E52C24" w:rsidR="00E52C24">
        <w:rPr>
          <w:lang w:val="fr-FR"/>
        </w:rPr>
        <w:instrText xml:space="preserve"> HYPERLINK "https://eur-lex.europa.eu/legal-content/FR/AUTO/?uri=celex:52015DC0600" </w:instrText>
      </w:r>
      <w:r w:rsidR="00E52C24">
        <w:fldChar w:fldCharType="separate"/>
      </w:r>
      <w:r w:rsidRPr="00601F4B">
        <w:rPr>
          <w:rFonts w:ascii="Times New Roman" w:hAnsi="Times New Roman" w:eastAsia="Times New Roman" w:cs="Times New Roman"/>
          <w:color w:val="0000FF"/>
          <w:sz w:val="27"/>
          <w:szCs w:val="27"/>
          <w:u w:val="single"/>
          <w:lang w:val="fr-FR" w:eastAsia="de-DE"/>
        </w:rPr>
        <w:t xml:space="preserve">COM(2015) 600 final </w:t>
      </w:r>
      <w:r w:rsidR="00E52C24">
        <w:rPr>
          <w:rFonts w:ascii="Times New Roman" w:hAnsi="Times New Roman" w:eastAsia="Times New Roman" w:cs="Times New Roman"/>
          <w:color w:val="0000FF"/>
          <w:sz w:val="27"/>
          <w:szCs w:val="27"/>
          <w:u w:val="single"/>
          <w:lang w:val="fr-FR" w:eastAsia="de-DE"/>
        </w:rPr>
        <w:fldChar w:fldCharType="end"/>
      </w:r>
      <w:r w:rsidRPr="00601F4B">
        <w:rPr>
          <w:rFonts w:ascii="Times New Roman" w:hAnsi="Times New Roman" w:eastAsia="Times New Roman" w:cs="Times New Roman"/>
          <w:color w:val="000000"/>
          <w:sz w:val="27"/>
          <w:szCs w:val="27"/>
          <w:lang w:val="fr-FR" w:eastAsia="de-DE"/>
        </w:rPr>
        <w:t xml:space="preserve">vom 21.10.2015)</w:t>
      </w:r>
    </w:p>
    <w:p w:rsidRPr="00601F4B" w:rsidR="00601F4B" w:rsidP="00601F4B" w:rsidRDefault="00601F4B" w14:paraId="42D019EE" w14:textId="77777777">
      <w:pPr>
        <w:spacing w:before="390" w:after="195" w:line="240" w:lineRule="auto"/>
        <w:rPr>
          <w:rFonts w:ascii="Times New Roman" w:hAnsi="Times New Roman" w:eastAsia="Times New Roman" w:cs="Times New Roman"/>
          <w:b/>
          <w:bCs/>
          <w:color w:val="444444"/>
          <w:sz w:val="27"/>
          <w:szCs w:val="27"/>
          <w:lang w:val="fr-FR" w:eastAsia="de-DE"/>
        </w:rPr>
      </w:pPr>
      <w:r w:rsidRPr="00601F4B">
        <w:rPr>
          <w:rFonts w:ascii="Times New Roman" w:hAnsi="Times New Roman" w:eastAsia="Times New Roman" w:cs="Times New Roman"/>
          <w:b/>
          <w:bCs/>
          <w:color w:val="444444"/>
          <w:sz w:val="27"/>
          <w:szCs w:val="27"/>
          <w:lang w:val="fr-FR" w:eastAsia="de-DE"/>
        </w:rPr>
        <w:t xml:space="preserve">ZUGEHÖRIGE DOKUMENTE</w:t>
      </w:r>
    </w:p>
    <w:p w:rsidRPr="00601F4B" w:rsidR="00601F4B" w:rsidP="00601F4B" w:rsidRDefault="00601F4B" w14:paraId="447FA537" w14:textId="77777777">
      <w:pPr>
        <w:spacing w:before="195" w:after="0" w:line="240" w:lineRule="auto"/>
        <w:jc w:val="both"/>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Reflexionspapier zur Vertiefung der Wirtschafts- und Währungsunion [</w:t>
      </w:r>
      <w:hyperlink w:history="1" r:id="rId216">
        <w:r w:rsidRPr="00601F4B">
          <w:rPr>
            <w:rFonts w:ascii="Times New Roman" w:hAnsi="Times New Roman" w:eastAsia="Times New Roman" w:cs="Times New Roman"/>
            <w:color w:val="0000FF"/>
            <w:sz w:val="27"/>
            <w:szCs w:val="27"/>
            <w:u w:val="single"/>
            <w:lang w:val="fr-FR" w:eastAsia="de-DE"/>
          </w:rPr>
          <w:t xml:space="preserve">COM (2017) 291 final </w:t>
        </w:r>
      </w:hyperlink>
      <w:r w:rsidRPr="00601F4B">
        <w:rPr>
          <w:rFonts w:ascii="Times New Roman" w:hAnsi="Times New Roman" w:eastAsia="Times New Roman" w:cs="Times New Roman"/>
          <w:color w:val="000000"/>
          <w:sz w:val="27"/>
          <w:szCs w:val="27"/>
          <w:lang w:val="fr-FR" w:eastAsia="de-DE"/>
        </w:rPr>
        <w:t xml:space="preserve">vom 31.5.2017]</w:t>
      </w:r>
    </w:p>
    <w:p w:rsidRPr="00601F4B" w:rsidR="00601F4B" w:rsidP="00601F4B" w:rsidRDefault="00E52C24" w14:paraId="6FF1FC14" w14:textId="77777777">
      <w:pPr>
        <w:spacing w:before="195" w:after="0" w:line="240" w:lineRule="auto"/>
        <w:jc w:val="both"/>
        <w:rPr>
          <w:rFonts w:ascii="Times New Roman" w:hAnsi="Times New Roman" w:eastAsia="Times New Roman" w:cs="Times New Roman"/>
          <w:color w:val="000000"/>
          <w:sz w:val="27"/>
          <w:szCs w:val="27"/>
          <w:lang w:val="fr-FR" w:eastAsia="de-DE"/>
        </w:rPr>
      </w:pPr>
      <w:r>
        <w:fldChar w:fldCharType="begin"/>
      </w:r>
      <w:r w:rsidRPr="00E52C24">
        <w:rPr>
          <w:lang w:val="fr-FR"/>
        </w:rPr>
        <w:instrText xml:space="preserve"> HYPERLINK "http://ec.europa.eu/commission/sites/beta-political/files/5-presidents-report_fr.pdf" </w:instrText>
      </w:r>
      <w:r>
        <w:fldChar w:fldCharType="separate"/>
      </w:r>
      <w:r w:rsidRPr="00601F4B" w:rsidR="00601F4B">
        <w:rPr>
          <w:rFonts w:ascii="Times New Roman" w:hAnsi="Times New Roman" w:eastAsia="Times New Roman" w:cs="Times New Roman"/>
          <w:color w:val="0000FF"/>
          <w:sz w:val="27"/>
          <w:szCs w:val="27"/>
          <w:u w:val="single"/>
          <w:lang w:val="fr-FR" w:eastAsia="de-DE"/>
        </w:rPr>
        <w:t xml:space="preserve">"Completing European Economic and Monetary Union"</w:t>
      </w:r>
      <w:r>
        <w:rPr>
          <w:rFonts w:ascii="Times New Roman" w:hAnsi="Times New Roman" w:eastAsia="Times New Roman" w:cs="Times New Roman"/>
          <w:color w:val="0000FF"/>
          <w:sz w:val="27"/>
          <w:szCs w:val="27"/>
          <w:u w:val="single"/>
          <w:lang w:val="fr-FR" w:eastAsia="de-DE"/>
        </w:rPr>
        <w:fldChar w:fldCharType="end"/>
      </w:r>
      <w:r w:rsidRPr="00601F4B" w:rsidR="00601F4B">
        <w:rPr>
          <w:rFonts w:ascii="Times New Roman" w:hAnsi="Times New Roman" w:eastAsia="Times New Roman" w:cs="Times New Roman"/>
          <w:color w:val="000000"/>
          <w:sz w:val="27"/>
          <w:szCs w:val="27"/>
          <w:lang w:val="fr-FR" w:eastAsia="de-DE"/>
        </w:rPr>
        <w:t xml:space="preserve">, Bericht erstellt von Jean-Claude Juncker in enger Zusammenarbeit mit Donald Tusk, Jeroen </w:t>
      </w:r>
      <w:r w:rsidRPr="00601F4B" w:rsidR="00601F4B">
        <w:rPr>
          <w:rFonts w:ascii="Times New Roman" w:hAnsi="Times New Roman" w:eastAsia="Times New Roman" w:cs="Times New Roman"/>
          <w:color w:val="000000"/>
          <w:sz w:val="27"/>
          <w:szCs w:val="27"/>
          <w:lang w:val="fr-FR" w:eastAsia="de-DE"/>
        </w:rPr>
        <w:t xml:space="preserve">Dijsselbloem</w:t>
      </w:r>
      <w:r w:rsidRPr="00601F4B" w:rsidR="00601F4B">
        <w:rPr>
          <w:rFonts w:ascii="Times New Roman" w:hAnsi="Times New Roman" w:eastAsia="Times New Roman" w:cs="Times New Roman"/>
          <w:color w:val="000000"/>
          <w:sz w:val="27"/>
          <w:szCs w:val="27"/>
          <w:lang w:val="fr-FR" w:eastAsia="de-DE"/>
        </w:rPr>
        <w:t xml:space="preserve">, Mario Draghi und Martin Schulz, 22.6.2015</w:t>
      </w:r>
    </w:p>
    <w:p w:rsidRPr="00601F4B" w:rsidR="00601F4B" w:rsidP="00601F4B" w:rsidRDefault="00601F4B" w14:paraId="316087F3" w14:textId="77777777">
      <w:pPr>
        <w:spacing w:before="810" w:after="100" w:afterAutospacing="1" w:line="240" w:lineRule="auto"/>
        <w:jc w:val="right"/>
        <w:rPr>
          <w:rFonts w:ascii="Times New Roman" w:hAnsi="Times New Roman" w:eastAsia="Times New Roman" w:cs="Times New Roman"/>
          <w:color w:val="000000"/>
          <w:sz w:val="27"/>
          <w:szCs w:val="27"/>
          <w:lang w:eastAsia="de-DE"/>
        </w:rPr>
      </w:pPr>
      <w:r w:rsidRPr="00601F4B">
        <w:rPr>
          <w:rFonts w:ascii="Times New Roman" w:hAnsi="Times New Roman" w:eastAsia="Times New Roman" w:cs="Times New Roman"/>
          <w:color w:val="000000"/>
          <w:sz w:val="27"/>
          <w:szCs w:val="27"/>
          <w:lang w:eastAsia="de-DE"/>
        </w:rPr>
        <w:t xml:space="preserve">letzte </w:t>
      </w:r>
      <w:r w:rsidRPr="00601F4B">
        <w:rPr>
          <w:rFonts w:ascii="Times New Roman" w:hAnsi="Times New Roman" w:eastAsia="Times New Roman" w:cs="Times New Roman"/>
          <w:color w:val="000000"/>
          <w:sz w:val="27"/>
          <w:szCs w:val="27"/>
          <w:lang w:eastAsia="de-DE"/>
        </w:rPr>
        <w:t xml:space="preserve">Änderung </w:t>
      </w:r>
      <w:r w:rsidRPr="00601F4B">
        <w:rPr>
          <w:rFonts w:ascii="Times New Roman" w:hAnsi="Times New Roman" w:eastAsia="Times New Roman" w:cs="Times New Roman"/>
          <w:color w:val="000000"/>
          <w:sz w:val="27"/>
          <w:szCs w:val="27"/>
          <w:lang w:eastAsia="de-DE"/>
        </w:rPr>
        <w:t xml:space="preserve">01.12.2017</w:t>
      </w:r>
    </w:p>
    <w:p w:rsidRPr="00601F4B" w:rsidR="00601F4B" w:rsidP="00601F4B" w:rsidRDefault="00601F4B" w14:paraId="5F4C3258" w14:textId="77777777">
      <w:pPr>
        <w:spacing w:before="100" w:beforeAutospacing="1" w:after="100" w:afterAutospacing="1" w:line="240" w:lineRule="auto"/>
        <w:rPr>
          <w:rFonts w:ascii="Times New Roman" w:hAnsi="Times New Roman" w:eastAsia="Times New Roman" w:cs="Times New Roman"/>
          <w:color w:val="000000"/>
          <w:sz w:val="27"/>
          <w:szCs w:val="27"/>
          <w:lang w:eastAsia="de-DE"/>
        </w:rPr>
      </w:pPr>
    </w:p>
    <w:p w:rsidRPr="00601F4B" w:rsidR="00601F4B" w:rsidP="00601F4B" w:rsidRDefault="00E52C24" w14:paraId="0934353C" w14:textId="77777777">
      <w:pPr>
        <w:spacing w:after="0" w:line="240" w:lineRule="auto"/>
        <w:rPr>
          <w:rFonts w:ascii="Times New Roman" w:hAnsi="Times New Roman" w:eastAsia="Times New Roman" w:cs="Times New Roman"/>
          <w:sz w:val="24"/>
          <w:szCs w:val="24"/>
          <w:lang w:eastAsia="de-DE"/>
        </w:rPr>
      </w:pPr>
      <w:r>
        <w:rPr>
          <w:rFonts w:ascii="Times New Roman" w:hAnsi="Times New Roman" w:eastAsia="Times New Roman" w:cs="Times New Roman"/>
          <w:sz w:val="24"/>
          <w:szCs w:val="24"/>
          <w:lang w:eastAsia="de-DE"/>
        </w:rPr>
        <w:pict w14:anchorId="0618116A">
          <v:rect id="_x0000_i1025" style="width:0;height:1.5pt" o:hr="t" o:hrstd="t" o:hrnoshade="t" o:hralign="center" fillcolor="black" stroked="f"/>
        </w:pict>
      </w:r>
    </w:p>
    <w:p w:rsidRPr="00601F4B" w:rsidR="00601F4B" w:rsidP="00601F4B" w:rsidRDefault="00601F4B" w14:paraId="32EAFB6A" w14:textId="77777777">
      <w:pPr>
        <w:spacing w:before="100" w:beforeAutospacing="1" w:after="100" w:afterAutospacing="1" w:line="240" w:lineRule="auto"/>
        <w:rPr>
          <w:rFonts w:ascii="Times New Roman" w:hAnsi="Times New Roman" w:eastAsia="Times New Roman" w:cs="Times New Roman"/>
          <w:color w:val="000000"/>
          <w:sz w:val="27"/>
          <w:szCs w:val="27"/>
          <w:lang w:val="fr-FR" w:eastAsia="de-DE"/>
        </w:rPr>
      </w:pPr>
      <w:r w:rsidRPr="00601F4B">
        <w:rPr>
          <w:rFonts w:ascii="Times New Roman" w:hAnsi="Times New Roman" w:eastAsia="Times New Roman" w:cs="Times New Roman"/>
          <w:color w:val="000000"/>
          <w:sz w:val="27"/>
          <w:szCs w:val="27"/>
          <w:lang w:val="fr-FR" w:eastAsia="de-DE"/>
        </w:rPr>
        <w:t xml:space="preserve">(</w:t>
      </w:r>
      <w:hyperlink w:history="1" w:anchor="src.BREXIT" r:id="rId217">
        <w:r w:rsidRPr="00601F4B">
          <w:rPr>
            <w:rFonts w:ascii="Times New Roman" w:hAnsi="Times New Roman" w:eastAsia="Times New Roman" w:cs="Times New Roman"/>
            <w:color w:val="0000FF"/>
            <w:sz w:val="24"/>
            <w:szCs w:val="24"/>
            <w:u w:val="single"/>
            <w:vertAlign w:val="superscript"/>
            <w:lang w:val="fr-FR" w:eastAsia="de-DE"/>
          </w:rPr>
          <w:t xml:space="preserve">1) </w:t>
        </w:r>
      </w:hyperlink>
      <w:r w:rsidRPr="00601F4B">
        <w:rPr>
          <w:rFonts w:ascii="Times New Roman" w:hAnsi="Times New Roman" w:eastAsia="Times New Roman" w:cs="Times New Roman"/>
          <w:color w:val="000000"/>
          <w:sz w:val="27"/>
          <w:szCs w:val="27"/>
          <w:lang w:val="fr-FR" w:eastAsia="de-DE"/>
        </w:rPr>
        <w:t xml:space="preserve">Das Vereinigte Königreich tritt aus der Europäischen Union aus und wird ab dem 1. Februar 2020 zu einem Drittland (Nicht-EU-Land).</w:t>
      </w:r>
    </w:p>
    <w:p w:rsidRPr="00601F4B" w:rsidR="0036649D" w:rsidRDefault="0036649D" w14:paraId="0899394B" w14:textId="77777777">
      <w:pPr>
        <w:rPr>
          <w:lang w:val="fr-FR"/>
        </w:rPr>
      </w:pPr>
      <w:bookmarkStart w:name="_GoBack" w:id="0"/>
      <w:bookmarkEnd w:id="0"/>
    </w:p>
    <w:sectPr w:rsidRPr="00601F4B" w:rsidR="003664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756"/>
    <w:multiLevelType w:val="multilevel"/>
    <w:tmpl w:val="75E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37721"/>
    <w:multiLevelType w:val="multilevel"/>
    <w:tmpl w:val="F74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67550"/>
    <w:multiLevelType w:val="multilevel"/>
    <w:tmpl w:val="B46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95A5D"/>
    <w:multiLevelType w:val="multilevel"/>
    <w:tmpl w:val="F64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C4E56"/>
    <w:multiLevelType w:val="multilevel"/>
    <w:tmpl w:val="049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111158"/>
    <w:multiLevelType w:val="multilevel"/>
    <w:tmpl w:val="37A2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5422EE"/>
    <w:multiLevelType w:val="multilevel"/>
    <w:tmpl w:val="729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7F1340"/>
    <w:multiLevelType w:val="multilevel"/>
    <w:tmpl w:val="803E5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F95164"/>
    <w:multiLevelType w:val="multilevel"/>
    <w:tmpl w:val="59F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412D29"/>
    <w:multiLevelType w:val="multilevel"/>
    <w:tmpl w:val="589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790305"/>
    <w:multiLevelType w:val="multilevel"/>
    <w:tmpl w:val="FC96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F30CF"/>
    <w:multiLevelType w:val="multilevel"/>
    <w:tmpl w:val="86D4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4F1AA0"/>
    <w:multiLevelType w:val="multilevel"/>
    <w:tmpl w:val="58D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017AC7"/>
    <w:multiLevelType w:val="multilevel"/>
    <w:tmpl w:val="D5C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197C6C"/>
    <w:multiLevelType w:val="multilevel"/>
    <w:tmpl w:val="25E2A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0378A5"/>
    <w:multiLevelType w:val="multilevel"/>
    <w:tmpl w:val="5678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8A3598"/>
    <w:multiLevelType w:val="multilevel"/>
    <w:tmpl w:val="671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372FFF"/>
    <w:multiLevelType w:val="multilevel"/>
    <w:tmpl w:val="0AA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B058A7"/>
    <w:multiLevelType w:val="multilevel"/>
    <w:tmpl w:val="796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4167B5"/>
    <w:multiLevelType w:val="multilevel"/>
    <w:tmpl w:val="CA7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7C647E"/>
    <w:multiLevelType w:val="multilevel"/>
    <w:tmpl w:val="DFB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EF1982"/>
    <w:multiLevelType w:val="multilevel"/>
    <w:tmpl w:val="9DA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0567BF"/>
    <w:multiLevelType w:val="multilevel"/>
    <w:tmpl w:val="A5C05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303EB0"/>
    <w:multiLevelType w:val="multilevel"/>
    <w:tmpl w:val="583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F54CB4"/>
    <w:multiLevelType w:val="multilevel"/>
    <w:tmpl w:val="B194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166EB9"/>
    <w:multiLevelType w:val="multilevel"/>
    <w:tmpl w:val="0D106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614BD"/>
    <w:multiLevelType w:val="multilevel"/>
    <w:tmpl w:val="716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D67B39"/>
    <w:multiLevelType w:val="multilevel"/>
    <w:tmpl w:val="024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6F7BAE"/>
    <w:multiLevelType w:val="multilevel"/>
    <w:tmpl w:val="198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EA6C5C"/>
    <w:multiLevelType w:val="multilevel"/>
    <w:tmpl w:val="AA4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295DA1"/>
    <w:multiLevelType w:val="multilevel"/>
    <w:tmpl w:val="4BF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393AF3"/>
    <w:multiLevelType w:val="multilevel"/>
    <w:tmpl w:val="9DC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BB3B74"/>
    <w:multiLevelType w:val="multilevel"/>
    <w:tmpl w:val="1F6A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1B6C8F"/>
    <w:multiLevelType w:val="multilevel"/>
    <w:tmpl w:val="0D3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C3856B6"/>
    <w:multiLevelType w:val="multilevel"/>
    <w:tmpl w:val="8C20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FD49DD"/>
    <w:multiLevelType w:val="multilevel"/>
    <w:tmpl w:val="DF7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50665A"/>
    <w:multiLevelType w:val="multilevel"/>
    <w:tmpl w:val="CD1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795D8E"/>
    <w:multiLevelType w:val="multilevel"/>
    <w:tmpl w:val="D04C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80568F"/>
    <w:multiLevelType w:val="multilevel"/>
    <w:tmpl w:val="FC4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3342B6"/>
    <w:multiLevelType w:val="multilevel"/>
    <w:tmpl w:val="224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1061B1"/>
    <w:multiLevelType w:val="multilevel"/>
    <w:tmpl w:val="1F8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35404B5"/>
    <w:multiLevelType w:val="multilevel"/>
    <w:tmpl w:val="ACF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576E65"/>
    <w:multiLevelType w:val="multilevel"/>
    <w:tmpl w:val="EF94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686DFA"/>
    <w:multiLevelType w:val="multilevel"/>
    <w:tmpl w:val="B7F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696FC0"/>
    <w:multiLevelType w:val="multilevel"/>
    <w:tmpl w:val="C75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443926"/>
    <w:multiLevelType w:val="multilevel"/>
    <w:tmpl w:val="443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814FA4"/>
    <w:multiLevelType w:val="multilevel"/>
    <w:tmpl w:val="146C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CB4A63"/>
    <w:multiLevelType w:val="multilevel"/>
    <w:tmpl w:val="02A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7E82100"/>
    <w:multiLevelType w:val="multilevel"/>
    <w:tmpl w:val="728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A106CD6"/>
    <w:multiLevelType w:val="multilevel"/>
    <w:tmpl w:val="3E7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B3E2D09"/>
    <w:multiLevelType w:val="multilevel"/>
    <w:tmpl w:val="F1A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BAB7B4B"/>
    <w:multiLevelType w:val="multilevel"/>
    <w:tmpl w:val="9594F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BF040A0"/>
    <w:multiLevelType w:val="multilevel"/>
    <w:tmpl w:val="DC32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5B3CD9"/>
    <w:multiLevelType w:val="multilevel"/>
    <w:tmpl w:val="232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DD44D16"/>
    <w:multiLevelType w:val="multilevel"/>
    <w:tmpl w:val="05AC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D4527B"/>
    <w:multiLevelType w:val="multilevel"/>
    <w:tmpl w:val="05E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E692AD8"/>
    <w:multiLevelType w:val="multilevel"/>
    <w:tmpl w:val="CBB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5F3704"/>
    <w:multiLevelType w:val="multilevel"/>
    <w:tmpl w:val="C586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35B5549"/>
    <w:multiLevelType w:val="multilevel"/>
    <w:tmpl w:val="2EB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700961"/>
    <w:multiLevelType w:val="multilevel"/>
    <w:tmpl w:val="0D7E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D461D2"/>
    <w:multiLevelType w:val="multilevel"/>
    <w:tmpl w:val="22125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6D66857"/>
    <w:multiLevelType w:val="multilevel"/>
    <w:tmpl w:val="32D0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7516D9C"/>
    <w:multiLevelType w:val="multilevel"/>
    <w:tmpl w:val="8396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7F56D1F"/>
    <w:multiLevelType w:val="multilevel"/>
    <w:tmpl w:val="2CCC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82E7D22"/>
    <w:multiLevelType w:val="multilevel"/>
    <w:tmpl w:val="9F6E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88452DD"/>
    <w:multiLevelType w:val="multilevel"/>
    <w:tmpl w:val="547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9400922"/>
    <w:multiLevelType w:val="multilevel"/>
    <w:tmpl w:val="3B4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A0F1FF2"/>
    <w:multiLevelType w:val="multilevel"/>
    <w:tmpl w:val="59A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5D059A"/>
    <w:multiLevelType w:val="multilevel"/>
    <w:tmpl w:val="066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704251"/>
    <w:multiLevelType w:val="multilevel"/>
    <w:tmpl w:val="BEF2E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E42725"/>
    <w:multiLevelType w:val="multilevel"/>
    <w:tmpl w:val="D74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D982B32"/>
    <w:multiLevelType w:val="multilevel"/>
    <w:tmpl w:val="9FD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F027057"/>
    <w:multiLevelType w:val="multilevel"/>
    <w:tmpl w:val="2F86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3C1E2C"/>
    <w:multiLevelType w:val="multilevel"/>
    <w:tmpl w:val="75B0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03A3FC3"/>
    <w:multiLevelType w:val="multilevel"/>
    <w:tmpl w:val="C43C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06C2186"/>
    <w:multiLevelType w:val="multilevel"/>
    <w:tmpl w:val="6E3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15C2350"/>
    <w:multiLevelType w:val="multilevel"/>
    <w:tmpl w:val="E522D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6737E9"/>
    <w:multiLevelType w:val="multilevel"/>
    <w:tmpl w:val="494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2BC7A15"/>
    <w:multiLevelType w:val="multilevel"/>
    <w:tmpl w:val="74A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275FBD"/>
    <w:multiLevelType w:val="multilevel"/>
    <w:tmpl w:val="478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52F4D52"/>
    <w:multiLevelType w:val="multilevel"/>
    <w:tmpl w:val="15C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A17AAC"/>
    <w:multiLevelType w:val="multilevel"/>
    <w:tmpl w:val="F6D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75F465B"/>
    <w:multiLevelType w:val="multilevel"/>
    <w:tmpl w:val="A2A0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7C33726"/>
    <w:multiLevelType w:val="multilevel"/>
    <w:tmpl w:val="DAB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D17073"/>
    <w:multiLevelType w:val="multilevel"/>
    <w:tmpl w:val="713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ED70C2"/>
    <w:multiLevelType w:val="multilevel"/>
    <w:tmpl w:val="1A0A4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90915B2"/>
    <w:multiLevelType w:val="multilevel"/>
    <w:tmpl w:val="E264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F460B8"/>
    <w:multiLevelType w:val="multilevel"/>
    <w:tmpl w:val="873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A445AE1"/>
    <w:multiLevelType w:val="multilevel"/>
    <w:tmpl w:val="656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6D64DC"/>
    <w:multiLevelType w:val="multilevel"/>
    <w:tmpl w:val="1FE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C5053D0"/>
    <w:multiLevelType w:val="multilevel"/>
    <w:tmpl w:val="2C0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CBC0967"/>
    <w:multiLevelType w:val="multilevel"/>
    <w:tmpl w:val="CF766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D6563FC"/>
    <w:multiLevelType w:val="multilevel"/>
    <w:tmpl w:val="0B3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756F5E"/>
    <w:multiLevelType w:val="multilevel"/>
    <w:tmpl w:val="55F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F960379"/>
    <w:multiLevelType w:val="multilevel"/>
    <w:tmpl w:val="B05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0F222F0"/>
    <w:multiLevelType w:val="multilevel"/>
    <w:tmpl w:val="1B1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189429E"/>
    <w:multiLevelType w:val="multilevel"/>
    <w:tmpl w:val="D656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EE7035"/>
    <w:multiLevelType w:val="multilevel"/>
    <w:tmpl w:val="C98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9A2252"/>
    <w:multiLevelType w:val="multilevel"/>
    <w:tmpl w:val="935A9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4726AE8"/>
    <w:multiLevelType w:val="multilevel"/>
    <w:tmpl w:val="3972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4825447"/>
    <w:multiLevelType w:val="multilevel"/>
    <w:tmpl w:val="BF8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20243B"/>
    <w:multiLevelType w:val="multilevel"/>
    <w:tmpl w:val="698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772009C"/>
    <w:multiLevelType w:val="multilevel"/>
    <w:tmpl w:val="32F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8601CCB"/>
    <w:multiLevelType w:val="multilevel"/>
    <w:tmpl w:val="8B2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8893C43"/>
    <w:multiLevelType w:val="multilevel"/>
    <w:tmpl w:val="315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C347820"/>
    <w:multiLevelType w:val="multilevel"/>
    <w:tmpl w:val="7E6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55608E"/>
    <w:multiLevelType w:val="multilevel"/>
    <w:tmpl w:val="CC08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C6270E5"/>
    <w:multiLevelType w:val="multilevel"/>
    <w:tmpl w:val="845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CC24D37"/>
    <w:multiLevelType w:val="multilevel"/>
    <w:tmpl w:val="D940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F1281B"/>
    <w:multiLevelType w:val="multilevel"/>
    <w:tmpl w:val="A6B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E31401C"/>
    <w:multiLevelType w:val="multilevel"/>
    <w:tmpl w:val="58A6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F911720"/>
    <w:multiLevelType w:val="multilevel"/>
    <w:tmpl w:val="B66C0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1D03669"/>
    <w:multiLevelType w:val="multilevel"/>
    <w:tmpl w:val="300A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E30344"/>
    <w:multiLevelType w:val="multilevel"/>
    <w:tmpl w:val="D4C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38937AF"/>
    <w:multiLevelType w:val="multilevel"/>
    <w:tmpl w:val="CB366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5857B2D"/>
    <w:multiLevelType w:val="multilevel"/>
    <w:tmpl w:val="720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FB19E2"/>
    <w:multiLevelType w:val="multilevel"/>
    <w:tmpl w:val="400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07679E"/>
    <w:multiLevelType w:val="multilevel"/>
    <w:tmpl w:val="D9A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547541"/>
    <w:multiLevelType w:val="multilevel"/>
    <w:tmpl w:val="343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7B47DB"/>
    <w:multiLevelType w:val="multilevel"/>
    <w:tmpl w:val="B87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855B82"/>
    <w:multiLevelType w:val="multilevel"/>
    <w:tmpl w:val="B4E2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1370E6"/>
    <w:multiLevelType w:val="multilevel"/>
    <w:tmpl w:val="F7A86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8734BC8"/>
    <w:multiLevelType w:val="multilevel"/>
    <w:tmpl w:val="F828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8E97C51"/>
    <w:multiLevelType w:val="multilevel"/>
    <w:tmpl w:val="01B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942967"/>
    <w:multiLevelType w:val="multilevel"/>
    <w:tmpl w:val="25BE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E82468"/>
    <w:multiLevelType w:val="multilevel"/>
    <w:tmpl w:val="C9A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B8F2740"/>
    <w:multiLevelType w:val="multilevel"/>
    <w:tmpl w:val="F67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BCE7A13"/>
    <w:multiLevelType w:val="multilevel"/>
    <w:tmpl w:val="1B0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D360BFC"/>
    <w:multiLevelType w:val="multilevel"/>
    <w:tmpl w:val="EB5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D547C1A"/>
    <w:multiLevelType w:val="multilevel"/>
    <w:tmpl w:val="89E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DEA09DA"/>
    <w:multiLevelType w:val="multilevel"/>
    <w:tmpl w:val="1EB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EA2003A"/>
    <w:multiLevelType w:val="multilevel"/>
    <w:tmpl w:val="D330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EC425B1"/>
    <w:multiLevelType w:val="multilevel"/>
    <w:tmpl w:val="5F6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EE215D9"/>
    <w:multiLevelType w:val="multilevel"/>
    <w:tmpl w:val="C6EA9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FC47A3E"/>
    <w:multiLevelType w:val="multilevel"/>
    <w:tmpl w:val="F650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1867DE6"/>
    <w:multiLevelType w:val="multilevel"/>
    <w:tmpl w:val="8A686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1DE24E4"/>
    <w:multiLevelType w:val="multilevel"/>
    <w:tmpl w:val="CF6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2C54660"/>
    <w:multiLevelType w:val="multilevel"/>
    <w:tmpl w:val="2C1EE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384670E"/>
    <w:multiLevelType w:val="multilevel"/>
    <w:tmpl w:val="952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49956F6"/>
    <w:multiLevelType w:val="multilevel"/>
    <w:tmpl w:val="CDC2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9E1008"/>
    <w:multiLevelType w:val="multilevel"/>
    <w:tmpl w:val="7B5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4F0738F"/>
    <w:multiLevelType w:val="multilevel"/>
    <w:tmpl w:val="248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585368D"/>
    <w:multiLevelType w:val="multilevel"/>
    <w:tmpl w:val="0F2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668353C"/>
    <w:multiLevelType w:val="multilevel"/>
    <w:tmpl w:val="1B9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7BD4EA6"/>
    <w:multiLevelType w:val="multilevel"/>
    <w:tmpl w:val="E3EA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A043D6B"/>
    <w:multiLevelType w:val="multilevel"/>
    <w:tmpl w:val="BFC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A4F6C4A"/>
    <w:multiLevelType w:val="multilevel"/>
    <w:tmpl w:val="3F6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ABE225C"/>
    <w:multiLevelType w:val="multilevel"/>
    <w:tmpl w:val="93D0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B1E141A"/>
    <w:multiLevelType w:val="multilevel"/>
    <w:tmpl w:val="B84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BF700CD"/>
    <w:multiLevelType w:val="multilevel"/>
    <w:tmpl w:val="D5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E584023"/>
    <w:multiLevelType w:val="multilevel"/>
    <w:tmpl w:val="99E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E7D5D91"/>
    <w:multiLevelType w:val="multilevel"/>
    <w:tmpl w:val="82124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34"/>
  </w:num>
  <w:num w:numId="3">
    <w:abstractNumId w:val="128"/>
  </w:num>
  <w:num w:numId="4">
    <w:abstractNumId w:val="31"/>
  </w:num>
  <w:num w:numId="5">
    <w:abstractNumId w:val="2"/>
  </w:num>
  <w:num w:numId="6">
    <w:abstractNumId w:val="16"/>
  </w:num>
  <w:num w:numId="7">
    <w:abstractNumId w:val="149"/>
  </w:num>
  <w:num w:numId="8">
    <w:abstractNumId w:val="108"/>
  </w:num>
  <w:num w:numId="9">
    <w:abstractNumId w:val="119"/>
  </w:num>
  <w:num w:numId="10">
    <w:abstractNumId w:val="70"/>
  </w:num>
  <w:num w:numId="11">
    <w:abstractNumId w:val="50"/>
  </w:num>
  <w:num w:numId="12">
    <w:abstractNumId w:val="67"/>
  </w:num>
  <w:num w:numId="13">
    <w:abstractNumId w:val="144"/>
  </w:num>
  <w:num w:numId="14">
    <w:abstractNumId w:val="95"/>
  </w:num>
  <w:num w:numId="15">
    <w:abstractNumId w:val="92"/>
  </w:num>
  <w:num w:numId="16">
    <w:abstractNumId w:val="136"/>
  </w:num>
  <w:num w:numId="17">
    <w:abstractNumId w:val="151"/>
  </w:num>
  <w:num w:numId="18">
    <w:abstractNumId w:val="114"/>
  </w:num>
  <w:num w:numId="19">
    <w:abstractNumId w:val="55"/>
  </w:num>
  <w:num w:numId="20">
    <w:abstractNumId w:val="118"/>
  </w:num>
  <w:num w:numId="21">
    <w:abstractNumId w:val="138"/>
  </w:num>
  <w:num w:numId="22">
    <w:abstractNumId w:val="62"/>
  </w:num>
  <w:num w:numId="23">
    <w:abstractNumId w:val="145"/>
  </w:num>
  <w:num w:numId="24">
    <w:abstractNumId w:val="101"/>
  </w:num>
  <w:num w:numId="25">
    <w:abstractNumId w:val="90"/>
  </w:num>
  <w:num w:numId="26">
    <w:abstractNumId w:val="84"/>
  </w:num>
  <w:num w:numId="27">
    <w:abstractNumId w:val="141"/>
  </w:num>
  <w:num w:numId="28">
    <w:abstractNumId w:val="17"/>
  </w:num>
  <w:num w:numId="29">
    <w:abstractNumId w:val="110"/>
  </w:num>
  <w:num w:numId="30">
    <w:abstractNumId w:val="39"/>
  </w:num>
  <w:num w:numId="31">
    <w:abstractNumId w:val="66"/>
  </w:num>
  <w:num w:numId="32">
    <w:abstractNumId w:val="88"/>
  </w:num>
  <w:num w:numId="33">
    <w:abstractNumId w:val="42"/>
  </w:num>
  <w:num w:numId="34">
    <w:abstractNumId w:val="44"/>
  </w:num>
  <w:num w:numId="35">
    <w:abstractNumId w:val="97"/>
  </w:num>
  <w:num w:numId="36">
    <w:abstractNumId w:val="22"/>
  </w:num>
  <w:num w:numId="37">
    <w:abstractNumId w:val="29"/>
  </w:num>
  <w:num w:numId="38">
    <w:abstractNumId w:val="113"/>
  </w:num>
  <w:num w:numId="39">
    <w:abstractNumId w:val="54"/>
  </w:num>
  <w:num w:numId="40">
    <w:abstractNumId w:val="6"/>
  </w:num>
  <w:num w:numId="41">
    <w:abstractNumId w:val="5"/>
  </w:num>
  <w:num w:numId="42">
    <w:abstractNumId w:val="86"/>
  </w:num>
  <w:num w:numId="43">
    <w:abstractNumId w:val="53"/>
  </w:num>
  <w:num w:numId="44">
    <w:abstractNumId w:val="64"/>
  </w:num>
  <w:num w:numId="45">
    <w:abstractNumId w:val="120"/>
  </w:num>
  <w:num w:numId="46">
    <w:abstractNumId w:val="98"/>
  </w:num>
  <w:num w:numId="47">
    <w:abstractNumId w:val="9"/>
  </w:num>
  <w:num w:numId="48">
    <w:abstractNumId w:val="13"/>
  </w:num>
  <w:num w:numId="49">
    <w:abstractNumId w:val="72"/>
  </w:num>
  <w:num w:numId="50">
    <w:abstractNumId w:val="93"/>
  </w:num>
  <w:num w:numId="51">
    <w:abstractNumId w:val="124"/>
  </w:num>
  <w:num w:numId="52">
    <w:abstractNumId w:val="37"/>
  </w:num>
  <w:num w:numId="53">
    <w:abstractNumId w:val="111"/>
  </w:num>
  <w:num w:numId="54">
    <w:abstractNumId w:val="147"/>
  </w:num>
  <w:num w:numId="55">
    <w:abstractNumId w:val="63"/>
  </w:num>
  <w:num w:numId="56">
    <w:abstractNumId w:val="106"/>
  </w:num>
  <w:num w:numId="57">
    <w:abstractNumId w:val="135"/>
  </w:num>
  <w:num w:numId="58">
    <w:abstractNumId w:val="104"/>
  </w:num>
  <w:num w:numId="59">
    <w:abstractNumId w:val="107"/>
  </w:num>
  <w:num w:numId="60">
    <w:abstractNumId w:val="18"/>
  </w:num>
  <w:num w:numId="61">
    <w:abstractNumId w:val="123"/>
  </w:num>
  <w:num w:numId="62">
    <w:abstractNumId w:val="61"/>
  </w:num>
  <w:num w:numId="63">
    <w:abstractNumId w:val="133"/>
  </w:num>
  <w:num w:numId="64">
    <w:abstractNumId w:val="59"/>
  </w:num>
  <w:num w:numId="65">
    <w:abstractNumId w:val="142"/>
  </w:num>
  <w:num w:numId="66">
    <w:abstractNumId w:val="91"/>
  </w:num>
  <w:num w:numId="67">
    <w:abstractNumId w:val="139"/>
  </w:num>
  <w:num w:numId="68">
    <w:abstractNumId w:val="30"/>
  </w:num>
  <w:num w:numId="69">
    <w:abstractNumId w:val="14"/>
  </w:num>
  <w:num w:numId="70">
    <w:abstractNumId w:val="116"/>
  </w:num>
  <w:num w:numId="71">
    <w:abstractNumId w:val="100"/>
  </w:num>
  <w:num w:numId="72">
    <w:abstractNumId w:val="20"/>
  </w:num>
  <w:num w:numId="73">
    <w:abstractNumId w:val="94"/>
  </w:num>
  <w:num w:numId="74">
    <w:abstractNumId w:val="75"/>
  </w:num>
  <w:num w:numId="75">
    <w:abstractNumId w:val="1"/>
  </w:num>
  <w:num w:numId="76">
    <w:abstractNumId w:val="73"/>
  </w:num>
  <w:num w:numId="77">
    <w:abstractNumId w:val="74"/>
  </w:num>
  <w:num w:numId="78">
    <w:abstractNumId w:val="80"/>
  </w:num>
  <w:num w:numId="79">
    <w:abstractNumId w:val="41"/>
  </w:num>
  <w:num w:numId="80">
    <w:abstractNumId w:val="109"/>
  </w:num>
  <w:num w:numId="81">
    <w:abstractNumId w:val="38"/>
  </w:num>
  <w:num w:numId="82">
    <w:abstractNumId w:val="96"/>
  </w:num>
  <w:num w:numId="83">
    <w:abstractNumId w:val="35"/>
  </w:num>
  <w:num w:numId="84">
    <w:abstractNumId w:val="134"/>
  </w:num>
  <w:num w:numId="85">
    <w:abstractNumId w:val="121"/>
  </w:num>
  <w:num w:numId="86">
    <w:abstractNumId w:val="78"/>
  </w:num>
  <w:num w:numId="87">
    <w:abstractNumId w:val="127"/>
  </w:num>
  <w:num w:numId="88">
    <w:abstractNumId w:val="79"/>
  </w:num>
  <w:num w:numId="89">
    <w:abstractNumId w:val="125"/>
  </w:num>
  <w:num w:numId="90">
    <w:abstractNumId w:val="19"/>
  </w:num>
  <w:num w:numId="91">
    <w:abstractNumId w:val="46"/>
  </w:num>
  <w:num w:numId="92">
    <w:abstractNumId w:val="87"/>
  </w:num>
  <w:num w:numId="93">
    <w:abstractNumId w:val="28"/>
  </w:num>
  <w:num w:numId="94">
    <w:abstractNumId w:val="4"/>
  </w:num>
  <w:num w:numId="95">
    <w:abstractNumId w:val="48"/>
  </w:num>
  <w:num w:numId="96">
    <w:abstractNumId w:val="82"/>
  </w:num>
  <w:num w:numId="97">
    <w:abstractNumId w:val="49"/>
  </w:num>
  <w:num w:numId="98">
    <w:abstractNumId w:val="58"/>
  </w:num>
  <w:num w:numId="99">
    <w:abstractNumId w:val="15"/>
  </w:num>
  <w:num w:numId="100">
    <w:abstractNumId w:val="56"/>
  </w:num>
  <w:num w:numId="101">
    <w:abstractNumId w:val="112"/>
  </w:num>
  <w:num w:numId="102">
    <w:abstractNumId w:val="85"/>
  </w:num>
  <w:num w:numId="103">
    <w:abstractNumId w:val="89"/>
  </w:num>
  <w:num w:numId="104">
    <w:abstractNumId w:val="26"/>
  </w:num>
  <w:num w:numId="105">
    <w:abstractNumId w:val="57"/>
  </w:num>
  <w:num w:numId="106">
    <w:abstractNumId w:val="99"/>
  </w:num>
  <w:num w:numId="107">
    <w:abstractNumId w:val="7"/>
  </w:num>
  <w:num w:numId="108">
    <w:abstractNumId w:val="102"/>
  </w:num>
  <w:num w:numId="109">
    <w:abstractNumId w:val="129"/>
  </w:num>
  <w:num w:numId="110">
    <w:abstractNumId w:val="23"/>
  </w:num>
  <w:num w:numId="111">
    <w:abstractNumId w:val="12"/>
  </w:num>
  <w:num w:numId="112">
    <w:abstractNumId w:val="33"/>
  </w:num>
  <w:num w:numId="113">
    <w:abstractNumId w:val="115"/>
  </w:num>
  <w:num w:numId="114">
    <w:abstractNumId w:val="8"/>
  </w:num>
  <w:num w:numId="115">
    <w:abstractNumId w:val="65"/>
  </w:num>
  <w:num w:numId="116">
    <w:abstractNumId w:val="71"/>
  </w:num>
  <w:num w:numId="117">
    <w:abstractNumId w:val="27"/>
  </w:num>
  <w:num w:numId="118">
    <w:abstractNumId w:val="11"/>
  </w:num>
  <w:num w:numId="119">
    <w:abstractNumId w:val="36"/>
  </w:num>
  <w:num w:numId="120">
    <w:abstractNumId w:val="105"/>
  </w:num>
  <w:num w:numId="121">
    <w:abstractNumId w:val="140"/>
  </w:num>
  <w:num w:numId="122">
    <w:abstractNumId w:val="51"/>
  </w:num>
  <w:num w:numId="123">
    <w:abstractNumId w:val="130"/>
  </w:num>
  <w:num w:numId="124">
    <w:abstractNumId w:val="132"/>
  </w:num>
  <w:num w:numId="125">
    <w:abstractNumId w:val="24"/>
  </w:num>
  <w:num w:numId="126">
    <w:abstractNumId w:val="25"/>
  </w:num>
  <w:num w:numId="127">
    <w:abstractNumId w:val="69"/>
  </w:num>
  <w:num w:numId="128">
    <w:abstractNumId w:val="45"/>
  </w:num>
  <w:num w:numId="129">
    <w:abstractNumId w:val="76"/>
  </w:num>
  <w:num w:numId="130">
    <w:abstractNumId w:val="52"/>
  </w:num>
  <w:num w:numId="131">
    <w:abstractNumId w:val="103"/>
  </w:num>
  <w:num w:numId="132">
    <w:abstractNumId w:val="0"/>
  </w:num>
  <w:num w:numId="133">
    <w:abstractNumId w:val="137"/>
  </w:num>
  <w:num w:numId="134">
    <w:abstractNumId w:val="126"/>
  </w:num>
  <w:num w:numId="135">
    <w:abstractNumId w:val="81"/>
  </w:num>
  <w:num w:numId="136">
    <w:abstractNumId w:val="83"/>
  </w:num>
  <w:num w:numId="137">
    <w:abstractNumId w:val="43"/>
  </w:num>
  <w:num w:numId="138">
    <w:abstractNumId w:val="10"/>
  </w:num>
  <w:num w:numId="139">
    <w:abstractNumId w:val="21"/>
  </w:num>
  <w:num w:numId="140">
    <w:abstractNumId w:val="60"/>
  </w:num>
  <w:num w:numId="141">
    <w:abstractNumId w:val="77"/>
  </w:num>
  <w:num w:numId="142">
    <w:abstractNumId w:val="131"/>
  </w:num>
  <w:num w:numId="143">
    <w:abstractNumId w:val="47"/>
  </w:num>
  <w:num w:numId="144">
    <w:abstractNumId w:val="3"/>
  </w:num>
  <w:num w:numId="145">
    <w:abstractNumId w:val="117"/>
  </w:num>
  <w:num w:numId="146">
    <w:abstractNumId w:val="122"/>
  </w:num>
  <w:num w:numId="147">
    <w:abstractNumId w:val="143"/>
  </w:num>
  <w:num w:numId="148">
    <w:abstractNumId w:val="32"/>
  </w:num>
  <w:num w:numId="149">
    <w:abstractNumId w:val="148"/>
  </w:num>
  <w:num w:numId="150">
    <w:abstractNumId w:val="146"/>
  </w:num>
  <w:num w:numId="151">
    <w:abstractNumId w:val="150"/>
  </w:num>
  <w:num w:numId="152">
    <w:abstractNumId w:val="68"/>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true" w:cryptProviderType="rsaAES" w:cryptAlgorithmClass="hash" w:cryptAlgorithmType="typeAny" w:cryptAlgorithmSid="14" w:hash="S79jzJM0xL7GnRcEC0X1FCE/DBXGpxs3zcZJaJTCcoNe++VSe6jxAJ0kOHl4af451iLGf2hKTU5p6bMCYzjnBw==" w:salt="2iM+6JOs+2kf63xprp4ohQ==" w:spinCount="10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awsDAwsTQ1tTBT0lEKTi0uzszPAykwrgUAnaPfQywAAAA="/>
  </w:docVars>
  <w:rsids>
    <w:rsidRoot w:val="0036649D"/>
    <w:rsid w:val="00133F23"/>
    <w:rsid w:val="001D488E"/>
    <w:rsid w:val="003146A1"/>
    <w:rsid w:val="0036649D"/>
    <w:rsid w:val="005846B1"/>
    <w:rsid w:val="00601F4B"/>
    <w:rsid w:val="0071586F"/>
    <w:rsid w:val="00790A17"/>
    <w:rsid w:val="00E35D9D"/>
    <w:rsid w:val="00E52C24"/>
    <w:rsid w:val="00E72BD7"/>
    <w:rsid w:val="00EE42EB"/>
    <w:rsid w:val="00EF7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255D"/>
  <w15:chartTrackingRefBased/>
  <w15:docId w15:val="{D4587419-031B-4D3C-A914-8A4AD0EB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EE42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E42E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main">
    <w:name w:val="ti-main"/>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hapter">
    <w:name w:val="ti-chapter"/>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E35D9D"/>
    <w:rPr>
      <w:color w:val="0000FF"/>
      <w:u w:val="single"/>
    </w:rPr>
  </w:style>
  <w:style w:type="character" w:customStyle="1" w:styleId="bold">
    <w:name w:val="bold"/>
    <w:basedOn w:val="Absatz-Standardschriftart"/>
    <w:rsid w:val="00E35D9D"/>
  </w:style>
  <w:style w:type="character" w:customStyle="1" w:styleId="italic">
    <w:name w:val="italic"/>
    <w:basedOn w:val="Absatz-Standardschriftart"/>
    <w:rsid w:val="00E35D9D"/>
  </w:style>
  <w:style w:type="paragraph" w:customStyle="1" w:styleId="lastmod">
    <w:name w:val="lastmod"/>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ol">
    <w:name w:val="ti-co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ell">
    <w:name w:val="cel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EE42E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E42EB"/>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601F4B"/>
  </w:style>
  <w:style w:type="paragraph" w:styleId="StandardWeb">
    <w:name w:val="Normal (Web)"/>
    <w:basedOn w:val="Standard"/>
    <w:uiPriority w:val="99"/>
    <w:semiHidden/>
    <w:unhideWhenUsed/>
    <w:rsid w:val="00601F4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601F4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1289">
      <w:bodyDiv w:val="1"/>
      <w:marLeft w:val="0"/>
      <w:marRight w:val="0"/>
      <w:marTop w:val="0"/>
      <w:marBottom w:val="0"/>
      <w:divBdr>
        <w:top w:val="none" w:sz="0" w:space="0" w:color="auto"/>
        <w:left w:val="none" w:sz="0" w:space="0" w:color="auto"/>
        <w:bottom w:val="none" w:sz="0" w:space="0" w:color="auto"/>
        <w:right w:val="none" w:sz="0" w:space="0" w:color="auto"/>
      </w:divBdr>
      <w:divsChild>
        <w:div w:id="829903586">
          <w:marLeft w:val="0"/>
          <w:marRight w:val="0"/>
          <w:marTop w:val="0"/>
          <w:marBottom w:val="0"/>
          <w:divBdr>
            <w:top w:val="none" w:sz="0" w:space="0" w:color="auto"/>
            <w:left w:val="none" w:sz="0" w:space="0" w:color="auto"/>
            <w:bottom w:val="none" w:sz="0" w:space="0" w:color="auto"/>
            <w:right w:val="none" w:sz="0" w:space="0" w:color="auto"/>
          </w:divBdr>
        </w:div>
        <w:div w:id="1070419677">
          <w:marLeft w:val="0"/>
          <w:marRight w:val="0"/>
          <w:marTop w:val="0"/>
          <w:marBottom w:val="0"/>
          <w:divBdr>
            <w:top w:val="none" w:sz="0" w:space="0" w:color="auto"/>
            <w:left w:val="none" w:sz="0" w:space="0" w:color="auto"/>
            <w:bottom w:val="none" w:sz="0" w:space="0" w:color="auto"/>
            <w:right w:val="none" w:sz="0" w:space="0" w:color="auto"/>
          </w:divBdr>
        </w:div>
        <w:div w:id="367804597">
          <w:marLeft w:val="0"/>
          <w:marRight w:val="0"/>
          <w:marTop w:val="0"/>
          <w:marBottom w:val="0"/>
          <w:divBdr>
            <w:top w:val="none" w:sz="0" w:space="0" w:color="auto"/>
            <w:left w:val="none" w:sz="0" w:space="0" w:color="auto"/>
            <w:bottom w:val="none" w:sz="0" w:space="0" w:color="auto"/>
            <w:right w:val="none" w:sz="0" w:space="0" w:color="auto"/>
          </w:divBdr>
        </w:div>
      </w:divsChild>
    </w:div>
    <w:div w:id="151799599">
      <w:bodyDiv w:val="1"/>
      <w:marLeft w:val="0"/>
      <w:marRight w:val="0"/>
      <w:marTop w:val="0"/>
      <w:marBottom w:val="0"/>
      <w:divBdr>
        <w:top w:val="none" w:sz="0" w:space="0" w:color="auto"/>
        <w:left w:val="none" w:sz="0" w:space="0" w:color="auto"/>
        <w:bottom w:val="none" w:sz="0" w:space="0" w:color="auto"/>
        <w:right w:val="none" w:sz="0" w:space="0" w:color="auto"/>
      </w:divBdr>
      <w:divsChild>
        <w:div w:id="1976906983">
          <w:marLeft w:val="0"/>
          <w:marRight w:val="0"/>
          <w:marTop w:val="0"/>
          <w:marBottom w:val="0"/>
          <w:divBdr>
            <w:top w:val="none" w:sz="0" w:space="0" w:color="auto"/>
            <w:left w:val="none" w:sz="0" w:space="0" w:color="auto"/>
            <w:bottom w:val="none" w:sz="0" w:space="0" w:color="auto"/>
            <w:right w:val="none" w:sz="0" w:space="0" w:color="auto"/>
          </w:divBdr>
        </w:div>
      </w:divsChild>
    </w:div>
    <w:div w:id="167717032">
      <w:bodyDiv w:val="1"/>
      <w:marLeft w:val="0"/>
      <w:marRight w:val="0"/>
      <w:marTop w:val="0"/>
      <w:marBottom w:val="0"/>
      <w:divBdr>
        <w:top w:val="none" w:sz="0" w:space="0" w:color="auto"/>
        <w:left w:val="none" w:sz="0" w:space="0" w:color="auto"/>
        <w:bottom w:val="none" w:sz="0" w:space="0" w:color="auto"/>
        <w:right w:val="none" w:sz="0" w:space="0" w:color="auto"/>
      </w:divBdr>
      <w:divsChild>
        <w:div w:id="894852360">
          <w:marLeft w:val="0"/>
          <w:marRight w:val="0"/>
          <w:marTop w:val="0"/>
          <w:marBottom w:val="0"/>
          <w:divBdr>
            <w:top w:val="none" w:sz="0" w:space="0" w:color="auto"/>
            <w:left w:val="none" w:sz="0" w:space="0" w:color="auto"/>
            <w:bottom w:val="none" w:sz="0" w:space="0" w:color="auto"/>
            <w:right w:val="none" w:sz="0" w:space="0" w:color="auto"/>
          </w:divBdr>
        </w:div>
        <w:div w:id="484787962">
          <w:marLeft w:val="1108"/>
          <w:marRight w:val="0"/>
          <w:marTop w:val="240"/>
          <w:marBottom w:val="240"/>
          <w:divBdr>
            <w:top w:val="none" w:sz="0" w:space="0" w:color="auto"/>
            <w:left w:val="none" w:sz="0" w:space="0" w:color="auto"/>
            <w:bottom w:val="none" w:sz="0" w:space="0" w:color="auto"/>
            <w:right w:val="none" w:sz="0" w:space="0" w:color="auto"/>
          </w:divBdr>
        </w:div>
        <w:div w:id="2143573064">
          <w:marLeft w:val="0"/>
          <w:marRight w:val="0"/>
          <w:marTop w:val="0"/>
          <w:marBottom w:val="0"/>
          <w:divBdr>
            <w:top w:val="none" w:sz="0" w:space="0" w:color="auto"/>
            <w:left w:val="none" w:sz="0" w:space="0" w:color="auto"/>
            <w:bottom w:val="none" w:sz="0" w:space="0" w:color="auto"/>
            <w:right w:val="none" w:sz="0" w:space="0" w:color="auto"/>
          </w:divBdr>
        </w:div>
        <w:div w:id="2079739807">
          <w:marLeft w:val="1108"/>
          <w:marRight w:val="0"/>
          <w:marTop w:val="240"/>
          <w:marBottom w:val="240"/>
          <w:divBdr>
            <w:top w:val="none" w:sz="0" w:space="0" w:color="auto"/>
            <w:left w:val="none" w:sz="0" w:space="0" w:color="auto"/>
            <w:bottom w:val="none" w:sz="0" w:space="0" w:color="auto"/>
            <w:right w:val="none" w:sz="0" w:space="0" w:color="auto"/>
          </w:divBdr>
        </w:div>
      </w:divsChild>
    </w:div>
    <w:div w:id="182982851">
      <w:bodyDiv w:val="1"/>
      <w:marLeft w:val="0"/>
      <w:marRight w:val="0"/>
      <w:marTop w:val="0"/>
      <w:marBottom w:val="0"/>
      <w:divBdr>
        <w:top w:val="none" w:sz="0" w:space="0" w:color="auto"/>
        <w:left w:val="none" w:sz="0" w:space="0" w:color="auto"/>
        <w:bottom w:val="none" w:sz="0" w:space="0" w:color="auto"/>
        <w:right w:val="none" w:sz="0" w:space="0" w:color="auto"/>
      </w:divBdr>
      <w:divsChild>
        <w:div w:id="1533180936">
          <w:marLeft w:val="0"/>
          <w:marRight w:val="0"/>
          <w:marTop w:val="0"/>
          <w:marBottom w:val="0"/>
          <w:divBdr>
            <w:top w:val="none" w:sz="0" w:space="0" w:color="auto"/>
            <w:left w:val="none" w:sz="0" w:space="0" w:color="auto"/>
            <w:bottom w:val="none" w:sz="0" w:space="0" w:color="auto"/>
            <w:right w:val="none" w:sz="0" w:space="0" w:color="auto"/>
          </w:divBdr>
        </w:div>
        <w:div w:id="1839417176">
          <w:marLeft w:val="0"/>
          <w:marRight w:val="0"/>
          <w:marTop w:val="0"/>
          <w:marBottom w:val="0"/>
          <w:divBdr>
            <w:top w:val="none" w:sz="0" w:space="0" w:color="auto"/>
            <w:left w:val="none" w:sz="0" w:space="0" w:color="auto"/>
            <w:bottom w:val="none" w:sz="0" w:space="0" w:color="auto"/>
            <w:right w:val="none" w:sz="0" w:space="0" w:color="auto"/>
          </w:divBdr>
        </w:div>
      </w:divsChild>
    </w:div>
    <w:div w:id="251085829">
      <w:bodyDiv w:val="1"/>
      <w:marLeft w:val="0"/>
      <w:marRight w:val="0"/>
      <w:marTop w:val="0"/>
      <w:marBottom w:val="0"/>
      <w:divBdr>
        <w:top w:val="none" w:sz="0" w:space="0" w:color="auto"/>
        <w:left w:val="none" w:sz="0" w:space="0" w:color="auto"/>
        <w:bottom w:val="none" w:sz="0" w:space="0" w:color="auto"/>
        <w:right w:val="none" w:sz="0" w:space="0" w:color="auto"/>
      </w:divBdr>
      <w:divsChild>
        <w:div w:id="511190148">
          <w:marLeft w:val="0"/>
          <w:marRight w:val="0"/>
          <w:marTop w:val="0"/>
          <w:marBottom w:val="0"/>
          <w:divBdr>
            <w:top w:val="none" w:sz="0" w:space="0" w:color="auto"/>
            <w:left w:val="none" w:sz="0" w:space="0" w:color="auto"/>
            <w:bottom w:val="none" w:sz="0" w:space="0" w:color="auto"/>
            <w:right w:val="none" w:sz="0" w:space="0" w:color="auto"/>
          </w:divBdr>
        </w:div>
        <w:div w:id="1848209536">
          <w:marLeft w:val="1108"/>
          <w:marRight w:val="0"/>
          <w:marTop w:val="240"/>
          <w:marBottom w:val="240"/>
          <w:divBdr>
            <w:top w:val="none" w:sz="0" w:space="0" w:color="auto"/>
            <w:left w:val="none" w:sz="0" w:space="0" w:color="auto"/>
            <w:bottom w:val="none" w:sz="0" w:space="0" w:color="auto"/>
            <w:right w:val="none" w:sz="0" w:space="0" w:color="auto"/>
          </w:divBdr>
        </w:div>
        <w:div w:id="2043628587">
          <w:marLeft w:val="0"/>
          <w:marRight w:val="0"/>
          <w:marTop w:val="0"/>
          <w:marBottom w:val="0"/>
          <w:divBdr>
            <w:top w:val="none" w:sz="0" w:space="0" w:color="auto"/>
            <w:left w:val="none" w:sz="0" w:space="0" w:color="auto"/>
            <w:bottom w:val="none" w:sz="0" w:space="0" w:color="auto"/>
            <w:right w:val="none" w:sz="0" w:space="0" w:color="auto"/>
          </w:divBdr>
        </w:div>
        <w:div w:id="828210285">
          <w:marLeft w:val="1108"/>
          <w:marRight w:val="0"/>
          <w:marTop w:val="240"/>
          <w:marBottom w:val="240"/>
          <w:divBdr>
            <w:top w:val="none" w:sz="0" w:space="0" w:color="auto"/>
            <w:left w:val="none" w:sz="0" w:space="0" w:color="auto"/>
            <w:bottom w:val="none" w:sz="0" w:space="0" w:color="auto"/>
            <w:right w:val="none" w:sz="0" w:space="0" w:color="auto"/>
          </w:divBdr>
        </w:div>
        <w:div w:id="347295524">
          <w:marLeft w:val="0"/>
          <w:marRight w:val="0"/>
          <w:marTop w:val="0"/>
          <w:marBottom w:val="0"/>
          <w:divBdr>
            <w:top w:val="none" w:sz="0" w:space="0" w:color="auto"/>
            <w:left w:val="none" w:sz="0" w:space="0" w:color="auto"/>
            <w:bottom w:val="none" w:sz="0" w:space="0" w:color="auto"/>
            <w:right w:val="none" w:sz="0" w:space="0" w:color="auto"/>
          </w:divBdr>
        </w:div>
        <w:div w:id="923689030">
          <w:marLeft w:val="1108"/>
          <w:marRight w:val="0"/>
          <w:marTop w:val="240"/>
          <w:marBottom w:val="240"/>
          <w:divBdr>
            <w:top w:val="none" w:sz="0" w:space="0" w:color="auto"/>
            <w:left w:val="none" w:sz="0" w:space="0" w:color="auto"/>
            <w:bottom w:val="none" w:sz="0" w:space="0" w:color="auto"/>
            <w:right w:val="none" w:sz="0" w:space="0" w:color="auto"/>
          </w:divBdr>
        </w:div>
      </w:divsChild>
    </w:div>
    <w:div w:id="264732561">
      <w:bodyDiv w:val="1"/>
      <w:marLeft w:val="0"/>
      <w:marRight w:val="0"/>
      <w:marTop w:val="0"/>
      <w:marBottom w:val="0"/>
      <w:divBdr>
        <w:top w:val="none" w:sz="0" w:space="0" w:color="auto"/>
        <w:left w:val="none" w:sz="0" w:space="0" w:color="auto"/>
        <w:bottom w:val="none" w:sz="0" w:space="0" w:color="auto"/>
        <w:right w:val="none" w:sz="0" w:space="0" w:color="auto"/>
      </w:divBdr>
    </w:div>
    <w:div w:id="278532441">
      <w:bodyDiv w:val="1"/>
      <w:marLeft w:val="0"/>
      <w:marRight w:val="0"/>
      <w:marTop w:val="0"/>
      <w:marBottom w:val="0"/>
      <w:divBdr>
        <w:top w:val="none" w:sz="0" w:space="0" w:color="auto"/>
        <w:left w:val="none" w:sz="0" w:space="0" w:color="auto"/>
        <w:bottom w:val="none" w:sz="0" w:space="0" w:color="auto"/>
        <w:right w:val="none" w:sz="0" w:space="0" w:color="auto"/>
      </w:divBdr>
    </w:div>
    <w:div w:id="327100024">
      <w:bodyDiv w:val="1"/>
      <w:marLeft w:val="0"/>
      <w:marRight w:val="0"/>
      <w:marTop w:val="0"/>
      <w:marBottom w:val="0"/>
      <w:divBdr>
        <w:top w:val="none" w:sz="0" w:space="0" w:color="auto"/>
        <w:left w:val="none" w:sz="0" w:space="0" w:color="auto"/>
        <w:bottom w:val="none" w:sz="0" w:space="0" w:color="auto"/>
        <w:right w:val="none" w:sz="0" w:space="0" w:color="auto"/>
      </w:divBdr>
    </w:div>
    <w:div w:id="354968015">
      <w:bodyDiv w:val="1"/>
      <w:marLeft w:val="0"/>
      <w:marRight w:val="0"/>
      <w:marTop w:val="0"/>
      <w:marBottom w:val="0"/>
      <w:divBdr>
        <w:top w:val="none" w:sz="0" w:space="0" w:color="auto"/>
        <w:left w:val="none" w:sz="0" w:space="0" w:color="auto"/>
        <w:bottom w:val="none" w:sz="0" w:space="0" w:color="auto"/>
        <w:right w:val="none" w:sz="0" w:space="0" w:color="auto"/>
      </w:divBdr>
      <w:divsChild>
        <w:div w:id="695498705">
          <w:marLeft w:val="0"/>
          <w:marRight w:val="0"/>
          <w:marTop w:val="0"/>
          <w:marBottom w:val="0"/>
          <w:divBdr>
            <w:top w:val="none" w:sz="0" w:space="0" w:color="auto"/>
            <w:left w:val="none" w:sz="0" w:space="0" w:color="auto"/>
            <w:bottom w:val="none" w:sz="0" w:space="0" w:color="auto"/>
            <w:right w:val="none" w:sz="0" w:space="0" w:color="auto"/>
          </w:divBdr>
        </w:div>
        <w:div w:id="873736159">
          <w:marLeft w:val="0"/>
          <w:marRight w:val="0"/>
          <w:marTop w:val="0"/>
          <w:marBottom w:val="0"/>
          <w:divBdr>
            <w:top w:val="none" w:sz="0" w:space="0" w:color="auto"/>
            <w:left w:val="none" w:sz="0" w:space="0" w:color="auto"/>
            <w:bottom w:val="none" w:sz="0" w:space="0" w:color="auto"/>
            <w:right w:val="none" w:sz="0" w:space="0" w:color="auto"/>
          </w:divBdr>
        </w:div>
        <w:div w:id="733116568">
          <w:marLeft w:val="0"/>
          <w:marRight w:val="0"/>
          <w:marTop w:val="0"/>
          <w:marBottom w:val="0"/>
          <w:divBdr>
            <w:top w:val="none" w:sz="0" w:space="0" w:color="auto"/>
            <w:left w:val="none" w:sz="0" w:space="0" w:color="auto"/>
            <w:bottom w:val="none" w:sz="0" w:space="0" w:color="auto"/>
            <w:right w:val="none" w:sz="0" w:space="0" w:color="auto"/>
          </w:divBdr>
        </w:div>
      </w:divsChild>
    </w:div>
    <w:div w:id="422343979">
      <w:bodyDiv w:val="1"/>
      <w:marLeft w:val="0"/>
      <w:marRight w:val="0"/>
      <w:marTop w:val="0"/>
      <w:marBottom w:val="0"/>
      <w:divBdr>
        <w:top w:val="none" w:sz="0" w:space="0" w:color="auto"/>
        <w:left w:val="none" w:sz="0" w:space="0" w:color="auto"/>
        <w:bottom w:val="none" w:sz="0" w:space="0" w:color="auto"/>
        <w:right w:val="none" w:sz="0" w:space="0" w:color="auto"/>
      </w:divBdr>
      <w:divsChild>
        <w:div w:id="1650746886">
          <w:marLeft w:val="0"/>
          <w:marRight w:val="0"/>
          <w:marTop w:val="0"/>
          <w:marBottom w:val="0"/>
          <w:divBdr>
            <w:top w:val="none" w:sz="0" w:space="0" w:color="auto"/>
            <w:left w:val="none" w:sz="0" w:space="0" w:color="auto"/>
            <w:bottom w:val="none" w:sz="0" w:space="0" w:color="auto"/>
            <w:right w:val="none" w:sz="0" w:space="0" w:color="auto"/>
          </w:divBdr>
        </w:div>
      </w:divsChild>
    </w:div>
    <w:div w:id="465317400">
      <w:bodyDiv w:val="1"/>
      <w:marLeft w:val="0"/>
      <w:marRight w:val="0"/>
      <w:marTop w:val="0"/>
      <w:marBottom w:val="0"/>
      <w:divBdr>
        <w:top w:val="none" w:sz="0" w:space="0" w:color="auto"/>
        <w:left w:val="none" w:sz="0" w:space="0" w:color="auto"/>
        <w:bottom w:val="none" w:sz="0" w:space="0" w:color="auto"/>
        <w:right w:val="none" w:sz="0" w:space="0" w:color="auto"/>
      </w:divBdr>
      <w:divsChild>
        <w:div w:id="1531799213">
          <w:marLeft w:val="0"/>
          <w:marRight w:val="0"/>
          <w:marTop w:val="0"/>
          <w:marBottom w:val="0"/>
          <w:divBdr>
            <w:top w:val="none" w:sz="0" w:space="0" w:color="auto"/>
            <w:left w:val="none" w:sz="0" w:space="0" w:color="auto"/>
            <w:bottom w:val="none" w:sz="0" w:space="0" w:color="auto"/>
            <w:right w:val="none" w:sz="0" w:space="0" w:color="auto"/>
          </w:divBdr>
        </w:div>
      </w:divsChild>
    </w:div>
    <w:div w:id="631450342">
      <w:bodyDiv w:val="1"/>
      <w:marLeft w:val="0"/>
      <w:marRight w:val="0"/>
      <w:marTop w:val="0"/>
      <w:marBottom w:val="0"/>
      <w:divBdr>
        <w:top w:val="none" w:sz="0" w:space="0" w:color="auto"/>
        <w:left w:val="none" w:sz="0" w:space="0" w:color="auto"/>
        <w:bottom w:val="none" w:sz="0" w:space="0" w:color="auto"/>
        <w:right w:val="none" w:sz="0" w:space="0" w:color="auto"/>
      </w:divBdr>
    </w:div>
    <w:div w:id="717818880">
      <w:bodyDiv w:val="1"/>
      <w:marLeft w:val="0"/>
      <w:marRight w:val="0"/>
      <w:marTop w:val="0"/>
      <w:marBottom w:val="0"/>
      <w:divBdr>
        <w:top w:val="none" w:sz="0" w:space="0" w:color="auto"/>
        <w:left w:val="none" w:sz="0" w:space="0" w:color="auto"/>
        <w:bottom w:val="none" w:sz="0" w:space="0" w:color="auto"/>
        <w:right w:val="none" w:sz="0" w:space="0" w:color="auto"/>
      </w:divBdr>
      <w:divsChild>
        <w:div w:id="1329286744">
          <w:marLeft w:val="0"/>
          <w:marRight w:val="0"/>
          <w:marTop w:val="0"/>
          <w:marBottom w:val="0"/>
          <w:divBdr>
            <w:top w:val="none" w:sz="0" w:space="0" w:color="auto"/>
            <w:left w:val="none" w:sz="0" w:space="0" w:color="auto"/>
            <w:bottom w:val="none" w:sz="0" w:space="0" w:color="auto"/>
            <w:right w:val="none" w:sz="0" w:space="0" w:color="auto"/>
          </w:divBdr>
        </w:div>
        <w:div w:id="747388748">
          <w:marLeft w:val="1108"/>
          <w:marRight w:val="0"/>
          <w:marTop w:val="240"/>
          <w:marBottom w:val="240"/>
          <w:divBdr>
            <w:top w:val="none" w:sz="0" w:space="0" w:color="auto"/>
            <w:left w:val="none" w:sz="0" w:space="0" w:color="auto"/>
            <w:bottom w:val="none" w:sz="0" w:space="0" w:color="auto"/>
            <w:right w:val="none" w:sz="0" w:space="0" w:color="auto"/>
          </w:divBdr>
        </w:div>
        <w:div w:id="1499229964">
          <w:marLeft w:val="0"/>
          <w:marRight w:val="0"/>
          <w:marTop w:val="0"/>
          <w:marBottom w:val="0"/>
          <w:divBdr>
            <w:top w:val="none" w:sz="0" w:space="0" w:color="auto"/>
            <w:left w:val="none" w:sz="0" w:space="0" w:color="auto"/>
            <w:bottom w:val="none" w:sz="0" w:space="0" w:color="auto"/>
            <w:right w:val="none" w:sz="0" w:space="0" w:color="auto"/>
          </w:divBdr>
        </w:div>
        <w:div w:id="1184251542">
          <w:marLeft w:val="1108"/>
          <w:marRight w:val="0"/>
          <w:marTop w:val="240"/>
          <w:marBottom w:val="240"/>
          <w:divBdr>
            <w:top w:val="none" w:sz="0" w:space="0" w:color="auto"/>
            <w:left w:val="none" w:sz="0" w:space="0" w:color="auto"/>
            <w:bottom w:val="none" w:sz="0" w:space="0" w:color="auto"/>
            <w:right w:val="none" w:sz="0" w:space="0" w:color="auto"/>
          </w:divBdr>
        </w:div>
      </w:divsChild>
    </w:div>
    <w:div w:id="773939413">
      <w:bodyDiv w:val="1"/>
      <w:marLeft w:val="0"/>
      <w:marRight w:val="0"/>
      <w:marTop w:val="0"/>
      <w:marBottom w:val="0"/>
      <w:divBdr>
        <w:top w:val="none" w:sz="0" w:space="0" w:color="auto"/>
        <w:left w:val="none" w:sz="0" w:space="0" w:color="auto"/>
        <w:bottom w:val="none" w:sz="0" w:space="0" w:color="auto"/>
        <w:right w:val="none" w:sz="0" w:space="0" w:color="auto"/>
      </w:divBdr>
      <w:divsChild>
        <w:div w:id="1842314083">
          <w:marLeft w:val="0"/>
          <w:marRight w:val="0"/>
          <w:marTop w:val="0"/>
          <w:marBottom w:val="0"/>
          <w:divBdr>
            <w:top w:val="none" w:sz="0" w:space="0" w:color="auto"/>
            <w:left w:val="none" w:sz="0" w:space="0" w:color="auto"/>
            <w:bottom w:val="none" w:sz="0" w:space="0" w:color="auto"/>
            <w:right w:val="none" w:sz="0" w:space="0" w:color="auto"/>
          </w:divBdr>
        </w:div>
      </w:divsChild>
    </w:div>
    <w:div w:id="869799100">
      <w:bodyDiv w:val="1"/>
      <w:marLeft w:val="0"/>
      <w:marRight w:val="0"/>
      <w:marTop w:val="0"/>
      <w:marBottom w:val="0"/>
      <w:divBdr>
        <w:top w:val="none" w:sz="0" w:space="0" w:color="auto"/>
        <w:left w:val="none" w:sz="0" w:space="0" w:color="auto"/>
        <w:bottom w:val="none" w:sz="0" w:space="0" w:color="auto"/>
        <w:right w:val="none" w:sz="0" w:space="0" w:color="auto"/>
      </w:divBdr>
      <w:divsChild>
        <w:div w:id="1415585278">
          <w:marLeft w:val="0"/>
          <w:marRight w:val="0"/>
          <w:marTop w:val="195"/>
          <w:marBottom w:val="0"/>
          <w:divBdr>
            <w:top w:val="none" w:sz="0" w:space="0" w:color="auto"/>
            <w:left w:val="none" w:sz="0" w:space="0" w:color="auto"/>
            <w:bottom w:val="none" w:sz="0" w:space="0" w:color="auto"/>
            <w:right w:val="none" w:sz="0" w:space="0" w:color="auto"/>
          </w:divBdr>
          <w:divsChild>
            <w:div w:id="1629356994">
              <w:marLeft w:val="0"/>
              <w:marRight w:val="0"/>
              <w:marTop w:val="195"/>
              <w:marBottom w:val="0"/>
              <w:divBdr>
                <w:top w:val="none" w:sz="0" w:space="0" w:color="auto"/>
                <w:left w:val="none" w:sz="0" w:space="0" w:color="auto"/>
                <w:bottom w:val="none" w:sz="0" w:space="0" w:color="auto"/>
                <w:right w:val="none" w:sz="0" w:space="0" w:color="auto"/>
              </w:divBdr>
            </w:div>
            <w:div w:id="2079866063">
              <w:marLeft w:val="0"/>
              <w:marRight w:val="0"/>
              <w:marTop w:val="195"/>
              <w:marBottom w:val="0"/>
              <w:divBdr>
                <w:top w:val="none" w:sz="0" w:space="0" w:color="auto"/>
                <w:left w:val="none" w:sz="0" w:space="0" w:color="auto"/>
                <w:bottom w:val="none" w:sz="0" w:space="0" w:color="auto"/>
                <w:right w:val="none" w:sz="0" w:space="0" w:color="auto"/>
              </w:divBdr>
            </w:div>
            <w:div w:id="1702778578">
              <w:marLeft w:val="0"/>
              <w:marRight w:val="0"/>
              <w:marTop w:val="195"/>
              <w:marBottom w:val="0"/>
              <w:divBdr>
                <w:top w:val="none" w:sz="0" w:space="0" w:color="auto"/>
                <w:left w:val="none" w:sz="0" w:space="0" w:color="auto"/>
                <w:bottom w:val="none" w:sz="0" w:space="0" w:color="auto"/>
                <w:right w:val="none" w:sz="0" w:space="0" w:color="auto"/>
              </w:divBdr>
            </w:div>
          </w:divsChild>
        </w:div>
        <w:div w:id="527111188">
          <w:marLeft w:val="0"/>
          <w:marRight w:val="0"/>
          <w:marTop w:val="195"/>
          <w:marBottom w:val="0"/>
          <w:divBdr>
            <w:top w:val="none" w:sz="0" w:space="0" w:color="auto"/>
            <w:left w:val="none" w:sz="0" w:space="0" w:color="auto"/>
            <w:bottom w:val="none" w:sz="0" w:space="0" w:color="auto"/>
            <w:right w:val="none" w:sz="0" w:space="0" w:color="auto"/>
          </w:divBdr>
        </w:div>
        <w:div w:id="1225524914">
          <w:marLeft w:val="0"/>
          <w:marRight w:val="0"/>
          <w:marTop w:val="195"/>
          <w:marBottom w:val="0"/>
          <w:divBdr>
            <w:top w:val="none" w:sz="0" w:space="0" w:color="auto"/>
            <w:left w:val="none" w:sz="0" w:space="0" w:color="auto"/>
            <w:bottom w:val="none" w:sz="0" w:space="0" w:color="auto"/>
            <w:right w:val="none" w:sz="0" w:space="0" w:color="auto"/>
          </w:divBdr>
        </w:div>
        <w:div w:id="910771848">
          <w:marLeft w:val="0"/>
          <w:marRight w:val="0"/>
          <w:marTop w:val="195"/>
          <w:marBottom w:val="0"/>
          <w:divBdr>
            <w:top w:val="none" w:sz="0" w:space="0" w:color="auto"/>
            <w:left w:val="none" w:sz="0" w:space="0" w:color="auto"/>
            <w:bottom w:val="none" w:sz="0" w:space="0" w:color="auto"/>
            <w:right w:val="none" w:sz="0" w:space="0" w:color="auto"/>
          </w:divBdr>
        </w:div>
        <w:div w:id="351994872">
          <w:marLeft w:val="0"/>
          <w:marRight w:val="0"/>
          <w:marTop w:val="195"/>
          <w:marBottom w:val="0"/>
          <w:divBdr>
            <w:top w:val="none" w:sz="0" w:space="0" w:color="auto"/>
            <w:left w:val="none" w:sz="0" w:space="0" w:color="auto"/>
            <w:bottom w:val="none" w:sz="0" w:space="0" w:color="auto"/>
            <w:right w:val="none" w:sz="0" w:space="0" w:color="auto"/>
          </w:divBdr>
        </w:div>
        <w:div w:id="148596404">
          <w:marLeft w:val="0"/>
          <w:marRight w:val="0"/>
          <w:marTop w:val="195"/>
          <w:marBottom w:val="0"/>
          <w:divBdr>
            <w:top w:val="none" w:sz="0" w:space="0" w:color="auto"/>
            <w:left w:val="none" w:sz="0" w:space="0" w:color="auto"/>
            <w:bottom w:val="none" w:sz="0" w:space="0" w:color="auto"/>
            <w:right w:val="none" w:sz="0" w:space="0" w:color="auto"/>
          </w:divBdr>
        </w:div>
        <w:div w:id="440954739">
          <w:marLeft w:val="0"/>
          <w:marRight w:val="0"/>
          <w:marTop w:val="195"/>
          <w:marBottom w:val="0"/>
          <w:divBdr>
            <w:top w:val="none" w:sz="0" w:space="0" w:color="auto"/>
            <w:left w:val="none" w:sz="0" w:space="0" w:color="auto"/>
            <w:bottom w:val="none" w:sz="0" w:space="0" w:color="auto"/>
            <w:right w:val="none" w:sz="0" w:space="0" w:color="auto"/>
          </w:divBdr>
        </w:div>
        <w:div w:id="916356537">
          <w:marLeft w:val="0"/>
          <w:marRight w:val="0"/>
          <w:marTop w:val="195"/>
          <w:marBottom w:val="0"/>
          <w:divBdr>
            <w:top w:val="none" w:sz="0" w:space="0" w:color="auto"/>
            <w:left w:val="none" w:sz="0" w:space="0" w:color="auto"/>
            <w:bottom w:val="none" w:sz="0" w:space="0" w:color="auto"/>
            <w:right w:val="none" w:sz="0" w:space="0" w:color="auto"/>
          </w:divBdr>
        </w:div>
        <w:div w:id="1568300442">
          <w:marLeft w:val="0"/>
          <w:marRight w:val="0"/>
          <w:marTop w:val="195"/>
          <w:marBottom w:val="0"/>
          <w:divBdr>
            <w:top w:val="none" w:sz="0" w:space="0" w:color="auto"/>
            <w:left w:val="none" w:sz="0" w:space="0" w:color="auto"/>
            <w:bottom w:val="none" w:sz="0" w:space="0" w:color="auto"/>
            <w:right w:val="none" w:sz="0" w:space="0" w:color="auto"/>
          </w:divBdr>
        </w:div>
        <w:div w:id="673336281">
          <w:marLeft w:val="0"/>
          <w:marRight w:val="0"/>
          <w:marTop w:val="195"/>
          <w:marBottom w:val="0"/>
          <w:divBdr>
            <w:top w:val="none" w:sz="0" w:space="0" w:color="auto"/>
            <w:left w:val="none" w:sz="0" w:space="0" w:color="auto"/>
            <w:bottom w:val="none" w:sz="0" w:space="0" w:color="auto"/>
            <w:right w:val="none" w:sz="0" w:space="0" w:color="auto"/>
          </w:divBdr>
        </w:div>
        <w:div w:id="468012159">
          <w:marLeft w:val="0"/>
          <w:marRight w:val="0"/>
          <w:marTop w:val="0"/>
          <w:marBottom w:val="0"/>
          <w:divBdr>
            <w:top w:val="none" w:sz="0" w:space="0" w:color="auto"/>
            <w:left w:val="none" w:sz="0" w:space="0" w:color="auto"/>
            <w:bottom w:val="none" w:sz="0" w:space="0" w:color="auto"/>
            <w:right w:val="none" w:sz="0" w:space="0" w:color="auto"/>
          </w:divBdr>
        </w:div>
      </w:divsChild>
    </w:div>
    <w:div w:id="1041906565">
      <w:bodyDiv w:val="1"/>
      <w:marLeft w:val="0"/>
      <w:marRight w:val="0"/>
      <w:marTop w:val="0"/>
      <w:marBottom w:val="0"/>
      <w:divBdr>
        <w:top w:val="none" w:sz="0" w:space="0" w:color="auto"/>
        <w:left w:val="none" w:sz="0" w:space="0" w:color="auto"/>
        <w:bottom w:val="none" w:sz="0" w:space="0" w:color="auto"/>
        <w:right w:val="none" w:sz="0" w:space="0" w:color="auto"/>
      </w:divBdr>
      <w:divsChild>
        <w:div w:id="1216505722">
          <w:marLeft w:val="0"/>
          <w:marRight w:val="0"/>
          <w:marTop w:val="0"/>
          <w:marBottom w:val="0"/>
          <w:divBdr>
            <w:top w:val="none" w:sz="0" w:space="0" w:color="auto"/>
            <w:left w:val="none" w:sz="0" w:space="0" w:color="auto"/>
            <w:bottom w:val="none" w:sz="0" w:space="0" w:color="auto"/>
            <w:right w:val="none" w:sz="0" w:space="0" w:color="auto"/>
          </w:divBdr>
        </w:div>
        <w:div w:id="1311523958">
          <w:marLeft w:val="0"/>
          <w:marRight w:val="0"/>
          <w:marTop w:val="0"/>
          <w:marBottom w:val="0"/>
          <w:divBdr>
            <w:top w:val="none" w:sz="0" w:space="0" w:color="auto"/>
            <w:left w:val="none" w:sz="0" w:space="0" w:color="auto"/>
            <w:bottom w:val="none" w:sz="0" w:space="0" w:color="auto"/>
            <w:right w:val="none" w:sz="0" w:space="0" w:color="auto"/>
          </w:divBdr>
        </w:div>
        <w:div w:id="1848671276">
          <w:marLeft w:val="0"/>
          <w:marRight w:val="0"/>
          <w:marTop w:val="0"/>
          <w:marBottom w:val="0"/>
          <w:divBdr>
            <w:top w:val="none" w:sz="0" w:space="0" w:color="auto"/>
            <w:left w:val="none" w:sz="0" w:space="0" w:color="auto"/>
            <w:bottom w:val="none" w:sz="0" w:space="0" w:color="auto"/>
            <w:right w:val="none" w:sz="0" w:space="0" w:color="auto"/>
          </w:divBdr>
        </w:div>
      </w:divsChild>
    </w:div>
    <w:div w:id="1060136245">
      <w:bodyDiv w:val="1"/>
      <w:marLeft w:val="0"/>
      <w:marRight w:val="0"/>
      <w:marTop w:val="0"/>
      <w:marBottom w:val="0"/>
      <w:divBdr>
        <w:top w:val="none" w:sz="0" w:space="0" w:color="auto"/>
        <w:left w:val="none" w:sz="0" w:space="0" w:color="auto"/>
        <w:bottom w:val="none" w:sz="0" w:space="0" w:color="auto"/>
        <w:right w:val="none" w:sz="0" w:space="0" w:color="auto"/>
      </w:divBdr>
    </w:div>
    <w:div w:id="1105542358">
      <w:bodyDiv w:val="1"/>
      <w:marLeft w:val="0"/>
      <w:marRight w:val="0"/>
      <w:marTop w:val="0"/>
      <w:marBottom w:val="0"/>
      <w:divBdr>
        <w:top w:val="none" w:sz="0" w:space="0" w:color="auto"/>
        <w:left w:val="none" w:sz="0" w:space="0" w:color="auto"/>
        <w:bottom w:val="none" w:sz="0" w:space="0" w:color="auto"/>
        <w:right w:val="none" w:sz="0" w:space="0" w:color="auto"/>
      </w:divBdr>
      <w:divsChild>
        <w:div w:id="1091968976">
          <w:marLeft w:val="0"/>
          <w:marRight w:val="0"/>
          <w:marTop w:val="0"/>
          <w:marBottom w:val="0"/>
          <w:divBdr>
            <w:top w:val="none" w:sz="0" w:space="0" w:color="auto"/>
            <w:left w:val="none" w:sz="0" w:space="0" w:color="auto"/>
            <w:bottom w:val="none" w:sz="0" w:space="0" w:color="auto"/>
            <w:right w:val="none" w:sz="0" w:space="0" w:color="auto"/>
          </w:divBdr>
        </w:div>
        <w:div w:id="1159691604">
          <w:marLeft w:val="0"/>
          <w:marRight w:val="0"/>
          <w:marTop w:val="0"/>
          <w:marBottom w:val="0"/>
          <w:divBdr>
            <w:top w:val="none" w:sz="0" w:space="0" w:color="auto"/>
            <w:left w:val="none" w:sz="0" w:space="0" w:color="auto"/>
            <w:bottom w:val="none" w:sz="0" w:space="0" w:color="auto"/>
            <w:right w:val="none" w:sz="0" w:space="0" w:color="auto"/>
          </w:divBdr>
        </w:div>
        <w:div w:id="1428846151">
          <w:marLeft w:val="0"/>
          <w:marRight w:val="0"/>
          <w:marTop w:val="0"/>
          <w:marBottom w:val="0"/>
          <w:divBdr>
            <w:top w:val="none" w:sz="0" w:space="0" w:color="auto"/>
            <w:left w:val="none" w:sz="0" w:space="0" w:color="auto"/>
            <w:bottom w:val="none" w:sz="0" w:space="0" w:color="auto"/>
            <w:right w:val="none" w:sz="0" w:space="0" w:color="auto"/>
          </w:divBdr>
        </w:div>
        <w:div w:id="1012876102">
          <w:marLeft w:val="0"/>
          <w:marRight w:val="0"/>
          <w:marTop w:val="0"/>
          <w:marBottom w:val="0"/>
          <w:divBdr>
            <w:top w:val="none" w:sz="0" w:space="0" w:color="auto"/>
            <w:left w:val="none" w:sz="0" w:space="0" w:color="auto"/>
            <w:bottom w:val="none" w:sz="0" w:space="0" w:color="auto"/>
            <w:right w:val="none" w:sz="0" w:space="0" w:color="auto"/>
          </w:divBdr>
        </w:div>
        <w:div w:id="1338725960">
          <w:marLeft w:val="0"/>
          <w:marRight w:val="0"/>
          <w:marTop w:val="0"/>
          <w:marBottom w:val="0"/>
          <w:divBdr>
            <w:top w:val="none" w:sz="0" w:space="0" w:color="auto"/>
            <w:left w:val="none" w:sz="0" w:space="0" w:color="auto"/>
            <w:bottom w:val="none" w:sz="0" w:space="0" w:color="auto"/>
            <w:right w:val="none" w:sz="0" w:space="0" w:color="auto"/>
          </w:divBdr>
        </w:div>
        <w:div w:id="382675766">
          <w:marLeft w:val="0"/>
          <w:marRight w:val="0"/>
          <w:marTop w:val="0"/>
          <w:marBottom w:val="0"/>
          <w:divBdr>
            <w:top w:val="none" w:sz="0" w:space="0" w:color="auto"/>
            <w:left w:val="none" w:sz="0" w:space="0" w:color="auto"/>
            <w:bottom w:val="none" w:sz="0" w:space="0" w:color="auto"/>
            <w:right w:val="none" w:sz="0" w:space="0" w:color="auto"/>
          </w:divBdr>
        </w:div>
      </w:divsChild>
    </w:div>
    <w:div w:id="1166359189">
      <w:bodyDiv w:val="1"/>
      <w:marLeft w:val="0"/>
      <w:marRight w:val="0"/>
      <w:marTop w:val="0"/>
      <w:marBottom w:val="0"/>
      <w:divBdr>
        <w:top w:val="none" w:sz="0" w:space="0" w:color="auto"/>
        <w:left w:val="none" w:sz="0" w:space="0" w:color="auto"/>
        <w:bottom w:val="none" w:sz="0" w:space="0" w:color="auto"/>
        <w:right w:val="none" w:sz="0" w:space="0" w:color="auto"/>
      </w:divBdr>
    </w:div>
    <w:div w:id="1306931447">
      <w:bodyDiv w:val="1"/>
      <w:marLeft w:val="0"/>
      <w:marRight w:val="0"/>
      <w:marTop w:val="0"/>
      <w:marBottom w:val="0"/>
      <w:divBdr>
        <w:top w:val="none" w:sz="0" w:space="0" w:color="auto"/>
        <w:left w:val="none" w:sz="0" w:space="0" w:color="auto"/>
        <w:bottom w:val="none" w:sz="0" w:space="0" w:color="auto"/>
        <w:right w:val="none" w:sz="0" w:space="0" w:color="auto"/>
      </w:divBdr>
      <w:divsChild>
        <w:div w:id="1110969728">
          <w:marLeft w:val="0"/>
          <w:marRight w:val="0"/>
          <w:marTop w:val="0"/>
          <w:marBottom w:val="0"/>
          <w:divBdr>
            <w:top w:val="none" w:sz="0" w:space="0" w:color="auto"/>
            <w:left w:val="none" w:sz="0" w:space="0" w:color="auto"/>
            <w:bottom w:val="none" w:sz="0" w:space="0" w:color="auto"/>
            <w:right w:val="none" w:sz="0" w:space="0" w:color="auto"/>
          </w:divBdr>
        </w:div>
        <w:div w:id="2072802327">
          <w:marLeft w:val="1108"/>
          <w:marRight w:val="0"/>
          <w:marTop w:val="240"/>
          <w:marBottom w:val="240"/>
          <w:divBdr>
            <w:top w:val="none" w:sz="0" w:space="0" w:color="auto"/>
            <w:left w:val="none" w:sz="0" w:space="0" w:color="auto"/>
            <w:bottom w:val="none" w:sz="0" w:space="0" w:color="auto"/>
            <w:right w:val="none" w:sz="0" w:space="0" w:color="auto"/>
          </w:divBdr>
        </w:div>
        <w:div w:id="1359625261">
          <w:marLeft w:val="0"/>
          <w:marRight w:val="0"/>
          <w:marTop w:val="0"/>
          <w:marBottom w:val="0"/>
          <w:divBdr>
            <w:top w:val="none" w:sz="0" w:space="0" w:color="auto"/>
            <w:left w:val="none" w:sz="0" w:space="0" w:color="auto"/>
            <w:bottom w:val="none" w:sz="0" w:space="0" w:color="auto"/>
            <w:right w:val="none" w:sz="0" w:space="0" w:color="auto"/>
          </w:divBdr>
        </w:div>
        <w:div w:id="879319152">
          <w:marLeft w:val="1108"/>
          <w:marRight w:val="0"/>
          <w:marTop w:val="240"/>
          <w:marBottom w:val="240"/>
          <w:divBdr>
            <w:top w:val="none" w:sz="0" w:space="0" w:color="auto"/>
            <w:left w:val="none" w:sz="0" w:space="0" w:color="auto"/>
            <w:bottom w:val="none" w:sz="0" w:space="0" w:color="auto"/>
            <w:right w:val="none" w:sz="0" w:space="0" w:color="auto"/>
          </w:divBdr>
        </w:div>
      </w:divsChild>
    </w:div>
    <w:div w:id="1329795401">
      <w:bodyDiv w:val="1"/>
      <w:marLeft w:val="0"/>
      <w:marRight w:val="0"/>
      <w:marTop w:val="0"/>
      <w:marBottom w:val="0"/>
      <w:divBdr>
        <w:top w:val="none" w:sz="0" w:space="0" w:color="auto"/>
        <w:left w:val="none" w:sz="0" w:space="0" w:color="auto"/>
        <w:bottom w:val="none" w:sz="0" w:space="0" w:color="auto"/>
        <w:right w:val="none" w:sz="0" w:space="0" w:color="auto"/>
      </w:divBdr>
    </w:div>
    <w:div w:id="1337149857">
      <w:bodyDiv w:val="1"/>
      <w:marLeft w:val="0"/>
      <w:marRight w:val="0"/>
      <w:marTop w:val="0"/>
      <w:marBottom w:val="0"/>
      <w:divBdr>
        <w:top w:val="none" w:sz="0" w:space="0" w:color="auto"/>
        <w:left w:val="none" w:sz="0" w:space="0" w:color="auto"/>
        <w:bottom w:val="none" w:sz="0" w:space="0" w:color="auto"/>
        <w:right w:val="none" w:sz="0" w:space="0" w:color="auto"/>
      </w:divBdr>
    </w:div>
    <w:div w:id="1447240446">
      <w:bodyDiv w:val="1"/>
      <w:marLeft w:val="0"/>
      <w:marRight w:val="0"/>
      <w:marTop w:val="0"/>
      <w:marBottom w:val="0"/>
      <w:divBdr>
        <w:top w:val="none" w:sz="0" w:space="0" w:color="auto"/>
        <w:left w:val="none" w:sz="0" w:space="0" w:color="auto"/>
        <w:bottom w:val="none" w:sz="0" w:space="0" w:color="auto"/>
        <w:right w:val="none" w:sz="0" w:space="0" w:color="auto"/>
      </w:divBdr>
    </w:div>
    <w:div w:id="1465194835">
      <w:bodyDiv w:val="1"/>
      <w:marLeft w:val="0"/>
      <w:marRight w:val="0"/>
      <w:marTop w:val="0"/>
      <w:marBottom w:val="0"/>
      <w:divBdr>
        <w:top w:val="none" w:sz="0" w:space="0" w:color="auto"/>
        <w:left w:val="none" w:sz="0" w:space="0" w:color="auto"/>
        <w:bottom w:val="none" w:sz="0" w:space="0" w:color="auto"/>
        <w:right w:val="none" w:sz="0" w:space="0" w:color="auto"/>
      </w:divBdr>
    </w:div>
    <w:div w:id="1478570442">
      <w:bodyDiv w:val="1"/>
      <w:marLeft w:val="0"/>
      <w:marRight w:val="0"/>
      <w:marTop w:val="0"/>
      <w:marBottom w:val="0"/>
      <w:divBdr>
        <w:top w:val="none" w:sz="0" w:space="0" w:color="auto"/>
        <w:left w:val="none" w:sz="0" w:space="0" w:color="auto"/>
        <w:bottom w:val="none" w:sz="0" w:space="0" w:color="auto"/>
        <w:right w:val="none" w:sz="0" w:space="0" w:color="auto"/>
      </w:divBdr>
      <w:divsChild>
        <w:div w:id="1808164350">
          <w:marLeft w:val="0"/>
          <w:marRight w:val="0"/>
          <w:marTop w:val="0"/>
          <w:marBottom w:val="0"/>
          <w:divBdr>
            <w:top w:val="none" w:sz="0" w:space="0" w:color="auto"/>
            <w:left w:val="none" w:sz="0" w:space="0" w:color="auto"/>
            <w:bottom w:val="none" w:sz="0" w:space="0" w:color="auto"/>
            <w:right w:val="none" w:sz="0" w:space="0" w:color="auto"/>
          </w:divBdr>
        </w:div>
      </w:divsChild>
    </w:div>
    <w:div w:id="1543832324">
      <w:bodyDiv w:val="1"/>
      <w:marLeft w:val="0"/>
      <w:marRight w:val="0"/>
      <w:marTop w:val="0"/>
      <w:marBottom w:val="0"/>
      <w:divBdr>
        <w:top w:val="none" w:sz="0" w:space="0" w:color="auto"/>
        <w:left w:val="none" w:sz="0" w:space="0" w:color="auto"/>
        <w:bottom w:val="none" w:sz="0" w:space="0" w:color="auto"/>
        <w:right w:val="none" w:sz="0" w:space="0" w:color="auto"/>
      </w:divBdr>
      <w:divsChild>
        <w:div w:id="1145122128">
          <w:marLeft w:val="0"/>
          <w:marRight w:val="0"/>
          <w:marTop w:val="0"/>
          <w:marBottom w:val="0"/>
          <w:divBdr>
            <w:top w:val="none" w:sz="0" w:space="0" w:color="auto"/>
            <w:left w:val="none" w:sz="0" w:space="0" w:color="auto"/>
            <w:bottom w:val="none" w:sz="0" w:space="0" w:color="auto"/>
            <w:right w:val="none" w:sz="0" w:space="0" w:color="auto"/>
          </w:divBdr>
        </w:div>
      </w:divsChild>
    </w:div>
    <w:div w:id="1606377393">
      <w:bodyDiv w:val="1"/>
      <w:marLeft w:val="0"/>
      <w:marRight w:val="0"/>
      <w:marTop w:val="0"/>
      <w:marBottom w:val="0"/>
      <w:divBdr>
        <w:top w:val="none" w:sz="0" w:space="0" w:color="auto"/>
        <w:left w:val="none" w:sz="0" w:space="0" w:color="auto"/>
        <w:bottom w:val="none" w:sz="0" w:space="0" w:color="auto"/>
        <w:right w:val="none" w:sz="0" w:space="0" w:color="auto"/>
      </w:divBdr>
      <w:divsChild>
        <w:div w:id="1541085228">
          <w:marLeft w:val="0"/>
          <w:marRight w:val="0"/>
          <w:marTop w:val="0"/>
          <w:marBottom w:val="0"/>
          <w:divBdr>
            <w:top w:val="none" w:sz="0" w:space="0" w:color="auto"/>
            <w:left w:val="none" w:sz="0" w:space="0" w:color="auto"/>
            <w:bottom w:val="none" w:sz="0" w:space="0" w:color="auto"/>
            <w:right w:val="none" w:sz="0" w:space="0" w:color="auto"/>
          </w:divBdr>
        </w:div>
      </w:divsChild>
    </w:div>
    <w:div w:id="1611355931">
      <w:bodyDiv w:val="1"/>
      <w:marLeft w:val="0"/>
      <w:marRight w:val="0"/>
      <w:marTop w:val="0"/>
      <w:marBottom w:val="0"/>
      <w:divBdr>
        <w:top w:val="none" w:sz="0" w:space="0" w:color="auto"/>
        <w:left w:val="none" w:sz="0" w:space="0" w:color="auto"/>
        <w:bottom w:val="none" w:sz="0" w:space="0" w:color="auto"/>
        <w:right w:val="none" w:sz="0" w:space="0" w:color="auto"/>
      </w:divBdr>
      <w:divsChild>
        <w:div w:id="2081244034">
          <w:marLeft w:val="0"/>
          <w:marRight w:val="0"/>
          <w:marTop w:val="0"/>
          <w:marBottom w:val="0"/>
          <w:divBdr>
            <w:top w:val="none" w:sz="0" w:space="0" w:color="auto"/>
            <w:left w:val="none" w:sz="0" w:space="0" w:color="auto"/>
            <w:bottom w:val="none" w:sz="0" w:space="0" w:color="auto"/>
            <w:right w:val="none" w:sz="0" w:space="0" w:color="auto"/>
          </w:divBdr>
        </w:div>
        <w:div w:id="1792481982">
          <w:marLeft w:val="0"/>
          <w:marRight w:val="0"/>
          <w:marTop w:val="0"/>
          <w:marBottom w:val="0"/>
          <w:divBdr>
            <w:top w:val="none" w:sz="0" w:space="0" w:color="auto"/>
            <w:left w:val="none" w:sz="0" w:space="0" w:color="auto"/>
            <w:bottom w:val="none" w:sz="0" w:space="0" w:color="auto"/>
            <w:right w:val="none" w:sz="0" w:space="0" w:color="auto"/>
          </w:divBdr>
        </w:div>
        <w:div w:id="103966697">
          <w:marLeft w:val="0"/>
          <w:marRight w:val="0"/>
          <w:marTop w:val="0"/>
          <w:marBottom w:val="0"/>
          <w:divBdr>
            <w:top w:val="none" w:sz="0" w:space="0" w:color="auto"/>
            <w:left w:val="none" w:sz="0" w:space="0" w:color="auto"/>
            <w:bottom w:val="none" w:sz="0" w:space="0" w:color="auto"/>
            <w:right w:val="none" w:sz="0" w:space="0" w:color="auto"/>
          </w:divBdr>
        </w:div>
        <w:div w:id="152528862">
          <w:marLeft w:val="0"/>
          <w:marRight w:val="0"/>
          <w:marTop w:val="0"/>
          <w:marBottom w:val="0"/>
          <w:divBdr>
            <w:top w:val="none" w:sz="0" w:space="0" w:color="auto"/>
            <w:left w:val="none" w:sz="0" w:space="0" w:color="auto"/>
            <w:bottom w:val="none" w:sz="0" w:space="0" w:color="auto"/>
            <w:right w:val="none" w:sz="0" w:space="0" w:color="auto"/>
          </w:divBdr>
        </w:div>
      </w:divsChild>
    </w:div>
    <w:div w:id="1636712839">
      <w:bodyDiv w:val="1"/>
      <w:marLeft w:val="0"/>
      <w:marRight w:val="0"/>
      <w:marTop w:val="0"/>
      <w:marBottom w:val="0"/>
      <w:divBdr>
        <w:top w:val="none" w:sz="0" w:space="0" w:color="auto"/>
        <w:left w:val="none" w:sz="0" w:space="0" w:color="auto"/>
        <w:bottom w:val="none" w:sz="0" w:space="0" w:color="auto"/>
        <w:right w:val="none" w:sz="0" w:space="0" w:color="auto"/>
      </w:divBdr>
    </w:div>
    <w:div w:id="1649674061">
      <w:bodyDiv w:val="1"/>
      <w:marLeft w:val="0"/>
      <w:marRight w:val="0"/>
      <w:marTop w:val="0"/>
      <w:marBottom w:val="0"/>
      <w:divBdr>
        <w:top w:val="none" w:sz="0" w:space="0" w:color="auto"/>
        <w:left w:val="none" w:sz="0" w:space="0" w:color="auto"/>
        <w:bottom w:val="none" w:sz="0" w:space="0" w:color="auto"/>
        <w:right w:val="none" w:sz="0" w:space="0" w:color="auto"/>
      </w:divBdr>
    </w:div>
    <w:div w:id="1668703835">
      <w:bodyDiv w:val="1"/>
      <w:marLeft w:val="0"/>
      <w:marRight w:val="0"/>
      <w:marTop w:val="0"/>
      <w:marBottom w:val="0"/>
      <w:divBdr>
        <w:top w:val="none" w:sz="0" w:space="0" w:color="auto"/>
        <w:left w:val="none" w:sz="0" w:space="0" w:color="auto"/>
        <w:bottom w:val="none" w:sz="0" w:space="0" w:color="auto"/>
        <w:right w:val="none" w:sz="0" w:space="0" w:color="auto"/>
      </w:divBdr>
    </w:div>
    <w:div w:id="1691183106">
      <w:bodyDiv w:val="1"/>
      <w:marLeft w:val="0"/>
      <w:marRight w:val="0"/>
      <w:marTop w:val="0"/>
      <w:marBottom w:val="0"/>
      <w:divBdr>
        <w:top w:val="none" w:sz="0" w:space="0" w:color="auto"/>
        <w:left w:val="none" w:sz="0" w:space="0" w:color="auto"/>
        <w:bottom w:val="none" w:sz="0" w:space="0" w:color="auto"/>
        <w:right w:val="none" w:sz="0" w:space="0" w:color="auto"/>
      </w:divBdr>
    </w:div>
    <w:div w:id="1737893230">
      <w:bodyDiv w:val="1"/>
      <w:marLeft w:val="0"/>
      <w:marRight w:val="0"/>
      <w:marTop w:val="0"/>
      <w:marBottom w:val="0"/>
      <w:divBdr>
        <w:top w:val="none" w:sz="0" w:space="0" w:color="auto"/>
        <w:left w:val="none" w:sz="0" w:space="0" w:color="auto"/>
        <w:bottom w:val="none" w:sz="0" w:space="0" w:color="auto"/>
        <w:right w:val="none" w:sz="0" w:space="0" w:color="auto"/>
      </w:divBdr>
      <w:divsChild>
        <w:div w:id="980891708">
          <w:marLeft w:val="0"/>
          <w:marRight w:val="0"/>
          <w:marTop w:val="0"/>
          <w:marBottom w:val="0"/>
          <w:divBdr>
            <w:top w:val="none" w:sz="0" w:space="0" w:color="auto"/>
            <w:left w:val="none" w:sz="0" w:space="0" w:color="auto"/>
            <w:bottom w:val="none" w:sz="0" w:space="0" w:color="auto"/>
            <w:right w:val="none" w:sz="0" w:space="0" w:color="auto"/>
          </w:divBdr>
        </w:div>
        <w:div w:id="1849825234">
          <w:marLeft w:val="1118"/>
          <w:marRight w:val="0"/>
          <w:marTop w:val="240"/>
          <w:marBottom w:val="240"/>
          <w:divBdr>
            <w:top w:val="none" w:sz="0" w:space="0" w:color="auto"/>
            <w:left w:val="none" w:sz="0" w:space="0" w:color="auto"/>
            <w:bottom w:val="none" w:sz="0" w:space="0" w:color="auto"/>
            <w:right w:val="none" w:sz="0" w:space="0" w:color="auto"/>
          </w:divBdr>
        </w:div>
        <w:div w:id="1936357161">
          <w:marLeft w:val="0"/>
          <w:marRight w:val="0"/>
          <w:marTop w:val="0"/>
          <w:marBottom w:val="0"/>
          <w:divBdr>
            <w:top w:val="none" w:sz="0" w:space="0" w:color="auto"/>
            <w:left w:val="none" w:sz="0" w:space="0" w:color="auto"/>
            <w:bottom w:val="none" w:sz="0" w:space="0" w:color="auto"/>
            <w:right w:val="none" w:sz="0" w:space="0" w:color="auto"/>
          </w:divBdr>
        </w:div>
        <w:div w:id="409622247">
          <w:marLeft w:val="1118"/>
          <w:marRight w:val="0"/>
          <w:marTop w:val="240"/>
          <w:marBottom w:val="240"/>
          <w:divBdr>
            <w:top w:val="none" w:sz="0" w:space="0" w:color="auto"/>
            <w:left w:val="none" w:sz="0" w:space="0" w:color="auto"/>
            <w:bottom w:val="none" w:sz="0" w:space="0" w:color="auto"/>
            <w:right w:val="none" w:sz="0" w:space="0" w:color="auto"/>
          </w:divBdr>
        </w:div>
        <w:div w:id="2127386974">
          <w:marLeft w:val="0"/>
          <w:marRight w:val="0"/>
          <w:marTop w:val="0"/>
          <w:marBottom w:val="0"/>
          <w:divBdr>
            <w:top w:val="none" w:sz="0" w:space="0" w:color="auto"/>
            <w:left w:val="none" w:sz="0" w:space="0" w:color="auto"/>
            <w:bottom w:val="none" w:sz="0" w:space="0" w:color="auto"/>
            <w:right w:val="none" w:sz="0" w:space="0" w:color="auto"/>
          </w:divBdr>
        </w:div>
        <w:div w:id="261573777">
          <w:marLeft w:val="1118"/>
          <w:marRight w:val="0"/>
          <w:marTop w:val="240"/>
          <w:marBottom w:val="240"/>
          <w:divBdr>
            <w:top w:val="none" w:sz="0" w:space="0" w:color="auto"/>
            <w:left w:val="none" w:sz="0" w:space="0" w:color="auto"/>
            <w:bottom w:val="none" w:sz="0" w:space="0" w:color="auto"/>
            <w:right w:val="none" w:sz="0" w:space="0" w:color="auto"/>
          </w:divBdr>
        </w:div>
      </w:divsChild>
    </w:div>
    <w:div w:id="1832017544">
      <w:bodyDiv w:val="1"/>
      <w:marLeft w:val="0"/>
      <w:marRight w:val="0"/>
      <w:marTop w:val="0"/>
      <w:marBottom w:val="0"/>
      <w:divBdr>
        <w:top w:val="none" w:sz="0" w:space="0" w:color="auto"/>
        <w:left w:val="none" w:sz="0" w:space="0" w:color="auto"/>
        <w:bottom w:val="none" w:sz="0" w:space="0" w:color="auto"/>
        <w:right w:val="none" w:sz="0" w:space="0" w:color="auto"/>
      </w:divBdr>
      <w:divsChild>
        <w:div w:id="1480415742">
          <w:marLeft w:val="0"/>
          <w:marRight w:val="0"/>
          <w:marTop w:val="0"/>
          <w:marBottom w:val="0"/>
          <w:divBdr>
            <w:top w:val="none" w:sz="0" w:space="0" w:color="auto"/>
            <w:left w:val="none" w:sz="0" w:space="0" w:color="auto"/>
            <w:bottom w:val="none" w:sz="0" w:space="0" w:color="auto"/>
            <w:right w:val="none" w:sz="0" w:space="0" w:color="auto"/>
          </w:divBdr>
        </w:div>
        <w:div w:id="439616882">
          <w:marLeft w:val="0"/>
          <w:marRight w:val="0"/>
          <w:marTop w:val="0"/>
          <w:marBottom w:val="0"/>
          <w:divBdr>
            <w:top w:val="none" w:sz="0" w:space="0" w:color="auto"/>
            <w:left w:val="none" w:sz="0" w:space="0" w:color="auto"/>
            <w:bottom w:val="none" w:sz="0" w:space="0" w:color="auto"/>
            <w:right w:val="none" w:sz="0" w:space="0" w:color="auto"/>
          </w:divBdr>
        </w:div>
      </w:divsChild>
    </w:div>
    <w:div w:id="20654412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687">
          <w:marLeft w:val="0"/>
          <w:marRight w:val="0"/>
          <w:marTop w:val="0"/>
          <w:marBottom w:val="0"/>
          <w:divBdr>
            <w:top w:val="none" w:sz="0" w:space="0" w:color="auto"/>
            <w:left w:val="none" w:sz="0" w:space="0" w:color="auto"/>
            <w:bottom w:val="none" w:sz="0" w:space="0" w:color="auto"/>
            <w:right w:val="none" w:sz="0" w:space="0" w:color="auto"/>
          </w:divBdr>
        </w:div>
        <w:div w:id="1174106635">
          <w:marLeft w:val="0"/>
          <w:marRight w:val="0"/>
          <w:marTop w:val="0"/>
          <w:marBottom w:val="0"/>
          <w:divBdr>
            <w:top w:val="none" w:sz="0" w:space="0" w:color="auto"/>
            <w:left w:val="none" w:sz="0" w:space="0" w:color="auto"/>
            <w:bottom w:val="none" w:sz="0" w:space="0" w:color="auto"/>
            <w:right w:val="none" w:sz="0" w:space="0" w:color="auto"/>
          </w:divBdr>
        </w:div>
        <w:div w:id="1167284160">
          <w:marLeft w:val="0"/>
          <w:marRight w:val="0"/>
          <w:marTop w:val="0"/>
          <w:marBottom w:val="0"/>
          <w:divBdr>
            <w:top w:val="none" w:sz="0" w:space="0" w:color="auto"/>
            <w:left w:val="none" w:sz="0" w:space="0" w:color="auto"/>
            <w:bottom w:val="none" w:sz="0" w:space="0" w:color="auto"/>
            <w:right w:val="none" w:sz="0" w:space="0" w:color="auto"/>
          </w:divBdr>
        </w:div>
        <w:div w:id="168448198">
          <w:marLeft w:val="0"/>
          <w:marRight w:val="0"/>
          <w:marTop w:val="0"/>
          <w:marBottom w:val="0"/>
          <w:divBdr>
            <w:top w:val="none" w:sz="0" w:space="0" w:color="auto"/>
            <w:left w:val="none" w:sz="0" w:space="0" w:color="auto"/>
            <w:bottom w:val="none" w:sz="0" w:space="0" w:color="auto"/>
            <w:right w:val="none" w:sz="0" w:space="0" w:color="auto"/>
          </w:divBdr>
        </w:div>
        <w:div w:id="1833176488">
          <w:marLeft w:val="0"/>
          <w:marRight w:val="0"/>
          <w:marTop w:val="0"/>
          <w:marBottom w:val="0"/>
          <w:divBdr>
            <w:top w:val="none" w:sz="0" w:space="0" w:color="auto"/>
            <w:left w:val="none" w:sz="0" w:space="0" w:color="auto"/>
            <w:bottom w:val="none" w:sz="0" w:space="0" w:color="auto"/>
            <w:right w:val="none" w:sz="0" w:space="0" w:color="auto"/>
          </w:divBdr>
        </w:div>
      </w:divsChild>
    </w:div>
    <w:div w:id="2071346037">
      <w:bodyDiv w:val="1"/>
      <w:marLeft w:val="0"/>
      <w:marRight w:val="0"/>
      <w:marTop w:val="0"/>
      <w:marBottom w:val="0"/>
      <w:divBdr>
        <w:top w:val="none" w:sz="0" w:space="0" w:color="auto"/>
        <w:left w:val="none" w:sz="0" w:space="0" w:color="auto"/>
        <w:bottom w:val="none" w:sz="0" w:space="0" w:color="auto"/>
        <w:right w:val="none" w:sz="0" w:space="0" w:color="auto"/>
      </w:divBdr>
      <w:divsChild>
        <w:div w:id="727991855">
          <w:marLeft w:val="0"/>
          <w:marRight w:val="0"/>
          <w:marTop w:val="0"/>
          <w:marBottom w:val="0"/>
          <w:divBdr>
            <w:top w:val="none" w:sz="0" w:space="0" w:color="auto"/>
            <w:left w:val="none" w:sz="0" w:space="0" w:color="auto"/>
            <w:bottom w:val="none" w:sz="0" w:space="0" w:color="auto"/>
            <w:right w:val="none" w:sz="0" w:space="0" w:color="auto"/>
          </w:divBdr>
        </w:div>
        <w:div w:id="312106149">
          <w:marLeft w:val="1108"/>
          <w:marRight w:val="0"/>
          <w:marTop w:val="240"/>
          <w:marBottom w:val="240"/>
          <w:divBdr>
            <w:top w:val="none" w:sz="0" w:space="0" w:color="auto"/>
            <w:left w:val="none" w:sz="0" w:space="0" w:color="auto"/>
            <w:bottom w:val="none" w:sz="0" w:space="0" w:color="auto"/>
            <w:right w:val="none" w:sz="0" w:space="0" w:color="auto"/>
          </w:divBdr>
        </w:div>
        <w:div w:id="1024207998">
          <w:marLeft w:val="0"/>
          <w:marRight w:val="0"/>
          <w:marTop w:val="0"/>
          <w:marBottom w:val="0"/>
          <w:divBdr>
            <w:top w:val="none" w:sz="0" w:space="0" w:color="auto"/>
            <w:left w:val="none" w:sz="0" w:space="0" w:color="auto"/>
            <w:bottom w:val="none" w:sz="0" w:space="0" w:color="auto"/>
            <w:right w:val="none" w:sz="0" w:space="0" w:color="auto"/>
          </w:divBdr>
        </w:div>
        <w:div w:id="2094427549">
          <w:marLeft w:val="1108"/>
          <w:marRight w:val="0"/>
          <w:marTop w:val="240"/>
          <w:marBottom w:val="240"/>
          <w:divBdr>
            <w:top w:val="none" w:sz="0" w:space="0" w:color="auto"/>
            <w:left w:val="none" w:sz="0" w:space="0" w:color="auto"/>
            <w:bottom w:val="none" w:sz="0" w:space="0" w:color="auto"/>
            <w:right w:val="none" w:sz="0" w:space="0" w:color="auto"/>
          </w:divBdr>
        </w:div>
      </w:divsChild>
    </w:div>
    <w:div w:id="2089377487">
      <w:bodyDiv w:val="1"/>
      <w:marLeft w:val="0"/>
      <w:marRight w:val="0"/>
      <w:marTop w:val="0"/>
      <w:marBottom w:val="0"/>
      <w:divBdr>
        <w:top w:val="none" w:sz="0" w:space="0" w:color="auto"/>
        <w:left w:val="none" w:sz="0" w:space="0" w:color="auto"/>
        <w:bottom w:val="none" w:sz="0" w:space="0" w:color="auto"/>
        <w:right w:val="none" w:sz="0" w:space="0" w:color="auto"/>
      </w:divBdr>
      <w:divsChild>
        <w:div w:id="1993367350">
          <w:marLeft w:val="0"/>
          <w:marRight w:val="0"/>
          <w:marTop w:val="0"/>
          <w:marBottom w:val="0"/>
          <w:divBdr>
            <w:top w:val="none" w:sz="0" w:space="0" w:color="auto"/>
            <w:left w:val="none" w:sz="0" w:space="0" w:color="auto"/>
            <w:bottom w:val="none" w:sz="0" w:space="0" w:color="auto"/>
            <w:right w:val="none" w:sz="0" w:space="0" w:color="auto"/>
          </w:divBdr>
        </w:div>
        <w:div w:id="1036733262">
          <w:marLeft w:val="1108"/>
          <w:marRight w:val="0"/>
          <w:marTop w:val="240"/>
          <w:marBottom w:val="240"/>
          <w:divBdr>
            <w:top w:val="none" w:sz="0" w:space="0" w:color="auto"/>
            <w:left w:val="none" w:sz="0" w:space="0" w:color="auto"/>
            <w:bottom w:val="none" w:sz="0" w:space="0" w:color="auto"/>
            <w:right w:val="none" w:sz="0" w:space="0" w:color="auto"/>
          </w:divBdr>
        </w:div>
        <w:div w:id="491525527">
          <w:marLeft w:val="0"/>
          <w:marRight w:val="0"/>
          <w:marTop w:val="0"/>
          <w:marBottom w:val="0"/>
          <w:divBdr>
            <w:top w:val="none" w:sz="0" w:space="0" w:color="auto"/>
            <w:left w:val="none" w:sz="0" w:space="0" w:color="auto"/>
            <w:bottom w:val="none" w:sz="0" w:space="0" w:color="auto"/>
            <w:right w:val="none" w:sz="0" w:space="0" w:color="auto"/>
          </w:divBdr>
        </w:div>
        <w:div w:id="1535968705">
          <w:marLeft w:val="1108"/>
          <w:marRight w:val="0"/>
          <w:marTop w:val="240"/>
          <w:marBottom w:val="240"/>
          <w:divBdr>
            <w:top w:val="none" w:sz="0" w:space="0" w:color="auto"/>
            <w:left w:val="none" w:sz="0" w:space="0" w:color="auto"/>
            <w:bottom w:val="none" w:sz="0" w:space="0" w:color="auto"/>
            <w:right w:val="none" w:sz="0" w:space="0" w:color="auto"/>
          </w:divBdr>
        </w:div>
        <w:div w:id="1553074720">
          <w:marLeft w:val="0"/>
          <w:marRight w:val="0"/>
          <w:marTop w:val="0"/>
          <w:marBottom w:val="0"/>
          <w:divBdr>
            <w:top w:val="none" w:sz="0" w:space="0" w:color="auto"/>
            <w:left w:val="none" w:sz="0" w:space="0" w:color="auto"/>
            <w:bottom w:val="none" w:sz="0" w:space="0" w:color="auto"/>
            <w:right w:val="none" w:sz="0" w:space="0" w:color="auto"/>
          </w:divBdr>
        </w:div>
        <w:div w:id="156073145">
          <w:marLeft w:val="1108"/>
          <w:marRight w:val="0"/>
          <w:marTop w:val="240"/>
          <w:marBottom w:val="240"/>
          <w:divBdr>
            <w:top w:val="none" w:sz="0" w:space="0" w:color="auto"/>
            <w:left w:val="none" w:sz="0" w:space="0" w:color="auto"/>
            <w:bottom w:val="none" w:sz="0" w:space="0" w:color="auto"/>
            <w:right w:val="none" w:sz="0" w:space="0" w:color="auto"/>
          </w:divBdr>
        </w:div>
      </w:divsChild>
    </w:div>
    <w:div w:id="2136367569">
      <w:bodyDiv w:val="1"/>
      <w:marLeft w:val="0"/>
      <w:marRight w:val="0"/>
      <w:marTop w:val="0"/>
      <w:marBottom w:val="0"/>
      <w:divBdr>
        <w:top w:val="none" w:sz="0" w:space="0" w:color="auto"/>
        <w:left w:val="none" w:sz="0" w:space="0" w:color="auto"/>
        <w:bottom w:val="none" w:sz="0" w:space="0" w:color="auto"/>
        <w:right w:val="none" w:sz="0" w:space="0" w:color="auto"/>
      </w:divBdr>
      <w:divsChild>
        <w:div w:id="1431395926">
          <w:marLeft w:val="0"/>
          <w:marRight w:val="0"/>
          <w:marTop w:val="0"/>
          <w:marBottom w:val="0"/>
          <w:divBdr>
            <w:top w:val="none" w:sz="0" w:space="0" w:color="auto"/>
            <w:left w:val="none" w:sz="0" w:space="0" w:color="auto"/>
            <w:bottom w:val="none" w:sz="0" w:space="0" w:color="auto"/>
            <w:right w:val="none" w:sz="0" w:space="0" w:color="auto"/>
          </w:divBdr>
        </w:div>
        <w:div w:id="839585196">
          <w:marLeft w:val="1108"/>
          <w:marRight w:val="0"/>
          <w:marTop w:val="240"/>
          <w:marBottom w:val="240"/>
          <w:divBdr>
            <w:top w:val="none" w:sz="0" w:space="0" w:color="auto"/>
            <w:left w:val="none" w:sz="0" w:space="0" w:color="auto"/>
            <w:bottom w:val="none" w:sz="0" w:space="0" w:color="auto"/>
            <w:right w:val="none" w:sz="0" w:space="0" w:color="auto"/>
          </w:divBdr>
        </w:div>
        <w:div w:id="2143116368">
          <w:marLeft w:val="0"/>
          <w:marRight w:val="0"/>
          <w:marTop w:val="0"/>
          <w:marBottom w:val="0"/>
          <w:divBdr>
            <w:top w:val="none" w:sz="0" w:space="0" w:color="auto"/>
            <w:left w:val="none" w:sz="0" w:space="0" w:color="auto"/>
            <w:bottom w:val="none" w:sz="0" w:space="0" w:color="auto"/>
            <w:right w:val="none" w:sz="0" w:space="0" w:color="auto"/>
          </w:divBdr>
        </w:div>
        <w:div w:id="94330076">
          <w:marLeft w:val="1108"/>
          <w:marRight w:val="0"/>
          <w:marTop w:val="240"/>
          <w:marBottom w:val="240"/>
          <w:divBdr>
            <w:top w:val="none" w:sz="0" w:space="0" w:color="auto"/>
            <w:left w:val="none" w:sz="0" w:space="0" w:color="auto"/>
            <w:bottom w:val="none" w:sz="0" w:space="0" w:color="auto"/>
            <w:right w:val="none" w:sz="0" w:space="0" w:color="auto"/>
          </w:divBdr>
        </w:div>
        <w:div w:id="28995360">
          <w:marLeft w:val="0"/>
          <w:marRight w:val="0"/>
          <w:marTop w:val="0"/>
          <w:marBottom w:val="0"/>
          <w:divBdr>
            <w:top w:val="none" w:sz="0" w:space="0" w:color="auto"/>
            <w:left w:val="none" w:sz="0" w:space="0" w:color="auto"/>
            <w:bottom w:val="none" w:sz="0" w:space="0" w:color="auto"/>
            <w:right w:val="none" w:sz="0" w:space="0" w:color="auto"/>
          </w:divBdr>
        </w:div>
        <w:div w:id="1275670746">
          <w:marLeft w:val="1108"/>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218" /><Relationship Type="http://schemas.openxmlformats.org/officeDocument/2006/relationships/theme" Target="/word/theme/theme11.xml" Id="rId219" /><Relationship Type="http://schemas.openxmlformats.org/officeDocument/2006/relationships/settings" Target="/word/settings.xml" Id="rId3" /><Relationship Type="http://schemas.openxmlformats.org/officeDocument/2006/relationships/webSettings" Target="/word/webSettings.xml" Id="rId4" /><Relationship Type="http://schemas.openxmlformats.org/officeDocument/2006/relationships/numbering" Target="/word/numbering.xml" Id="rId1" /><Relationship Type="http://schemas.openxmlformats.org/officeDocument/2006/relationships/styles" Target="/word/styles.xml" Id="rId2" /><Relationship Type="http://schemas.openxmlformats.org/officeDocument/2006/relationships/hyperlink" Target="https://eur-lex.europa.eu/legal-content/FR/AUTO/?uri=celex:52017XG0615%2803%29" TargetMode="External" Id="rId117" /><Relationship Type="http://schemas.openxmlformats.org/officeDocument/2006/relationships/hyperlink" Target="http://eur-lex.europa.eu/legal-content/FR/TXT/?uri=LEGISSUM:cu0002" TargetMode="External" Id="rId21" /><Relationship Type="http://schemas.openxmlformats.org/officeDocument/2006/relationships/hyperlink" Target="http://ec.europa.eu/culture/policy/strategic-framework_fr" TargetMode="External" Id="rId42" /><Relationship Type="http://schemas.openxmlformats.org/officeDocument/2006/relationships/hyperlink" Target="https://eur-lex.europa.eu/legal-content/FR/AUTO/?uri=celex:32016L0680" TargetMode="External" Id="rId63" /><Relationship Type="http://schemas.openxmlformats.org/officeDocument/2006/relationships/hyperlink" Target="https://eur-lex.europa.eu/legal-content/FR/AUTO/?uri=celex:42017Y0630%2801%29" TargetMode="External" Id="rId84" /><Relationship Type="http://schemas.openxmlformats.org/officeDocument/2006/relationships/hyperlink" Target="http://www.un.org/sustainabledevelopment/fr/sustainable-consumption-production/" TargetMode="External" Id="rId138" /><Relationship Type="http://schemas.openxmlformats.org/officeDocument/2006/relationships/hyperlink" Target="http://ec.europa.eu/regional_policy/sources/cooperate/international/pdf/iuc_leaflet_en.pdf" TargetMode="External" Id="rId159" /><Relationship Type="http://schemas.openxmlformats.org/officeDocument/2006/relationships/hyperlink" Target="http://www.pbsbdialogue.org/fr/" TargetMode="External" Id="rId170" /><Relationship Type="http://schemas.openxmlformats.org/officeDocument/2006/relationships/hyperlink" Target="http://eur-lex.europa.eu/summary/glossary/economic_monetary_union.html" TargetMode="External" Id="rId191" /><Relationship Type="http://schemas.openxmlformats.org/officeDocument/2006/relationships/hyperlink" Target="http://eur-lex.europa.eu/summary/glossary/opting_out.html" TargetMode="External" Id="rId205" /><Relationship Type="http://schemas.openxmlformats.org/officeDocument/2006/relationships/hyperlink" Target="http://spotlightinitiative.org/" TargetMode="External" Id="rId107" /><Relationship Type="http://schemas.openxmlformats.org/officeDocument/2006/relationships/hyperlink" Target="https://eur-lex.europa.eu/legal-content/FR/AUTO/?uri=celex:32019L0633" TargetMode="External" Id="rId11" /><Relationship Type="http://schemas.openxmlformats.org/officeDocument/2006/relationships/hyperlink" Target="https://ec.europa.eu/neighbourhood-enlargement/neighbourhood/countries/syria/madad_en" TargetMode="External" Id="rId32" /><Relationship Type="http://schemas.openxmlformats.org/officeDocument/2006/relationships/hyperlink" Target="http://eur-lex.europa.eu/legal-content/FR/ALL/?uri=LEGISSUM:l11037" TargetMode="External" Id="rId53" /><Relationship Type="http://schemas.openxmlformats.org/officeDocument/2006/relationships/hyperlink" Target="https://www.un.org/fr/" TargetMode="External" Id="rId74" /><Relationship Type="http://schemas.openxmlformats.org/officeDocument/2006/relationships/hyperlink" Target="http://ec.europa.eu/knowledge4policy/global-food-nutrition-security_en" TargetMode="External" Id="rId128" /><Relationship Type="http://schemas.openxmlformats.org/officeDocument/2006/relationships/hyperlink" Target="http://ec.europa.eu/europeaid/regions/africa/eu-africa-infrastructure-trust-fund-eu-aitf_en" TargetMode="External" Id="rId149" /><Relationship Type="http://schemas.openxmlformats.org/officeDocument/2006/relationships/hyperlink" Target="https://eur-lex.europa.eu/legal-content/FR/AUTO/?uri=celex:32019L0633" TargetMode="External" Id="rId5" /><Relationship Type="http://schemas.openxmlformats.org/officeDocument/2006/relationships/hyperlink" Target="http://ec.europa.eu/info/policies/international-cooperation-and-development_en" TargetMode="External" Id="rId95" /><Relationship Type="http://schemas.openxmlformats.org/officeDocument/2006/relationships/hyperlink" Target="http://www.un.org/sustainabledevelopment/fr/cities/" TargetMode="External" Id="rId160" /><Relationship Type="http://schemas.openxmlformats.org/officeDocument/2006/relationships/hyperlink" Target="http://eeas.europa.eu/delegations/guyana_en/51265/EU-UN%20renewed%20partnership%20in%20development" TargetMode="External" Id="rId181" /><Relationship Type="http://schemas.openxmlformats.org/officeDocument/2006/relationships/hyperlink" Target="https://eur-lex.europa.eu/legal-content/FR/AUTO/?uri=celex:52017DC0291" TargetMode="External" Id="rId216" /><Relationship Type="http://schemas.openxmlformats.org/officeDocument/2006/relationships/hyperlink" Target="http://eur-lex.europa.eu/legal-content/FR/TXT/?uri=LEGISSUM:11010202_3" TargetMode="External" Id="rId22" /><Relationship Type="http://schemas.openxmlformats.org/officeDocument/2006/relationships/hyperlink" Target="https://europa.eu/globalstrategy/fr" TargetMode="External" Id="rId43" /><Relationship Type="http://schemas.openxmlformats.org/officeDocument/2006/relationships/hyperlink" Target="https://eur-lex.europa.eu/legal-content/FR/AUTO/?uri=celex:02016L0680-20160504" TargetMode="External" Id="rId64" /><Relationship Type="http://schemas.openxmlformats.org/officeDocument/2006/relationships/hyperlink" Target="http://ec.europa.eu/international-partnerships/system/files/commission-implementing-decision-c2017-8725-annex-2_en.pdf" TargetMode="External" Id="rId118" /><Relationship Type="http://schemas.openxmlformats.org/officeDocument/2006/relationships/hyperlink" Target="http://www.un.org/sustainabledevelopment/fr/oceans/" TargetMode="External" Id="rId139" /><Relationship Type="http://schemas.openxmlformats.org/officeDocument/2006/relationships/hyperlink" Target="http://www.un.org/esa/ffd/wp-content/uploads/2015/08/AAAA_Outcome.pdf" TargetMode="External" Id="rId85" /><Relationship Type="http://schemas.openxmlformats.org/officeDocument/2006/relationships/hyperlink" Target="http://ec.europa.eu/europeaid/regions/africa-investment-facility_en" TargetMode="External" Id="rId150" /><Relationship Type="http://schemas.openxmlformats.org/officeDocument/2006/relationships/hyperlink" Target="http://eur-lex.europa.eu/summary/glossary/civil_society_organisation.html" TargetMode="External" Id="rId171" /><Relationship Type="http://schemas.openxmlformats.org/officeDocument/2006/relationships/hyperlink" Target="https://eur-lex.europa.eu/legal-content/FR/AUTO/?uri=celex:52017DC0291" TargetMode="External" Id="rId192" /><Relationship Type="http://schemas.openxmlformats.org/officeDocument/2006/relationships/hyperlink" Target="http://eur-lex.europa.eu/summary/glossary/european_parliament.html" TargetMode="External" Id="rId206" /><Relationship Type="http://schemas.openxmlformats.org/officeDocument/2006/relationships/hyperlink" Target="https://eur-lex.europa.eu/legal-content/FR/AUTO/?uri=celex:32016L0943" TargetMode="External" Id="rId12" /><Relationship Type="http://schemas.openxmlformats.org/officeDocument/2006/relationships/hyperlink" Target="https://ec.europa.eu/neighbourhood-enlargement/about/eu-delegations_en" TargetMode="External" Id="rId33" /><Relationship Type="http://schemas.openxmlformats.org/officeDocument/2006/relationships/hyperlink" Target="https://eur-lex.europa.eu/legal-content/FR/AUTO/?uri=celex:52015DC0240" TargetMode="External" Id="rId108" /><Relationship Type="http://schemas.openxmlformats.org/officeDocument/2006/relationships/hyperlink" Target="http://www.un.org/sustainabledevelopment/fr/hunger/" TargetMode="External" Id="rId129" /><Relationship Type="http://schemas.openxmlformats.org/officeDocument/2006/relationships/hyperlink" Target="http://eur-lex.europa.eu/summary/glossary/european_commission.html" TargetMode="External" Id="rId54" /><Relationship Type="http://schemas.openxmlformats.org/officeDocument/2006/relationships/hyperlink" Target="https://eur-lex.europa.eu/legal-content/FR/AUTO/?uri=celex:12016M021" TargetMode="External" Id="rId75" /><Relationship Type="http://schemas.openxmlformats.org/officeDocument/2006/relationships/hyperlink" Target="https://ec.europa.eu/international-partnerships/system/files/swd-2019-20-pcdreport_en.pdf" TargetMode="External" Id="rId96" /><Relationship Type="http://schemas.openxmlformats.org/officeDocument/2006/relationships/hyperlink" Target="http://www.un.org/sustainabledevelopment/fr/biodiversity/" TargetMode="External" Id="rId140" /><Relationship Type="http://schemas.openxmlformats.org/officeDocument/2006/relationships/hyperlink" Target="https://eur-lex.europa.eu/legal-content/FR/AUTO/?uri=celex:12016M002" TargetMode="External" Id="rId161" /><Relationship Type="http://schemas.openxmlformats.org/officeDocument/2006/relationships/hyperlink" Target="http://www.oecd.org/fr/developpement/" TargetMode="External" Id="rId182" /><Relationship Type="http://schemas.openxmlformats.org/officeDocument/2006/relationships/hyperlink" Target="https://eur-lex.europa.eu/legal-content/FR/TXT/HTML/?uri=LEGISSUM:1402_4&amp;from=EN" TargetMode="External" Id="rId217" /><Relationship Type="http://schemas.openxmlformats.org/officeDocument/2006/relationships/hyperlink" Target="http://eur-lex.europa.eu/legal-content/FR/TXT/?uri=LEGISSUM:mi0074" TargetMode="External" Id="rId6" /><Relationship Type="http://schemas.openxmlformats.org/officeDocument/2006/relationships/hyperlink" Target="http://www.asef.org/projects/programmes/2955-asef-creative-networks" TargetMode="External" Id="rId23" /><Relationship Type="http://schemas.openxmlformats.org/officeDocument/2006/relationships/hyperlink" Target="http://www.un.org/sustainabledevelopment/fr/education" TargetMode="External" Id="rId119" /><Relationship Type="http://schemas.openxmlformats.org/officeDocument/2006/relationships/hyperlink" Target="https://ec.europa.eu/culture/news/20160830-commission-proposal-cultural-heritage-2018_en" TargetMode="External" Id="rId44" /><Relationship Type="http://schemas.openxmlformats.org/officeDocument/2006/relationships/hyperlink" Target="https://eur-lex.europa.eu/legal-content/FR/AUTO/?uri=celex:31997R0515" TargetMode="External" Id="rId65" /><Relationship Type="http://schemas.openxmlformats.org/officeDocument/2006/relationships/hyperlink" Target="http://eur-lex.europa.eu/legal-content/FR/TXT/?uri=LEGISSUM:20010104_1" TargetMode="External" Id="rId86" /><Relationship Type="http://schemas.openxmlformats.org/officeDocument/2006/relationships/hyperlink" Target="http://ec.europa.eu/knowledge4policy/global-food-nutrition-security/global-report-food-crises_en" TargetMode="External" Id="rId130" /><Relationship Type="http://schemas.openxmlformats.org/officeDocument/2006/relationships/hyperlink" Target="http://ec.europa.eu/neighbourhood-enlargement/neighbourhood/neighbourhood-wide/neighbourhood-investment-platform_en" TargetMode="External" Id="rId151" /><Relationship Type="http://schemas.openxmlformats.org/officeDocument/2006/relationships/hyperlink" Target="http://eur-lex.europa.eu/legal-content/FR/TXT/?uri=LEGISSUM:110102_3" TargetMode="External" Id="rId172" /><Relationship Type="http://schemas.openxmlformats.org/officeDocument/2006/relationships/hyperlink" Target="http://eur-lex.europa.eu/summary/glossary/european_semester.html" TargetMode="External" Id="rId193" /><Relationship Type="http://schemas.openxmlformats.org/officeDocument/2006/relationships/hyperlink" Target="http://eur-lex.europa.eu/summary/glossary/european_central_bank.html" TargetMode="External" Id="rId207" /><Relationship Type="http://schemas.openxmlformats.org/officeDocument/2006/relationships/hyperlink" Target="https://eur-lex.europa.eu/legal-content/FR/AUTO/?uri=celex:32013R1308" TargetMode="External" Id="rId13" /><Relationship Type="http://schemas.openxmlformats.org/officeDocument/2006/relationships/hyperlink" Target="http://www.consilium.europa.eu/media/21840/12-political-declaration-fr.pdf" TargetMode="External" Id="rId109" /><Relationship Type="http://schemas.openxmlformats.org/officeDocument/2006/relationships/hyperlink" Target="http://eur-lex.europa.eu/legal-content/FR/TXT/?uri=LEGISSUM:28_1" TargetMode="External" Id="rId34" /><Relationship Type="http://schemas.openxmlformats.org/officeDocument/2006/relationships/hyperlink" Target="https://eur-lex.europa.eu/legal-content/FR/AUTO/?uri=celex:32016L0680" TargetMode="External" Id="rId55" /><Relationship Type="http://schemas.openxmlformats.org/officeDocument/2006/relationships/hyperlink" Target="http://eeas.europa.eu/topics/eu-global-strategy_fr" TargetMode="External" Id="rId76" /><Relationship Type="http://schemas.openxmlformats.org/officeDocument/2006/relationships/hyperlink" Target="http://www.un.org/sustainabledevelopment/fr/poverty/" TargetMode="External" Id="rId97" /><Relationship Type="http://schemas.openxmlformats.org/officeDocument/2006/relationships/hyperlink" Target="http://ec.europa.eu/international-partnerships/topics/education_en" TargetMode="External" Id="rId120" /><Relationship Type="http://schemas.openxmlformats.org/officeDocument/2006/relationships/hyperlink" Target="http://data.consilium.europa.eu/doc/document/ST-15866-2017-INIT/en/pdf" TargetMode="External" Id="rId141" /><Relationship Type="http://schemas.openxmlformats.org/officeDocument/2006/relationships/hyperlink" Target="http://eur-lex.europa.eu/summary/glossary/european_commission.html" TargetMode="External" Id="rId7" /><Relationship Type="http://schemas.openxmlformats.org/officeDocument/2006/relationships/hyperlink" Target="https://eur-lex.europa.eu/legal-content/FR/AUTO/?uri=celex:12016M021" TargetMode="External" Id="rId162" /><Relationship Type="http://schemas.openxmlformats.org/officeDocument/2006/relationships/hyperlink" Target="http://ec.europa.eu/international-partnerships/where-we-work_en" TargetMode="External" Id="rId183" /><Relationship Type="http://schemas.openxmlformats.org/officeDocument/2006/relationships/hyperlink" Target="http://www.unido.org/" TargetMode="External" Id="rId24" /><Relationship Type="http://schemas.openxmlformats.org/officeDocument/2006/relationships/hyperlink" Target="https://eur-lex.europa.eu/legal-content/FR/AUTO/?uri=celex:52016JC0029" TargetMode="External" Id="rId45" /><Relationship Type="http://schemas.openxmlformats.org/officeDocument/2006/relationships/hyperlink" Target="https://eur-lex.europa.eu/legal-content/FR/AUTO/?uri=celex:01997R0515-20160901" TargetMode="External" Id="rId66" /><Relationship Type="http://schemas.openxmlformats.org/officeDocument/2006/relationships/hyperlink" Target="http://eur-lex.europa.eu/legal-content/FR/TXT/?uri=LEGISSUM:4314965" TargetMode="External" Id="rId87" /><Relationship Type="http://schemas.openxmlformats.org/officeDocument/2006/relationships/hyperlink" Target="https://eur-lex.europa.eu/legal-content/FR/AUTO/?uri=celex:52016DC0385" TargetMode="External" Id="rId110" /><Relationship Type="http://schemas.openxmlformats.org/officeDocument/2006/relationships/hyperlink" Target="http://europa.eu/capacity4dev/topics/climate-change-disaster-risk-reduction-desertification" TargetMode="External" Id="rId131" /><Relationship Type="http://schemas.openxmlformats.org/officeDocument/2006/relationships/hyperlink" Target="http://ec.europa.eu/neighbourhood-enlargement/about/directorate-general_en" TargetMode="External" Id="rId152" /><Relationship Type="http://schemas.openxmlformats.org/officeDocument/2006/relationships/hyperlink" Target="https://ec.europa.eu/international-partnerships/about-us_en" TargetMode="External" Id="rId173" /><Relationship Type="http://schemas.openxmlformats.org/officeDocument/2006/relationships/hyperlink" Target="https://eur-lex.europa.eu/legal-content/FR/TXT/HTML/?uri=LEGISSUM:1402_4&amp;from=EN" TargetMode="External" Id="rId194" /><Relationship Type="http://schemas.openxmlformats.org/officeDocument/2006/relationships/hyperlink" Target="http://eur-lex.europa.eu/summary/glossary/eurogroup.html" TargetMode="External" Id="rId208" /><Relationship Type="http://schemas.openxmlformats.org/officeDocument/2006/relationships/hyperlink" Target="https://eur-lex.europa.eu/legal-content/FR/AUTO/?uri=celex:02013R1308-20190101" TargetMode="External" Id="rId14" /><Relationship Type="http://schemas.openxmlformats.org/officeDocument/2006/relationships/hyperlink" Target="http://eur-lex.europa.eu/legal-content/FR/TXT/?uri=LEGISSUM:2701_3" TargetMode="External" Id="rId30" /><Relationship Type="http://schemas.openxmlformats.org/officeDocument/2006/relationships/hyperlink" Target="http://eur-lex.europa.eu/legal-content/FR/TXT/?uri=LEGISSUM:1302_1" TargetMode="External" Id="rId35" /><Relationship Type="http://schemas.openxmlformats.org/officeDocument/2006/relationships/hyperlink" Target="http://eur-lex.europa.eu/summary/glossary/charter_fundamental_rights.html" TargetMode="External" Id="rId56" /><Relationship Type="http://schemas.openxmlformats.org/officeDocument/2006/relationships/hyperlink" Target="http://eur-lex.europa.eu/summary/glossary/foreign_security_policy.html" TargetMode="External" Id="rId77" /><Relationship Type="http://schemas.openxmlformats.org/officeDocument/2006/relationships/hyperlink" Target="http://sustainabledevelopment.un.org/sdg10" TargetMode="External" Id="rId100" /><Relationship Type="http://schemas.openxmlformats.org/officeDocument/2006/relationships/hyperlink" Target="http://ec.europa.eu/transparency/regdoc/rep/10102/2017/EN/SWD-2017-288-F1-EN-MAIN-PART-1.PDF" TargetMode="External" Id="rId105" /><Relationship Type="http://schemas.openxmlformats.org/officeDocument/2006/relationships/hyperlink" Target="http://eur-lex.europa.eu/legal-content/FR/TXT/?uri=LEGISSUM:270301_1" TargetMode="External" Id="rId126" /><Relationship Type="http://schemas.openxmlformats.org/officeDocument/2006/relationships/hyperlink" Target="http://ec.europa.eu/europeaid/regions/latin-america/caribbean-investment-facility_en" TargetMode="External" Id="rId147" /><Relationship Type="http://schemas.openxmlformats.org/officeDocument/2006/relationships/hyperlink" Target="https://eur-lex.europa.eu/legal-content/FR/AUTO/?uri=celex:52017JC0021" TargetMode="External" Id="rId168" /><Relationship Type="http://schemas.openxmlformats.org/officeDocument/2006/relationships/hyperlink" Target="http://ec.europa.eu/agriculture/committees/cmo_fr" TargetMode="External" Id="rId8" /><Relationship Type="http://schemas.openxmlformats.org/officeDocument/2006/relationships/hyperlink" Target="https://eur-lex.europa.eu/legal-content/FR/AUTO/?uri=celex:32008R0766" TargetMode="External" Id="rId51" /><Relationship Type="http://schemas.openxmlformats.org/officeDocument/2006/relationships/hyperlink" Target="http://eur-lex.europa.eu/summary/glossary/competences.html" TargetMode="External" Id="rId72" /><Relationship Type="http://schemas.openxmlformats.org/officeDocument/2006/relationships/hyperlink" Target="http://effectivecooperation.org/wp-content/uploads/2017/05/OutcomeDocumentFRfinal.pdf" TargetMode="External" Id="rId93" /><Relationship Type="http://schemas.openxmlformats.org/officeDocument/2006/relationships/hyperlink" Target="http://www.un.org/sustainabledevelopment/fr/inequality/" TargetMode="External" Id="rId98" /><Relationship Type="http://schemas.openxmlformats.org/officeDocument/2006/relationships/hyperlink" Target="http://www.globalpartnership.org/fr" TargetMode="External" Id="rId121" /><Relationship Type="http://schemas.openxmlformats.org/officeDocument/2006/relationships/hyperlink" Target="http://www.arei.org/" TargetMode="External" Id="rId142" /><Relationship Type="http://schemas.openxmlformats.org/officeDocument/2006/relationships/hyperlink" Target="http://www.un.org/sustainabledevelopment/fr/peace-justice/" TargetMode="External" Id="rId163" /><Relationship Type="http://schemas.openxmlformats.org/officeDocument/2006/relationships/hyperlink" Target="https://eur-lex.europa.eu/legal-content/FR/AUTO/?uri=celex:12016E004" TargetMode="External" Id="rId184" /><Relationship Type="http://schemas.openxmlformats.org/officeDocument/2006/relationships/hyperlink" Target="https://eur-lex.europa.eu/legal-content/FR/AUTO/?uri=celex:12016E120" TargetMode="External" Id="rId189" /><Relationship Type="http://schemas.openxmlformats.org/officeDocument/2006/relationships/hyperlink" Target="https://eur-lex.europa.eu/legal-content/FR/AUTO/?uri=celex:12016E120" TargetMode="External" Id="rId214" /><Relationship Type="http://schemas.openxmlformats.org/officeDocument/2006/relationships/hyperlink" Target="http://creativehubs.eu/" TargetMode="External" Id="rId25" /><Relationship Type="http://schemas.openxmlformats.org/officeDocument/2006/relationships/hyperlink" Target="https://eur-lex.europa.eu/legal-content/FR/AUTO/?uri=celex:12016E006" TargetMode="External" Id="rId46" /><Relationship Type="http://schemas.openxmlformats.org/officeDocument/2006/relationships/hyperlink" Target="https://eur-lex.europa.eu/legal-content/FR/AUTO/?uri=celex:12016E004" TargetMode="External" Id="rId67" /><Relationship Type="http://schemas.openxmlformats.org/officeDocument/2006/relationships/hyperlink" Target="http://ec.europa.eu/international-partnerships/topics/culture_en" TargetMode="External" Id="rId116" /><Relationship Type="http://schemas.openxmlformats.org/officeDocument/2006/relationships/hyperlink" Target="https://www.un.org/sustainabledevelopment/fr/water-and-sanitation/" TargetMode="External" Id="rId137" /><Relationship Type="http://schemas.openxmlformats.org/officeDocument/2006/relationships/hyperlink" Target="http://www.africa-eu-partnership.org/sites/default/files/documents/agenda_jaes_rgi_2018.pdf" TargetMode="External" Id="rId158" /><Relationship Type="http://schemas.openxmlformats.org/officeDocument/2006/relationships/hyperlink" Target="http://ec.europa.eu/competition/antitrust/overview_en.html" TargetMode="External" Id="rId20" /><Relationship Type="http://schemas.openxmlformats.org/officeDocument/2006/relationships/hyperlink" Target="http://eur-lex.europa.eu/legal-content/FR/TXT/?uri=LEGISSUM:r12101" TargetMode="External" Id="rId41" /><Relationship Type="http://schemas.openxmlformats.org/officeDocument/2006/relationships/hyperlink" Target="https://eur-lex.europa.eu/legal-content/FR/AUTO/?uri=celex:02009D0917-20091230" TargetMode="External" Id="rId62" /><Relationship Type="http://schemas.openxmlformats.org/officeDocument/2006/relationships/hyperlink" Target="http://www.un.org/sustainabledevelopment/fr/" TargetMode="External" Id="rId83" /><Relationship Type="http://schemas.openxmlformats.org/officeDocument/2006/relationships/hyperlink" Target="http://ec.europa.eu/commission/eu-external-investment-plan_fr" TargetMode="External" Id="rId88" /><Relationship Type="http://schemas.openxmlformats.org/officeDocument/2006/relationships/hyperlink" Target="https://eur-lex.europa.eu/legal-content/FR/AUTO/?uri=celex:52016DC0234" TargetMode="External" Id="rId111" /><Relationship Type="http://schemas.openxmlformats.org/officeDocument/2006/relationships/hyperlink" Target="http://www.un.org/sustainabledevelopment/fr/climate-change/" TargetMode="External" Id="rId132" /><Relationship Type="http://schemas.openxmlformats.org/officeDocument/2006/relationships/hyperlink" Target="https://eur-lex.europa.eu/legal-content/FR/AUTO/?uri=celex:52017DC0667" TargetMode="External" Id="rId153" /><Relationship Type="http://schemas.openxmlformats.org/officeDocument/2006/relationships/hyperlink" Target="http://ec.europa.eu/europeaid/funding/funding-instruments-programming/funding-instruments/instrument-nuclear-safety-cooperation_en" TargetMode="External" Id="rId174" /><Relationship Type="http://schemas.openxmlformats.org/officeDocument/2006/relationships/hyperlink" Target="http://europa.eu/rapid/press-release_IP-19-2075_en.htm" TargetMode="External" Id="rId179" /><Relationship Type="http://schemas.openxmlformats.org/officeDocument/2006/relationships/hyperlink" Target="http://eur-lex.europa.eu/summary/glossary/eurozone.html" TargetMode="External" Id="rId195" /><Relationship Type="http://schemas.openxmlformats.org/officeDocument/2006/relationships/hyperlink" Target="http://ec.europa.eu/commission/sites/beta-political/files/5-presidents-report_fr.pdf" TargetMode="External" Id="rId209" /><Relationship Type="http://schemas.openxmlformats.org/officeDocument/2006/relationships/hyperlink" Target="https://eur-lex.europa.eu/legal-content/FR/AUTO/?uri=celex:12016E121" TargetMode="External" Id="rId190" /><Relationship Type="http://schemas.openxmlformats.org/officeDocument/2006/relationships/hyperlink" Target="https://eur-lex.europa.eu/legal-content/FR/TXT/HTML/?uri=LEGISSUM:1402_4&amp;from=EN" TargetMode="External" Id="rId204" /><Relationship Type="http://schemas.openxmlformats.org/officeDocument/2006/relationships/hyperlink" Target="https://eur-lex.europa.eu/legal-content/FR/AUTO/?uri=celex:32011L0007" TargetMode="External" Id="rId15" /><Relationship Type="http://schemas.openxmlformats.org/officeDocument/2006/relationships/hyperlink" Target="http://eur-lex.europa.eu/legal-content/FR/TXT/?uri=LEGISSUM:110102_3" TargetMode="External" Id="rId36" /><Relationship Type="http://schemas.openxmlformats.org/officeDocument/2006/relationships/hyperlink" Target="http://eur-lex.europa.eu/legal-content/FR/TXT/?uri=legissum:23040102_1" TargetMode="External" Id="rId57" /><Relationship Type="http://schemas.openxmlformats.org/officeDocument/2006/relationships/hyperlink" Target="http://op.europa.eu/en/publication-detail/-/publication/62f7aa16-c438-11e7-9b01-01aa75ed71a1" TargetMode="External" Id="rId106" /><Relationship Type="http://schemas.openxmlformats.org/officeDocument/2006/relationships/hyperlink" Target="http://www.unfpa.org/fr" TargetMode="External" Id="rId127" /><Relationship Type="http://schemas.openxmlformats.org/officeDocument/2006/relationships/hyperlink" Target="http://ec.europa.eu/info/sites/info/files/food-farming-fisheries/key_policies/documents/brochure-utp-directive_en.pdf" TargetMode="External" Id="rId10" /><Relationship Type="http://schemas.openxmlformats.org/officeDocument/2006/relationships/hyperlink" Target="http://fr.unesco.org/" TargetMode="External" Id="rId31" /><Relationship Type="http://schemas.openxmlformats.org/officeDocument/2006/relationships/hyperlink" Target="https://eur-lex.europa.eu/legal-content/FR/AUTO/?uri=celex:31997R0515" TargetMode="External" Id="rId52" /><Relationship Type="http://schemas.openxmlformats.org/officeDocument/2006/relationships/hyperlink" Target="https://eur-lex.europa.eu/legal-content/FR/AUTO/?uri=celex:12016E208" TargetMode="External" Id="rId73" /><Relationship Type="http://schemas.openxmlformats.org/officeDocument/2006/relationships/hyperlink" Target="http://eur-lex.europa.eu/legal-content/FR/TXT/?uri=LEGISSUM:1103_1" TargetMode="External" Id="rId78" /><Relationship Type="http://schemas.openxmlformats.org/officeDocument/2006/relationships/hyperlink" Target="https://ec.europa.eu/info/aid-development-cooperation-fundamental-rights/ensuring-aid-effectiveness/joint-programming-development-cooperation_en" TargetMode="External" Id="rId94" /><Relationship Type="http://schemas.openxmlformats.org/officeDocument/2006/relationships/hyperlink" Target="http://www.un.org/sustainabledevelopment/fr/poverty/" TargetMode="External" Id="rId99" /><Relationship Type="http://schemas.openxmlformats.org/officeDocument/2006/relationships/hyperlink" Target="https://ec.europa.eu/international-partnerships/topics/human-rights_en" TargetMode="External" Id="rId101" /><Relationship Type="http://schemas.openxmlformats.org/officeDocument/2006/relationships/hyperlink" Target="http://www.un.org/sustainabledevelopment/fr/health/" TargetMode="External" Id="rId122" /><Relationship Type="http://schemas.openxmlformats.org/officeDocument/2006/relationships/hyperlink" Target="http://www.un.org/sustainabledevelopment/fr/globalpartnerships/" TargetMode="External" Id="rId143" /><Relationship Type="http://schemas.openxmlformats.org/officeDocument/2006/relationships/hyperlink" Target="http://ec.europa.eu/europeaid/regions/pacific/investment-facility-pacific-ifp_en" TargetMode="External" Id="rId148" /><Relationship Type="http://schemas.openxmlformats.org/officeDocument/2006/relationships/hyperlink" Target="http://ec.europa.eu/international-partnerships/topics/democracy_en" TargetMode="External" Id="rId164" /><Relationship Type="http://schemas.openxmlformats.org/officeDocument/2006/relationships/hyperlink" Target="http://europa.eu/globalstrategy/en/integrated-approach-conflicts" TargetMode="External" Id="rId169" /><Relationship Type="http://schemas.openxmlformats.org/officeDocument/2006/relationships/hyperlink" Target="https://eur-lex.europa.eu/legal-content/FR/AUTO/?uri=celex:12016E208" TargetMode="External" Id="rId185" /><Relationship Type="http://schemas.openxmlformats.org/officeDocument/2006/relationships/hyperlink" Target="http://eur-lex.europa.eu/legal-content/FR/TXT/?uri=LEGISSUM:0302_1" TargetMode="External" Id="rId9" /><Relationship Type="http://schemas.openxmlformats.org/officeDocument/2006/relationships/hyperlink" Target="https://ec.europa.eu/info/aid-development-cooperation-fundamental-rights/ensuring-aid-effectiveness/joint-programming-development-cooperation_en" TargetMode="External" Id="rId180" /><Relationship Type="http://schemas.openxmlformats.org/officeDocument/2006/relationships/hyperlink" Target="https://eur-lex.europa.eu/legal-content/FR/AUTO/?uri=celex:52017DC0206" TargetMode="External" Id="rId210" /><Relationship Type="http://schemas.openxmlformats.org/officeDocument/2006/relationships/hyperlink" Target="https://eur-lex.europa.eu/legal-content/FR/AUTO/?uri=celex:12016E121" TargetMode="External" Id="rId215" /><Relationship Type="http://schemas.openxmlformats.org/officeDocument/2006/relationships/hyperlink" Target="http://eur-lex.europa.eu/legal-content/FR/TXT/?uri=LEGISSUM:1002_1" TargetMode="External" Id="rId26" /><Relationship Type="http://schemas.openxmlformats.org/officeDocument/2006/relationships/hyperlink" Target="https://eur-lex.europa.eu/legal-content/FR/AUTO/?uri=celex:52015XG1215%2804%29" TargetMode="External" Id="rId47" /><Relationship Type="http://schemas.openxmlformats.org/officeDocument/2006/relationships/hyperlink" Target="https://eur-lex.europa.eu/legal-content/FR/AUTO/?uri=celex:12016E208" TargetMode="External" Id="rId68" /><Relationship Type="http://schemas.openxmlformats.org/officeDocument/2006/relationships/hyperlink" Target="http://ec.europa.eu/neighbourhood-enlargement/neighbourhood/overview_en" TargetMode="External" Id="rId89" /><Relationship Type="http://schemas.openxmlformats.org/officeDocument/2006/relationships/hyperlink" Target="http://ec.europa.eu/europeaid/regions/africa/eu-emergency-trust-fund-africa_en" TargetMode="External" Id="rId112" /><Relationship Type="http://schemas.openxmlformats.org/officeDocument/2006/relationships/hyperlink" Target="http://www.unisdr.org/we/coordinate/sendai-framework" TargetMode="External" Id="rId133" /><Relationship Type="http://schemas.openxmlformats.org/officeDocument/2006/relationships/hyperlink" Target="http://eur-lex.europa.eu/legal-content/FR/TXT/?uri=legissum:dv0006" TargetMode="External" Id="rId154" /><Relationship Type="http://schemas.openxmlformats.org/officeDocument/2006/relationships/hyperlink" Target="http://www.un.org/sustainabledevelopment/fr/globalpartnerships/" TargetMode="External" Id="rId175" /><Relationship Type="http://schemas.openxmlformats.org/officeDocument/2006/relationships/hyperlink" Target="http://eur-lex.europa.eu/summary/glossary/structural_cohesion_fund.html" TargetMode="External" Id="rId196" /><Relationship Type="http://schemas.openxmlformats.org/officeDocument/2006/relationships/hyperlink" Target="http://www.imf.org/external/french/index.htm" TargetMode="External" Id="rId200" /><Relationship Type="http://schemas.openxmlformats.org/officeDocument/2006/relationships/hyperlink" Target="https://eur-lex.europa.eu/legal-content/FR/AUTO/?uri=celex:02011L0007-20110315" TargetMode="External" Id="rId16" /><Relationship Type="http://schemas.openxmlformats.org/officeDocument/2006/relationships/hyperlink" Target="https://eacea.ec.europa.eu/creative-europe_en" TargetMode="External" Id="rId37" /><Relationship Type="http://schemas.openxmlformats.org/officeDocument/2006/relationships/hyperlink" Target="http://eur-lex.europa.eu/legal-content/FR/TXT/?uri=LEGISSUM:4369105" TargetMode="External" Id="rId58" /><Relationship Type="http://schemas.openxmlformats.org/officeDocument/2006/relationships/hyperlink" Target="http://eur-lex.europa.eu/legal-content/FR/TXT/?uri=LEGISSUM:1105_1" TargetMode="External" Id="rId79" /><Relationship Type="http://schemas.openxmlformats.org/officeDocument/2006/relationships/hyperlink" Target="http://ec.europa.eu/international-partnerships/sdg/gender-equality_en" TargetMode="External" Id="rId102" /><Relationship Type="http://schemas.openxmlformats.org/officeDocument/2006/relationships/hyperlink" Target="http://ec.europa.eu/health/international_cooperation/global_health_en" TargetMode="External" Id="rId123" /><Relationship Type="http://schemas.openxmlformats.org/officeDocument/2006/relationships/hyperlink" Target="https://www.eulaif.eu/" TargetMode="External" Id="rId144" /><Relationship Type="http://schemas.openxmlformats.org/officeDocument/2006/relationships/hyperlink" Target="http://europa.eu/rapid/press-release_IP-18-3930_fr.htm" TargetMode="External" Id="rId90" /><Relationship Type="http://schemas.openxmlformats.org/officeDocument/2006/relationships/hyperlink" Target="http://ec.europa.eu/international-partnerships/topics/human-rights_en" TargetMode="External" Id="rId165" /><Relationship Type="http://schemas.openxmlformats.org/officeDocument/2006/relationships/hyperlink" Target="https://eur-lex.europa.eu/legal-content/FR/AUTO/?uri=celex:12016M021" TargetMode="External" Id="rId186" /><Relationship Type="http://schemas.openxmlformats.org/officeDocument/2006/relationships/hyperlink" Target="https://eur-lex.europa.eu/legal-content/FR/AUTO/?uri=celex:52017DC0358" TargetMode="External" Id="rId211" /><Relationship Type="http://schemas.openxmlformats.org/officeDocument/2006/relationships/hyperlink" Target="https://ec.europa.eu/neighbourhood-enlargement/neighbourhood/eastern-partnership_en" TargetMode="External" Id="rId27" /><Relationship Type="http://schemas.openxmlformats.org/officeDocument/2006/relationships/hyperlink" Target="https://eur-lex.europa.eu/legal-content/FR/AUTO/?uri=celex:42008X1221%2802%29" TargetMode="External" Id="rId48" /><Relationship Type="http://schemas.openxmlformats.org/officeDocument/2006/relationships/hyperlink" Target="https://eur-lex.europa.eu/legal-content/FR/AUTO/?uri=celex:12016M021" TargetMode="External" Id="rId69" /><Relationship Type="http://schemas.openxmlformats.org/officeDocument/2006/relationships/hyperlink" Target="http://ec.europa.eu/trustfund-syria-region/content/home_en" TargetMode="External" Id="rId113" /><Relationship Type="http://schemas.openxmlformats.org/officeDocument/2006/relationships/hyperlink" Target="http://www.un.org/sustainabledevelopment/fr/economic-growth/" TargetMode="External" Id="rId134" /><Relationship Type="http://schemas.openxmlformats.org/officeDocument/2006/relationships/hyperlink" Target="http://eur-lex.europa.eu/legal-content/FR/AUTO/?uri=LEGISSUM:r12101" TargetMode="External" Id="rId80" /><Relationship Type="http://schemas.openxmlformats.org/officeDocument/2006/relationships/hyperlink" Target="http://ec.europa.eu/trade/policy/countries-and-regions/development/economic-partnerships/" TargetMode="External" Id="rId155" /><Relationship Type="http://schemas.openxmlformats.org/officeDocument/2006/relationships/hyperlink" Target="http://effectivecooperation.org/" TargetMode="External" Id="rId176" /><Relationship Type="http://schemas.openxmlformats.org/officeDocument/2006/relationships/hyperlink" Target="http://eur-lex.europa.eu/summary/glossary/economic_governance.html" TargetMode="External" Id="rId197" /><Relationship Type="http://schemas.openxmlformats.org/officeDocument/2006/relationships/hyperlink" Target="http://eur-lex.europa.eu/summary/glossary/europe_banking_union.html" TargetMode="External" Id="rId201" /><Relationship Type="http://schemas.openxmlformats.org/officeDocument/2006/relationships/hyperlink" Target="https://eur-lex.europa.eu/legal-content/FR/AUTO/?uri=celex:32010L0013" TargetMode="External" Id="rId17" /><Relationship Type="http://schemas.openxmlformats.org/officeDocument/2006/relationships/hyperlink" Target="http://eur-lex.europa.eu/summary/glossary/enlargement.html" TargetMode="External" Id="rId38" /><Relationship Type="http://schemas.openxmlformats.org/officeDocument/2006/relationships/hyperlink" Target="http://eur-lex.europa.eu/legal-content/FR/TXT/?uri=legissum:0102_11" TargetMode="External" Id="rId59" /><Relationship Type="http://schemas.openxmlformats.org/officeDocument/2006/relationships/hyperlink" Target="http://www.un.org/sustainabledevelopment/fr/gender-equality/" TargetMode="External" Id="rId103" /><Relationship Type="http://schemas.openxmlformats.org/officeDocument/2006/relationships/hyperlink" Target="http://www.theglobalfund.org/fr/" TargetMode="External" Id="rId124" /><Relationship Type="http://schemas.openxmlformats.org/officeDocument/2006/relationships/hyperlink" Target="https://eur-lex.europa.eu/legal-content/FR/AUTO/?uri=celex:12016E004" TargetMode="External" Id="rId70" /><Relationship Type="http://schemas.openxmlformats.org/officeDocument/2006/relationships/hyperlink" Target="http://www.oecd.org/fr/cad/efficacite/34579826.pdf" TargetMode="External" Id="rId91" /><Relationship Type="http://schemas.openxmlformats.org/officeDocument/2006/relationships/hyperlink" Target="http://ec.europa.eu/europeaid/regions/asia/asian-investment-facility-aif_en" TargetMode="External" Id="rId145" /><Relationship Type="http://schemas.openxmlformats.org/officeDocument/2006/relationships/hyperlink" Target="http://eur-lex.europa.eu/legal-content/FR/TXT/?uri=LEGISSUM:1302_1" TargetMode="External" Id="rId166" /><Relationship Type="http://schemas.openxmlformats.org/officeDocument/2006/relationships/hyperlink" Target="https://eur-lex.europa.eu/legal-content/FR/AUTO/?uri=celex:52015DC0600" TargetMode="External" Id="rId187" /><Relationship Type="http://schemas.openxmlformats.org/officeDocument/2006/relationships/hyperlink" Target="http://europa.eu/rapid/press-release_IP-15-5874_fr.htm" TargetMode="External" Id="rId212" /><Relationship Type="http://schemas.openxmlformats.org/officeDocument/2006/relationships/hyperlink" Target="http://www.annalindhfoundation.org/" TargetMode="External" Id="rId28" /><Relationship Type="http://schemas.openxmlformats.org/officeDocument/2006/relationships/hyperlink" Target="https://eur-lex.europa.eu/legal-content/FR/AUTO/?uri=celex:32009D0917" TargetMode="External" Id="rId49" /><Relationship Type="http://schemas.openxmlformats.org/officeDocument/2006/relationships/hyperlink" Target="http://eur-lex.europa.eu/legal-content/FR/TXT/?uri=LEGISSUM:4300997" TargetMode="External" Id="rId114" /><Relationship Type="http://schemas.openxmlformats.org/officeDocument/2006/relationships/hyperlink" Target="http://edps.europa.eu/data-protection/supervision-coordination/customs-information-systems_en" TargetMode="External" Id="rId60" /><Relationship Type="http://schemas.openxmlformats.org/officeDocument/2006/relationships/hyperlink" Target="http://eur-lex.europa.eu/legal-content/FR/TXT/?uri=LEGISSUM:110102_1" TargetMode="External" Id="rId81" /><Relationship Type="http://schemas.openxmlformats.org/officeDocument/2006/relationships/hyperlink" Target="http://www.un.org/sustainabledevelopment/fr/sustainable-consumption-production/" TargetMode="External" Id="rId135" /><Relationship Type="http://schemas.openxmlformats.org/officeDocument/2006/relationships/hyperlink" Target="http://eur-lex.europa.eu/legal-content/FR/TXT/?uri=LEGISSUM:cx0003" TargetMode="External" Id="rId156" /><Relationship Type="http://schemas.openxmlformats.org/officeDocument/2006/relationships/hyperlink" Target="https://eur-lex.europa.eu/legal-content/FR/AUTO/?uri=celex:52012DC0492" TargetMode="External" Id="rId177" /><Relationship Type="http://schemas.openxmlformats.org/officeDocument/2006/relationships/hyperlink" Target="http://eur-lex.europa.eu/summary/glossary/mip.html" TargetMode="External" Id="rId198" /><Relationship Type="http://schemas.openxmlformats.org/officeDocument/2006/relationships/hyperlink" Target="http://ec.europa.eu/info/business-economy-euro/banking-and-finance/banking-union/european-deposit-insurance-scheme_fr" TargetMode="External" Id="rId202" /><Relationship Type="http://schemas.openxmlformats.org/officeDocument/2006/relationships/hyperlink" Target="https://eur-lex.europa.eu/legal-content/FR/AUTO/?uri=celex:32014R0609" TargetMode="External" Id="rId18" /><Relationship Type="http://schemas.openxmlformats.org/officeDocument/2006/relationships/hyperlink" Target="http://eur-lex.europa.eu/summary/glossary/neighbourhood_policy.html?locale=fr" TargetMode="External" Id="rId39" /><Relationship Type="http://schemas.openxmlformats.org/officeDocument/2006/relationships/hyperlink" Target="https://eur-lex.europa.eu/legal-content/FR/AUTO/?uri=celex:41995A1127%2802%29" TargetMode="External" Id="rId50" /><Relationship Type="http://schemas.openxmlformats.org/officeDocument/2006/relationships/hyperlink" Target="http://eur-lex.europa.eu/summary/glossary/european_commission.html" TargetMode="External" Id="rId104" /><Relationship Type="http://schemas.openxmlformats.org/officeDocument/2006/relationships/hyperlink" Target="http://www.gavi.org/fr/" TargetMode="External" Id="rId125" /><Relationship Type="http://schemas.openxmlformats.org/officeDocument/2006/relationships/hyperlink" Target="http://ec.europa.eu/europeaid/regions/central-asia/investment-facility-central-asia-ifca_en" TargetMode="External" Id="rId146" /><Relationship Type="http://schemas.openxmlformats.org/officeDocument/2006/relationships/hyperlink" Target="http://epd.eu/media4democracy/" TargetMode="External" Id="rId167" /><Relationship Type="http://schemas.openxmlformats.org/officeDocument/2006/relationships/hyperlink" Target="https://eur-lex.europa.eu/legal-content/FR/AUTO/?uri=celex:12016E119" TargetMode="External" Id="rId188" /><Relationship Type="http://schemas.openxmlformats.org/officeDocument/2006/relationships/hyperlink" Target="http://eur-lex.europa.eu/summary/glossary/development_aid.html" TargetMode="External" Id="rId71" /><Relationship Type="http://schemas.openxmlformats.org/officeDocument/2006/relationships/hyperlink" Target="http://effectivecooperation.org/wp-content/uploads/2016/03/OUTCOME_DOCUMENT_-_FINAL_FR.pdf" TargetMode="External" Id="rId92" /><Relationship Type="http://schemas.openxmlformats.org/officeDocument/2006/relationships/hyperlink" Target="https://eur-lex.europa.eu/legal-content/FR/AUTO/?uri=celex:12016E119" TargetMode="External" Id="rId213" /><Relationship Type="http://schemas.openxmlformats.org/officeDocument/2006/relationships/hyperlink" Target="http://ufmsecretariat.org/" TargetMode="External" Id="rId29" /><Relationship Type="http://schemas.openxmlformats.org/officeDocument/2006/relationships/hyperlink" Target="http://eur-lex.europa.eu/legal-content/FR/TXT/?uri=LEGISSUM:110102_1" TargetMode="External" Id="rId40" /><Relationship Type="http://schemas.openxmlformats.org/officeDocument/2006/relationships/hyperlink" Target="https://eur-lex.europa.eu/legal-content/FR/AUTO/?uri=celex:52017JC0004" TargetMode="External" Id="rId115" /><Relationship Type="http://schemas.openxmlformats.org/officeDocument/2006/relationships/hyperlink" Target="http://ec.europa.eu/dgs/maritimeaffairs_fisheries/magazine/fr/places/making-difference-how-fisheries-contribute-sustainable-development-around-globe" TargetMode="External" Id="rId136" /><Relationship Type="http://schemas.openxmlformats.org/officeDocument/2006/relationships/hyperlink" Target="https://www.un.org/sustainabledevelopment/fr/infrastructure/" TargetMode="External" Id="rId157" /><Relationship Type="http://schemas.openxmlformats.org/officeDocument/2006/relationships/hyperlink" Target="http://europa.eu/capacity4dev/public-governance-civilsociety/documents/report-eu-engagement-civil-society" TargetMode="External" Id="rId178" /><Relationship Type="http://schemas.openxmlformats.org/officeDocument/2006/relationships/hyperlink" Target="https://eur-lex.europa.eu/legal-content/FR/AUTO/?uri=celex:32009D0917" TargetMode="External" Id="rId61" /><Relationship Type="http://schemas.openxmlformats.org/officeDocument/2006/relationships/hyperlink" Target="http://sustainabledevelopment.un.org/post2015/transformingourworld" TargetMode="External" Id="rId82" /><Relationship Type="http://schemas.openxmlformats.org/officeDocument/2006/relationships/hyperlink" Target="http://ec.europa.eu/economy_finance/graphs/2016-10-20_european_fiscal_board_en.htm" TargetMode="External" Id="rId199" /><Relationship Type="http://schemas.openxmlformats.org/officeDocument/2006/relationships/hyperlink" Target="http://eur-lex.europa.eu/legal-content/FR/TXT/?uri=LEGISSUM:2405_5" TargetMode="External" Id="rId203" /><Relationship Type="http://schemas.openxmlformats.org/officeDocument/2006/relationships/hyperlink" Target="https://eur-lex.europa.eu/legal-content/FR/AUTO/?uri=uriserv:OJ.L_.2014.168.01.0039.01.FRA" TargetMode="External" Id="rId19" /><Relationship Type="http://schemas.openxmlformats.org/officeDocument/2006/relationships/image" Target="/media/image.png" Id="R5ae8e36b05f14c29"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16343</Words>
  <Characters>102963</Characters>
  <Application>Microsoft Office Word</Application>
  <DocSecurity>0</DocSecurity>
  <Lines>858</Lines>
  <Paragraphs>238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11</cp:revision>
  <dcterms:created xsi:type="dcterms:W3CDTF">2021-04-28T17:04:00Z</dcterms:created>
  <dcterms:modified xsi:type="dcterms:W3CDTF">2021-04-30T18:33:00Z</dcterms:modified>
</cp:coreProperties>
</file>