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7E08" w14:textId="48FAADAC" w:rsidR="00BC0E91" w:rsidRPr="00BF7F56" w:rsidRDefault="00BC0E91" w:rsidP="00BC0E91">
      <w:pPr>
        <w:rPr>
          <w:lang w:val="en-GB"/>
        </w:rPr>
      </w:pPr>
      <w:r>
        <w:rPr>
          <w:lang w:val="en"/>
        </w:rPr>
        <w:t>WHAT IS THE PURPOSE OF THE DIRECTIVE?</w:t>
      </w:r>
    </w:p>
    <w:p w14:paraId="0492BD3F" w14:textId="77777777" w:rsidR="00BC0E91" w:rsidRPr="00BF7F56" w:rsidRDefault="00BC0E91" w:rsidP="00BC0E91">
      <w:pPr>
        <w:rPr>
          <w:lang w:val="en-GB"/>
        </w:rPr>
      </w:pPr>
      <w:r>
        <w:rPr>
          <w:lang w:val="en"/>
        </w:rPr>
        <w:t xml:space="preserve">•   Determines  a  minimum  list of prohibited  unfair  trading practices between buyers and suppliers in the agriculture  and  food  supply  chain  and  sets minimum  code  of    practice. </w:t>
      </w:r>
    </w:p>
    <w:p w14:paraId="0C72C02E" w14:textId="77777777" w:rsidR="00BC0E91" w:rsidRPr="00BF7F56" w:rsidRDefault="00BC0E91" w:rsidP="00BC0E91">
      <w:pPr>
        <w:rPr>
          <w:lang w:val="en-GB"/>
        </w:rPr>
      </w:pPr>
      <w:r>
        <w:rPr>
          <w:lang w:val="en"/>
        </w:rPr>
        <w:t xml:space="preserve">• It aims to stop large  enterprises from exploiting  small  and    medium-sized suppliers due to weaker  bargaining      positions  and  to prevent the costs of  such  applications from passing on  to  primary    producers.  </w:t>
      </w:r>
    </w:p>
    <w:p w14:paraId="29435138" w14:textId="77777777" w:rsidR="00BC0E91" w:rsidRPr="00BF7F56" w:rsidRDefault="00BC0E91" w:rsidP="00BC0E91">
      <w:pPr>
        <w:rPr>
          <w:lang w:val="en-GB"/>
        </w:rPr>
      </w:pPr>
      <w:r>
        <w:rPr>
          <w:lang w:val="en"/>
        </w:rPr>
        <w:t>KEY POINTS</w:t>
      </w:r>
    </w:p>
    <w:p w14:paraId="168FA724" w14:textId="77777777" w:rsidR="00BC0E91" w:rsidRPr="00BF7F56" w:rsidRDefault="00BC0E91" w:rsidP="00BC0E91">
      <w:pPr>
        <w:rPr>
          <w:lang w:val="en-GB"/>
        </w:rPr>
      </w:pPr>
      <w:r>
        <w:rPr>
          <w:lang w:val="en"/>
        </w:rPr>
        <w:t xml:space="preserve">The rules protect small  and  medium-sized  suppliers  and  large  suppliers whose annual  turnover  does not exceed    €350   million.  Protection  depends onthe relative  size of the supplier  and  buyer in terms of  annual  turnover.  These  suppliers are  dividedinto 5 subcategories  according to  turnover: </w:t>
      </w:r>
    </w:p>
    <w:p w14:paraId="200BC2BB" w14:textId="77777777" w:rsidR="00BC0E91" w:rsidRPr="00BF7F56" w:rsidRDefault="00BC0E91" w:rsidP="00BC0E91">
      <w:pPr>
        <w:rPr>
          <w:lang w:val="en-GB"/>
        </w:rPr>
      </w:pPr>
      <w:r>
        <w:rPr>
          <w:lang w:val="en"/>
        </w:rPr>
        <w:t xml:space="preserve">• Upto 2 million  euros; </w:t>
      </w:r>
    </w:p>
    <w:p w14:paraId="7E3A51AD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2-10 million €;</w:t>
      </w:r>
    </w:p>
    <w:p w14:paraId="1E5C6092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10-50 million €;</w:t>
      </w:r>
    </w:p>
    <w:p w14:paraId="58F18B4B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50-150 million €; And</w:t>
      </w:r>
    </w:p>
    <w:p w14:paraId="4579964F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150-350 million €.</w:t>
      </w:r>
    </w:p>
    <w:p w14:paraId="64883B46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Prohibition of unfair trading practices</w:t>
      </w:r>
    </w:p>
    <w:p w14:paraId="5956DFD1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The Directive prohibits the following unfair trading practices under any circumstances:</w:t>
      </w:r>
    </w:p>
    <w:p w14:paraId="74D54AA3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payment after 30 days for non-resistant agricultural and food products;</w:t>
      </w:r>
    </w:p>
    <w:p w14:paraId="359D36C4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Payment after 60 days for other agricultural and food products;</w:t>
      </w:r>
    </w:p>
    <w:p w14:paraId="6B4AD83D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cancellation of rapidly deteriorating agricultural and food products;</w:t>
      </w:r>
    </w:p>
    <w:p w14:paraId="3156909A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Unilateral changes made by the buyer to the terms of the supply agreement;</w:t>
      </w:r>
    </w:p>
    <w:p w14:paraId="60F621E9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payments requested by the buyer not related to the sale of an agricultural and food product;</w:t>
      </w:r>
    </w:p>
    <w:p w14:paraId="5D7FC9CD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Payments requested by the buyer for the deterioration or loss of agricultural and food products not caused by the supplier's negligence or defect;</w:t>
      </w:r>
    </w:p>
    <w:p w14:paraId="0A6D955E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The buyer refuses to give written consent to the supply contract, despite the supplier's request;</w:t>
      </w:r>
    </w:p>
    <w:p w14:paraId="2907ED19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Misuse of supplier's trade secrets by the buyer;</w:t>
      </w:r>
    </w:p>
    <w:p w14:paraId="301FA988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Commercial retaliatory lawsuits against the buyer's supplier if the Supplier is contractuated or exercising its legal rights;</w:t>
      </w:r>
    </w:p>
    <w:p w14:paraId="49B78AE4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Transferring costs to the supplier's products for the examination of customer complaints even though the supplier has no negligence or defects.</w:t>
      </w:r>
    </w:p>
    <w:p w14:paraId="2158276B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The Directive prohibits the following unfair trading practices unless the supplier and buyer agree to this with clear and unequivocal terms:</w:t>
      </w:r>
    </w:p>
    <w:p w14:paraId="4DECFE80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lastRenderedPageBreak/>
        <w:t>• Buyer returns unsold agricultural and food products to the supplier without paying for or paying for the disposal of unsold products or both;</w:t>
      </w:r>
    </w:p>
    <w:p w14:paraId="17EC4B0C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The supplier is requested to pay as a condition for stocking, displaying or listing agricultural and food products or to market such products;</w:t>
      </w:r>
    </w:p>
    <w:p w14:paraId="5F07B6F7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the buyer asks the supplier to pay a discount on agricultural and food products sold by the buyer as part of a promotion;</w:t>
      </w:r>
    </w:p>
    <w:p w14:paraId="460316FE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The buyer asks the supplier to pay for advertising or marketing by the buyer of agricultural and food products;</w:t>
      </w:r>
    </w:p>
    <w:p w14:paraId="7F95F260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The buyer charges the supplier for the personnel to arrange the facilities used for the sale of the supplier's products.</w:t>
      </w:r>
    </w:p>
    <w:p w14:paraId="3680407E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Complaints and privacy</w:t>
      </w:r>
    </w:p>
    <w:p w14:paraId="7136DFBD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EU countries determine their national enforcement authorities. Suppliers may file a complaint with the enforcement authority of the recipient's country or their own country suspected of a prohibited trading practice.</w:t>
      </w:r>
    </w:p>
    <w:p w14:paraId="613237D1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If asked, the enforcement authority should take the necessary measures to protect the identity of the complainant and other information deemed to be harmful to the interests of the complainant or suppliers.</w:t>
      </w:r>
    </w:p>
    <w:p w14:paraId="5E9424F7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Powers of the competent authorities</w:t>
      </w:r>
    </w:p>
    <w:p w14:paraId="745B01FA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Enforcement authorities must have the following authority and expertise:</w:t>
      </w:r>
    </w:p>
    <w:p w14:paraId="6267C363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initiate and conduct investigations;</w:t>
      </w:r>
    </w:p>
    <w:p w14:paraId="41BF98A3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request information from buyers and suppliers;</w:t>
      </w:r>
    </w:p>
    <w:p w14:paraId="6E4F7FBA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conduct unannounced on-site inspections;</w:t>
      </w:r>
    </w:p>
    <w:p w14:paraId="7AE3EC97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Order the end of a prohibited practice where appropriate;</w:t>
      </w:r>
    </w:p>
    <w:p w14:paraId="14F85DF6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To sue or initiate a lawsuit against the business that committed the violation for the issuance of fines and other penalties and temporary measures;</w:t>
      </w:r>
    </w:p>
    <w:p w14:paraId="173958A6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• publish decisions.</w:t>
      </w:r>
    </w:p>
    <w:p w14:paraId="0E0A8737" w14:textId="77777777" w:rsidR="00BC0E91" w:rsidRPr="00BC0E91" w:rsidRDefault="00BC0E91" w:rsidP="00BC0E91">
      <w:pPr>
        <w:rPr>
          <w:lang w:val="en-US"/>
        </w:rPr>
      </w:pPr>
      <w:r w:rsidRPr="00BC0E91">
        <w:rPr>
          <w:lang w:val="en"/>
        </w:rPr>
        <w:t>EU countries can promote effective alternative voluntary dispute resolution mechanisms.</w:t>
      </w:r>
    </w:p>
    <w:p w14:paraId="44F1F138" w14:textId="561D9C1B" w:rsidR="007E5153" w:rsidRPr="00710784" w:rsidRDefault="00BC0E91" w:rsidP="00BC0E91">
      <w:pPr>
        <w:rPr>
          <w:lang w:val="en-US"/>
        </w:rPr>
      </w:pPr>
      <w:r w:rsidRPr="00710784">
        <w:rPr>
          <w:lang w:val="en"/>
        </w:rPr>
        <w:t>EU countries must ensure that the executive authorities cooperate effectively with each other and with the Commission and help each other in situations of cross-border size.</w:t>
      </w:r>
    </w:p>
    <w:sectPr w:rsidR="007E5153" w:rsidRPr="00710784">
      <w:footerReference w:type="default" r:id="rId6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3EA1" w14:textId="77777777" w:rsidR="00A54ADD" w:rsidRDefault="00A54ADD" w:rsidP="00710784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12732A76" w14:textId="77777777" w:rsidR="00A54ADD" w:rsidRDefault="00A54ADD" w:rsidP="00710784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DDCCD" w14:textId="00252958" w:rsidR="00710784" w:rsidRDefault="00A54ADD">
    <w:pPr>
      <w:pStyle w:val="Fuzeile"/>
    </w:pPr>
    <w:r>
      <w:rPr>
        <w:noProof/>
        <w:lang w:val="en"/>
      </w:rPr>
      <w:pict w14:anchorId="2CAFCA18">
        <v:shapetype id="_x0000_t202" coordsize="21600,21600" o:spt="202" path="m,l,21600r21600,l21600,xe">
          <v:stroke joinstyle="miter"/>
          <v:path gradientshapeok="t" o:connecttype="rect"/>
        </v:shapetype>
        <v:shape id="MSIPCM66044653bd2174dffe3b3e20" o:spid="_x0000_s2049" type="#_x0000_t202" alt="{&quot;HashCode&quot;:207870596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1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14:paraId="62E20188" w14:textId="13619ED8" w:rsidR="00710784" w:rsidRPr="00710784" w:rsidRDefault="00710784" w:rsidP="00710784">
                <w:pPr>
                  <w:spacing w:after="0"/>
                  <w:rPr>
                    <w:rFonts w:cs="Calibri"/>
                    <w:color w:val="0078D7"/>
                    <w:sz w:val="20"/>
                  </w:rPr>
                </w:pPr>
                <w:r w:rsidRPr="00710784">
                  <w:rPr>
                    <w:color w:val="0078D7"/>
                    <w:sz w:val="20"/>
                    <w:lang w:val="en"/>
                  </w:rPr>
                  <w:t>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894FC" w14:textId="77777777" w:rsidR="00A54ADD" w:rsidRDefault="00A54ADD" w:rsidP="00710784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7760367B" w14:textId="77777777" w:rsidR="00A54ADD" w:rsidRDefault="00A54ADD" w:rsidP="00710784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yN7c0NzM3NjM1MDZS0lEKTi0uzszPAykwrAUAZEjWbCwAAAA="/>
  </w:docVars>
  <w:rsids>
    <w:rsidRoot w:val="00BC0E91"/>
    <w:rsid w:val="00710784"/>
    <w:rsid w:val="007E5153"/>
    <w:rsid w:val="00A54ADD"/>
    <w:rsid w:val="00BC0E91"/>
    <w:rsid w:val="00BF7F56"/>
    <w:rsid w:val="00CD5658"/>
    <w:rsid w:val="00EE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63F1A24"/>
  <w14:defaultImageDpi w14:val="0"/>
  <w15:docId w15:val="{D1D2E31F-545E-4744-B725-78C074DA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078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0784"/>
  </w:style>
  <w:style w:type="paragraph" w:styleId="Fuzeile">
    <w:name w:val="footer"/>
    <w:basedOn w:val="Standard"/>
    <w:link w:val="FuzeileZchn"/>
    <w:uiPriority w:val="99"/>
    <w:unhideWhenUsed/>
    <w:rsid w:val="0071078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0784"/>
  </w:style>
  <w:style w:type="character" w:styleId="Platzhaltertext">
    <w:name w:val="Placeholder Text"/>
    <w:uiPriority w:val="99"/>
    <w:semiHidden/>
    <w:rsid w:val="00BF7F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Buket Akyürek</dc:creator>
  <cp:keywords/>
  <dc:description/>
  <cp:lastModifiedBy>Buket Akyürek</cp:lastModifiedBy>
  <cp:revision>1</cp:revision>
  <dcterms:created xsi:type="dcterms:W3CDTF">2021-04-30T18:19:00Z</dcterms:created>
  <dcterms:modified xsi:type="dcterms:W3CDTF">2021-04-30T18:20:00Z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cdb95-1314-481d-8bfc-f32af91e9f96_Enabled">
    <vt:lpwstr>True</vt:lpwstr>
  </property>
  <property fmtid="{D5CDD505-2E9C-101B-9397-08002B2CF9AE}" pid="3" name="MSIP_Label_3accdb95-1314-481d-8bfc-f32af91e9f96_SiteId">
    <vt:lpwstr>f5c6240d-4da8-451c-a7af-2af900d7b75e</vt:lpwstr>
  </property>
  <property fmtid="{D5CDD505-2E9C-101B-9397-08002B2CF9AE}" pid="4" name="MSIP_Label_3accdb95-1314-481d-8bfc-f32af91e9f96_Owner">
    <vt:lpwstr>Buket.akyuerek@hype.de</vt:lpwstr>
  </property>
  <property fmtid="{D5CDD505-2E9C-101B-9397-08002B2CF9AE}" pid="5" name="MSIP_Label_3accdb95-1314-481d-8bfc-f32af91e9f96_SetDate">
    <vt:lpwstr>2021-04-30T18:19:08.0423521Z</vt:lpwstr>
  </property>
  <property fmtid="{D5CDD505-2E9C-101B-9397-08002B2CF9AE}" pid="6" name="MSIP_Label_3accdb95-1314-481d-8bfc-f32af91e9f96_Name">
    <vt:lpwstr>Restricted</vt:lpwstr>
  </property>
  <property fmtid="{D5CDD505-2E9C-101B-9397-08002B2CF9AE}" pid="7" name="MSIP_Label_3accdb95-1314-481d-8bfc-f32af91e9f96_Application">
    <vt:lpwstr>Microsoft Azure Information Protection</vt:lpwstr>
  </property>
  <property fmtid="{D5CDD505-2E9C-101B-9397-08002B2CF9AE}" pid="8" name="MSIP_Label_3accdb95-1314-481d-8bfc-f32af91e9f96_ActionId">
    <vt:lpwstr>d3fdb572-5618-4223-92b0-bf05186b2656</vt:lpwstr>
  </property>
  <property fmtid="{D5CDD505-2E9C-101B-9397-08002B2CF9AE}" pid="9" name="MSIP_Label_3accdb95-1314-481d-8bfc-f32af91e9f96_Extended_MSFT_Method">
    <vt:lpwstr>Automatic</vt:lpwstr>
  </property>
  <property fmtid="{D5CDD505-2E9C-101B-9397-08002B2CF9AE}" pid="10" name="Sensitivity">
    <vt:lpwstr>Restricted</vt:lpwstr>
  </property>
</Properties>
</file>