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228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br/>
        <w:t>Certificate of Compliance</w:t>
        <w:br/>
        <w:t>Model:  Pocket Temp Pro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 12  Months)</w:t>
        <w:br/>
        <w:br/>
      </w:r>
    </w:p>
    <w:p>
      <w:pPr>
        <w:jc w:val="center"/>
      </w:pPr>
      <w:r>
        <w:rPr>
          <w:rFonts w:ascii="Times New Roman" w:hAnsi="Times New Roman"/>
          <w:sz w:val="44"/>
        </w:rPr>
        <w:br/>
        <w:t>The above unit meets the stated specifications as set out in the Manufacturers specification sheet included with the unit &amp; meets the Australian Food Standards requirements.</w:t>
        <w:br/>
        <w:br/>
        <w:br/>
        <w:br/>
        <w:br/>
        <w:t>Signed</w:t>
        <w:tab/>
        <w:tab/>
        <w:t>L.Adams</w:t>
        <w:tab/>
        <w:tab/>
        <w:tab/>
        <w:tab/>
        <w:t xml:space="preserve">Date Issued: 12/00/2020YYY 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