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A2FE" w14:textId="77777777" w:rsidR="00F162A8" w:rsidRDefault="00F162A8" w:rsidP="00F162A8">
      <w:pPr>
        <w:jc w:val="center"/>
        <w:rPr>
          <w:b/>
          <w:bCs/>
        </w:rPr>
      </w:pPr>
      <w:r w:rsidRPr="00CA0768">
        <w:rPr>
          <w:b/>
          <w:bCs/>
        </w:rPr>
        <w:t>Business Questions</w:t>
      </w:r>
    </w:p>
    <w:p w14:paraId="0385E53C" w14:textId="77777777" w:rsidR="00F162A8" w:rsidRPr="00CA0768" w:rsidRDefault="00F162A8" w:rsidP="00F162A8">
      <w:pPr>
        <w:jc w:val="center"/>
        <w:rPr>
          <w:b/>
          <w:bCs/>
        </w:rPr>
      </w:pPr>
    </w:p>
    <w:p w14:paraId="42B7E51F" w14:textId="77777777" w:rsidR="00F162A8" w:rsidRPr="00CA0768" w:rsidRDefault="00F162A8" w:rsidP="00F162A8">
      <w:r w:rsidRPr="00CA0768">
        <w:rPr>
          <w:b/>
          <w:bCs/>
        </w:rPr>
        <w:t>Q1.</w:t>
      </w:r>
      <w:r w:rsidRPr="00CA0768">
        <w:t xml:space="preserve"> What are the monthly trends in online and in-store sales for 2021, and how do they project forward based on assumed growth?</w:t>
      </w:r>
    </w:p>
    <w:p w14:paraId="23DDA430" w14:textId="77777777" w:rsidR="00F162A8" w:rsidRPr="00CA0768" w:rsidRDefault="00F162A8" w:rsidP="00F162A8">
      <w:r w:rsidRPr="00CA0768">
        <w:rPr>
          <w:b/>
          <w:bCs/>
        </w:rPr>
        <w:t>Q2.</w:t>
      </w:r>
      <w:r w:rsidRPr="00CA0768">
        <w:t xml:space="preserve"> Which customer segment is generating the highest sales revenue in each region, and how is that trend changing monthly?</w:t>
      </w:r>
    </w:p>
    <w:p w14:paraId="08F09BAF" w14:textId="77777777" w:rsidR="00F162A8" w:rsidRPr="00CA0768" w:rsidRDefault="00F162A8" w:rsidP="00F162A8">
      <w:r w:rsidRPr="00CA0768">
        <w:pict w14:anchorId="2B843F6C">
          <v:rect id="_x0000_i1025" style="width:0;height:1.5pt" o:hralign="center" o:hrstd="t" o:hr="t" fillcolor="#a0a0a0" stroked="f"/>
        </w:pict>
      </w:r>
    </w:p>
    <w:p w14:paraId="11913EAD" w14:textId="77777777" w:rsidR="00F162A8" w:rsidRPr="00CA0768" w:rsidRDefault="00F162A8" w:rsidP="00F162A8">
      <w:pPr>
        <w:rPr>
          <w:b/>
          <w:bCs/>
        </w:rPr>
      </w:pPr>
      <w:r w:rsidRPr="00CA0768">
        <w:rPr>
          <w:b/>
          <w:bCs/>
        </w:rPr>
        <w:t>Key Findings</w:t>
      </w:r>
    </w:p>
    <w:p w14:paraId="0C1E2BDF" w14:textId="77777777" w:rsidR="00F162A8" w:rsidRPr="00CA0768" w:rsidRDefault="00F162A8" w:rsidP="00F162A8">
      <w:pPr>
        <w:rPr>
          <w:b/>
          <w:bCs/>
        </w:rPr>
      </w:pPr>
      <w:r w:rsidRPr="00CA0768">
        <w:rPr>
          <w:b/>
          <w:bCs/>
        </w:rPr>
        <w:t>1. Sales Channel Trends (Online vs In-Store)</w:t>
      </w:r>
    </w:p>
    <w:p w14:paraId="7C85C640" w14:textId="77777777" w:rsidR="00F162A8" w:rsidRPr="00CA0768" w:rsidRDefault="00F162A8" w:rsidP="00F162A8">
      <w:pPr>
        <w:numPr>
          <w:ilvl w:val="0"/>
          <w:numId w:val="1"/>
        </w:numPr>
      </w:pPr>
      <w:r w:rsidRPr="00CA0768">
        <w:t xml:space="preserve">Online and in-store sales followed </w:t>
      </w:r>
      <w:r w:rsidRPr="00CA0768">
        <w:rPr>
          <w:b/>
          <w:bCs/>
        </w:rPr>
        <w:t>similar monthly patterns</w:t>
      </w:r>
      <w:r w:rsidRPr="00CA0768">
        <w:t xml:space="preserve"> throughout 2021, suggesting shared seasonal drivers such as promotions and holidays.</w:t>
      </w:r>
    </w:p>
    <w:p w14:paraId="331386F4" w14:textId="77777777" w:rsidR="00F162A8" w:rsidRPr="00CA0768" w:rsidRDefault="00F162A8" w:rsidP="00F162A8">
      <w:pPr>
        <w:numPr>
          <w:ilvl w:val="0"/>
          <w:numId w:val="1"/>
        </w:numPr>
      </w:pPr>
      <w:r w:rsidRPr="00CA0768">
        <w:rPr>
          <w:b/>
          <w:bCs/>
        </w:rPr>
        <w:t>In-store sales consistently outperformed online sales</w:t>
      </w:r>
      <w:r w:rsidRPr="00CA0768">
        <w:t>, indicating stronger customer engagement or operational presence in physical retail.</w:t>
      </w:r>
    </w:p>
    <w:p w14:paraId="0F2D024E" w14:textId="77777777" w:rsidR="00F162A8" w:rsidRPr="00CA0768" w:rsidRDefault="00F162A8" w:rsidP="00F162A8">
      <w:pPr>
        <w:numPr>
          <w:ilvl w:val="0"/>
          <w:numId w:val="1"/>
        </w:numPr>
      </w:pPr>
      <w:r w:rsidRPr="00CA0768">
        <w:t xml:space="preserve">The </w:t>
      </w:r>
      <w:r w:rsidRPr="00CA0768">
        <w:rPr>
          <w:b/>
          <w:bCs/>
        </w:rPr>
        <w:t>gap between channels remained relatively narrow</w:t>
      </w:r>
      <w:r w:rsidRPr="00CA0768">
        <w:t xml:space="preserve">, highlighting the importance of a </w:t>
      </w:r>
      <w:r w:rsidRPr="00CA0768">
        <w:rPr>
          <w:b/>
          <w:bCs/>
        </w:rPr>
        <w:t>balanced omnichannel strategy</w:t>
      </w:r>
      <w:r w:rsidRPr="00CA0768">
        <w:t>.</w:t>
      </w:r>
    </w:p>
    <w:p w14:paraId="4CBE1EA3" w14:textId="77777777" w:rsidR="00F162A8" w:rsidRPr="00CA0768" w:rsidRDefault="00F162A8" w:rsidP="00F162A8">
      <w:pPr>
        <w:numPr>
          <w:ilvl w:val="0"/>
          <w:numId w:val="1"/>
        </w:numPr>
      </w:pPr>
      <w:r w:rsidRPr="00CA0768">
        <w:t xml:space="preserve">When growth assumptions (e.g., 5%–10%) were applied, both channels showed </w:t>
      </w:r>
      <w:r w:rsidRPr="00CA0768">
        <w:rPr>
          <w:b/>
          <w:bCs/>
        </w:rPr>
        <w:t>proportional increases</w:t>
      </w:r>
      <w:r w:rsidRPr="00CA0768">
        <w:t>, with peak months delivering the highest projected gains.</w:t>
      </w:r>
    </w:p>
    <w:p w14:paraId="34AA24D0" w14:textId="77777777" w:rsidR="00F162A8" w:rsidRPr="00CA0768" w:rsidRDefault="00F162A8" w:rsidP="00F162A8">
      <w:pPr>
        <w:numPr>
          <w:ilvl w:val="0"/>
          <w:numId w:val="1"/>
        </w:numPr>
      </w:pPr>
      <w:r w:rsidRPr="00CA0768">
        <w:t xml:space="preserve">This suggests future growth is likely to </w:t>
      </w:r>
      <w:r w:rsidRPr="00CA0768">
        <w:rPr>
          <w:b/>
          <w:bCs/>
        </w:rPr>
        <w:t>scale from existing patterns</w:t>
      </w:r>
      <w:r w:rsidRPr="00CA0768">
        <w:t>, reinforcing the value of historical sales data for forecasting.</w:t>
      </w:r>
    </w:p>
    <w:p w14:paraId="7E5311FB" w14:textId="77777777" w:rsidR="00F162A8" w:rsidRPr="00CA0768" w:rsidRDefault="00F162A8" w:rsidP="00F162A8">
      <w:r w:rsidRPr="00CA0768">
        <w:pict w14:anchorId="0B81EBA1">
          <v:rect id="_x0000_i1026" style="width:0;height:1.5pt" o:hralign="center" o:hrstd="t" o:hr="t" fillcolor="#a0a0a0" stroked="f"/>
        </w:pict>
      </w:r>
    </w:p>
    <w:p w14:paraId="53E5C2E4" w14:textId="77777777" w:rsidR="00F162A8" w:rsidRPr="00CA0768" w:rsidRDefault="00F162A8" w:rsidP="00F162A8">
      <w:pPr>
        <w:rPr>
          <w:b/>
          <w:bCs/>
        </w:rPr>
      </w:pPr>
      <w:r w:rsidRPr="00CA0768">
        <w:rPr>
          <w:b/>
          <w:bCs/>
        </w:rPr>
        <w:t>2. Customer Segment Performance</w:t>
      </w:r>
    </w:p>
    <w:p w14:paraId="307296A5" w14:textId="77777777" w:rsidR="00F162A8" w:rsidRPr="00CA0768" w:rsidRDefault="00F162A8" w:rsidP="00F162A8">
      <w:pPr>
        <w:numPr>
          <w:ilvl w:val="0"/>
          <w:numId w:val="2"/>
        </w:numPr>
      </w:pPr>
      <w:r w:rsidRPr="00CA0768">
        <w:t xml:space="preserve">The </w:t>
      </w:r>
      <w:r w:rsidRPr="00CA0768">
        <w:rPr>
          <w:b/>
          <w:bCs/>
        </w:rPr>
        <w:t>Consumer segment</w:t>
      </w:r>
      <w:r w:rsidRPr="00CA0768">
        <w:t xml:space="preserve"> emerged as the </w:t>
      </w:r>
      <w:r w:rsidRPr="00CA0768">
        <w:rPr>
          <w:b/>
          <w:bCs/>
        </w:rPr>
        <w:t>highest revenue-generating segment across all regions</w:t>
      </w:r>
      <w:r w:rsidRPr="00CA0768">
        <w:t>.</w:t>
      </w:r>
    </w:p>
    <w:p w14:paraId="370A0E69" w14:textId="77777777" w:rsidR="00F162A8" w:rsidRPr="00CA0768" w:rsidRDefault="00F162A8" w:rsidP="00F162A8">
      <w:pPr>
        <w:numPr>
          <w:ilvl w:val="0"/>
          <w:numId w:val="2"/>
        </w:numPr>
      </w:pPr>
      <w:r w:rsidRPr="00CA0768">
        <w:t xml:space="preserve">This indicates strong and consistent demand from individual consumers, making this segment a </w:t>
      </w:r>
      <w:r w:rsidRPr="00CA0768">
        <w:rPr>
          <w:b/>
          <w:bCs/>
        </w:rPr>
        <w:t>primary driver of overall revenue</w:t>
      </w:r>
      <w:r w:rsidRPr="00CA0768">
        <w:t>.</w:t>
      </w:r>
    </w:p>
    <w:p w14:paraId="17D79D27" w14:textId="77777777" w:rsidR="00F162A8" w:rsidRPr="00CA0768" w:rsidRDefault="00F162A8" w:rsidP="00F162A8">
      <w:pPr>
        <w:numPr>
          <w:ilvl w:val="0"/>
          <w:numId w:val="2"/>
        </w:numPr>
      </w:pPr>
      <w:r w:rsidRPr="00CA0768">
        <w:t xml:space="preserve">The trend remained stable over time, suggesting </w:t>
      </w:r>
      <w:r w:rsidRPr="00CA0768">
        <w:rPr>
          <w:b/>
          <w:bCs/>
        </w:rPr>
        <w:t>reliable purchasing behavior and engagement</w:t>
      </w:r>
      <w:r w:rsidRPr="00CA0768">
        <w:t>.</w:t>
      </w:r>
    </w:p>
    <w:p w14:paraId="45B48DD3" w14:textId="77777777" w:rsidR="00F162A8" w:rsidRPr="00CA0768" w:rsidRDefault="00F162A8" w:rsidP="00F162A8">
      <w:pPr>
        <w:numPr>
          <w:ilvl w:val="0"/>
          <w:numId w:val="2"/>
        </w:numPr>
      </w:pPr>
      <w:r w:rsidRPr="00CA0768">
        <w:t xml:space="preserve">Targeted marketing and retention strategies focused on this segment could further </w:t>
      </w:r>
      <w:r w:rsidRPr="00CA0768">
        <w:rPr>
          <w:b/>
          <w:bCs/>
        </w:rPr>
        <w:t>enhance revenue growth</w:t>
      </w:r>
      <w:r w:rsidRPr="00CA0768">
        <w:t>.</w:t>
      </w:r>
    </w:p>
    <w:p w14:paraId="3AB1BB62" w14:textId="77777777" w:rsidR="00F162A8" w:rsidRPr="00CA0768" w:rsidRDefault="00F162A8" w:rsidP="00F162A8">
      <w:r w:rsidRPr="00CA0768">
        <w:pict w14:anchorId="1239275A">
          <v:rect id="_x0000_i1027" style="width:0;height:1.5pt" o:hralign="center" o:hrstd="t" o:hr="t" fillcolor="#a0a0a0" stroked="f"/>
        </w:pict>
      </w:r>
    </w:p>
    <w:p w14:paraId="4F6E6F60" w14:textId="77777777" w:rsidR="00F162A8" w:rsidRPr="00CA0768" w:rsidRDefault="00F162A8" w:rsidP="00F162A8">
      <w:pPr>
        <w:rPr>
          <w:b/>
          <w:bCs/>
        </w:rPr>
      </w:pPr>
      <w:r w:rsidRPr="00CA0768">
        <w:rPr>
          <w:b/>
          <w:bCs/>
        </w:rPr>
        <w:t>Assumptions</w:t>
      </w:r>
    </w:p>
    <w:p w14:paraId="5AB3885F" w14:textId="77777777" w:rsidR="00F162A8" w:rsidRPr="00CA0768" w:rsidRDefault="00F162A8" w:rsidP="00F162A8">
      <w:pPr>
        <w:numPr>
          <w:ilvl w:val="0"/>
          <w:numId w:val="3"/>
        </w:numPr>
      </w:pPr>
      <w:r w:rsidRPr="00CA0768">
        <w:t>Sales data accurately reflects all completed transactions for 2021.</w:t>
      </w:r>
    </w:p>
    <w:p w14:paraId="34837DD4" w14:textId="77777777" w:rsidR="00F162A8" w:rsidRPr="00CA0768" w:rsidRDefault="00F162A8" w:rsidP="00F162A8">
      <w:pPr>
        <w:numPr>
          <w:ilvl w:val="0"/>
          <w:numId w:val="3"/>
        </w:numPr>
      </w:pPr>
      <w:r w:rsidRPr="00CA0768">
        <w:t>Online and in-store channels are consistently defined and reported across regions.</w:t>
      </w:r>
    </w:p>
    <w:p w14:paraId="337EF546" w14:textId="77777777" w:rsidR="00F162A8" w:rsidRPr="00CA0768" w:rsidRDefault="00F162A8" w:rsidP="00F162A8">
      <w:pPr>
        <w:numPr>
          <w:ilvl w:val="0"/>
          <w:numId w:val="3"/>
        </w:numPr>
      </w:pPr>
      <w:r w:rsidRPr="00CA0768">
        <w:lastRenderedPageBreak/>
        <w:t xml:space="preserve">Applied growth projections (e.g., 5% or 10%) assume </w:t>
      </w:r>
      <w:r w:rsidRPr="00CA0768">
        <w:rPr>
          <w:b/>
          <w:bCs/>
        </w:rPr>
        <w:t>steady market conditions</w:t>
      </w:r>
      <w:r w:rsidRPr="00CA0768">
        <w:t xml:space="preserve"> without major economic or operational disruptions.</w:t>
      </w:r>
    </w:p>
    <w:p w14:paraId="28944E4E" w14:textId="77777777" w:rsidR="00F162A8" w:rsidRPr="00CA0768" w:rsidRDefault="00F162A8" w:rsidP="00F162A8">
      <w:pPr>
        <w:numPr>
          <w:ilvl w:val="0"/>
          <w:numId w:val="3"/>
        </w:numPr>
      </w:pPr>
      <w:r w:rsidRPr="00CA0768">
        <w:t>Customer segmentation is assumed to be correctly classified and stable over the analysis period.</w:t>
      </w:r>
    </w:p>
    <w:p w14:paraId="5C8CD1F0" w14:textId="77777777" w:rsidR="00F162A8" w:rsidRPr="00CA0768" w:rsidRDefault="00F162A8" w:rsidP="00F162A8">
      <w:r w:rsidRPr="00CA0768">
        <w:pict w14:anchorId="35A77373">
          <v:rect id="_x0000_i1028" style="width:0;height:1.5pt" o:hralign="center" o:hrstd="t" o:hr="t" fillcolor="#a0a0a0" stroked="f"/>
        </w:pict>
      </w:r>
    </w:p>
    <w:p w14:paraId="215EC898" w14:textId="77777777" w:rsidR="00F162A8" w:rsidRPr="00CA0768" w:rsidRDefault="00F162A8" w:rsidP="00F162A8">
      <w:pPr>
        <w:rPr>
          <w:b/>
          <w:bCs/>
        </w:rPr>
      </w:pPr>
      <w:r w:rsidRPr="00CA0768">
        <w:rPr>
          <w:b/>
          <w:bCs/>
        </w:rPr>
        <w:t>Limitations</w:t>
      </w:r>
    </w:p>
    <w:p w14:paraId="4C4231FB" w14:textId="77777777" w:rsidR="00F162A8" w:rsidRPr="00CA0768" w:rsidRDefault="00F162A8" w:rsidP="00F162A8">
      <w:pPr>
        <w:numPr>
          <w:ilvl w:val="0"/>
          <w:numId w:val="4"/>
        </w:numPr>
      </w:pPr>
      <w:r w:rsidRPr="00CA0768">
        <w:t xml:space="preserve">The analysis is limited to </w:t>
      </w:r>
      <w:r w:rsidRPr="00CA0768">
        <w:rPr>
          <w:b/>
          <w:bCs/>
        </w:rPr>
        <w:t>historical data from 2021</w:t>
      </w:r>
      <w:r w:rsidRPr="00CA0768">
        <w:t xml:space="preserve"> and does not account for external shocks such as economic changes or supply chain disruptions.</w:t>
      </w:r>
    </w:p>
    <w:p w14:paraId="22843DF5" w14:textId="77777777" w:rsidR="00F162A8" w:rsidRPr="00CA0768" w:rsidRDefault="00F162A8" w:rsidP="00F162A8">
      <w:pPr>
        <w:numPr>
          <w:ilvl w:val="0"/>
          <w:numId w:val="4"/>
        </w:numPr>
      </w:pPr>
      <w:r w:rsidRPr="00CA0768">
        <w:t xml:space="preserve">Growth projections are </w:t>
      </w:r>
      <w:r w:rsidRPr="00CA0768">
        <w:rPr>
          <w:b/>
          <w:bCs/>
        </w:rPr>
        <w:t>scenario-based</w:t>
      </w:r>
      <w:r w:rsidRPr="00CA0768">
        <w:t>, not predictive models, and should be interpreted as illustrative.</w:t>
      </w:r>
    </w:p>
    <w:p w14:paraId="46499654" w14:textId="77777777" w:rsidR="00F162A8" w:rsidRPr="00CA0768" w:rsidRDefault="00F162A8" w:rsidP="00F162A8">
      <w:pPr>
        <w:numPr>
          <w:ilvl w:val="0"/>
          <w:numId w:val="4"/>
        </w:numPr>
      </w:pPr>
      <w:r w:rsidRPr="00CA0768">
        <w:t xml:space="preserve">Customer behavior insights are derived from </w:t>
      </w:r>
      <w:r w:rsidRPr="00CA0768">
        <w:rPr>
          <w:b/>
          <w:bCs/>
        </w:rPr>
        <w:t>aggregated data</w:t>
      </w:r>
      <w:r w:rsidRPr="00CA0768">
        <w:t>, which may mask individual-level variations.</w:t>
      </w:r>
    </w:p>
    <w:p w14:paraId="1018E272" w14:textId="77777777" w:rsidR="00F162A8" w:rsidRPr="00CA0768" w:rsidRDefault="00F162A8" w:rsidP="00F162A8">
      <w:pPr>
        <w:numPr>
          <w:ilvl w:val="0"/>
          <w:numId w:val="4"/>
        </w:numPr>
      </w:pPr>
      <w:r w:rsidRPr="00CA0768">
        <w:t>The dataset does not capture qualitative drivers such as customer satisfaction or marketing campaign effectiveness.</w:t>
      </w:r>
    </w:p>
    <w:p w14:paraId="25B3DF4C" w14:textId="77777777" w:rsidR="00F162A8" w:rsidRPr="00CA0768" w:rsidRDefault="00F162A8" w:rsidP="00F162A8">
      <w:r w:rsidRPr="00CA0768">
        <w:pict w14:anchorId="7404CEC0">
          <v:rect id="_x0000_i1029" style="width:0;height:1.5pt" o:hralign="center" o:hrstd="t" o:hr="t" fillcolor="#a0a0a0" stroked="f"/>
        </w:pict>
      </w:r>
    </w:p>
    <w:p w14:paraId="008A1CB6" w14:textId="77777777" w:rsidR="00F162A8" w:rsidRPr="00CA0768" w:rsidRDefault="00F162A8" w:rsidP="00F162A8">
      <w:pPr>
        <w:rPr>
          <w:b/>
          <w:bCs/>
        </w:rPr>
      </w:pPr>
      <w:r w:rsidRPr="00CA0768">
        <w:rPr>
          <w:b/>
          <w:bCs/>
        </w:rPr>
        <w:t>Business Implications</w:t>
      </w:r>
    </w:p>
    <w:p w14:paraId="4D7C2B23" w14:textId="77777777" w:rsidR="00F162A8" w:rsidRPr="00CA0768" w:rsidRDefault="00F162A8" w:rsidP="00F162A8">
      <w:pPr>
        <w:numPr>
          <w:ilvl w:val="0"/>
          <w:numId w:val="5"/>
        </w:numPr>
      </w:pPr>
      <w:r w:rsidRPr="00CA0768">
        <w:t xml:space="preserve">Maintaining a </w:t>
      </w:r>
      <w:r w:rsidRPr="00CA0768">
        <w:rPr>
          <w:b/>
          <w:bCs/>
        </w:rPr>
        <w:t>balanced omnichannel strategy</w:t>
      </w:r>
      <w:r w:rsidRPr="00CA0768">
        <w:t xml:space="preserve"> is critical, as both channels contribute meaningfully to revenue.</w:t>
      </w:r>
    </w:p>
    <w:p w14:paraId="2F8FC053" w14:textId="77777777" w:rsidR="00F162A8" w:rsidRPr="00CA0768" w:rsidRDefault="00F162A8" w:rsidP="00F162A8">
      <w:pPr>
        <w:numPr>
          <w:ilvl w:val="0"/>
          <w:numId w:val="5"/>
        </w:numPr>
      </w:pPr>
      <w:r w:rsidRPr="00CA0768">
        <w:t xml:space="preserve">The Consumer segment should remain a </w:t>
      </w:r>
      <w:r w:rsidRPr="00CA0768">
        <w:rPr>
          <w:b/>
          <w:bCs/>
        </w:rPr>
        <w:t>strategic focus</w:t>
      </w:r>
      <w:r w:rsidRPr="00CA0768">
        <w:t xml:space="preserve"> for marketing, retention, and personalization efforts.</w:t>
      </w:r>
    </w:p>
    <w:p w14:paraId="38D1F097" w14:textId="77777777" w:rsidR="00F162A8" w:rsidRPr="00CA0768" w:rsidRDefault="00F162A8" w:rsidP="00F162A8">
      <w:pPr>
        <w:numPr>
          <w:ilvl w:val="0"/>
          <w:numId w:val="5"/>
        </w:numPr>
      </w:pPr>
      <w:r w:rsidRPr="00CA0768">
        <w:t xml:space="preserve">Historical trends can effectively support </w:t>
      </w:r>
      <w:r w:rsidRPr="00CA0768">
        <w:rPr>
          <w:b/>
          <w:bCs/>
        </w:rPr>
        <w:t xml:space="preserve">short-term </w:t>
      </w:r>
      <w:proofErr w:type="gramStart"/>
      <w:r w:rsidRPr="00CA0768">
        <w:rPr>
          <w:b/>
          <w:bCs/>
        </w:rPr>
        <w:t>forecasting</w:t>
      </w:r>
      <w:r w:rsidRPr="00CA0768">
        <w:t>, but</w:t>
      </w:r>
      <w:proofErr w:type="gramEnd"/>
      <w:r w:rsidRPr="00CA0768">
        <w:t xml:space="preserve"> should be complemented with external data for long-term planning.</w:t>
      </w:r>
    </w:p>
    <w:p w14:paraId="6907B2C9" w14:textId="77777777" w:rsidR="00F162A8" w:rsidRDefault="00F162A8" w:rsidP="00F162A8"/>
    <w:p w14:paraId="735D5EEE" w14:textId="77777777" w:rsidR="00A2092A" w:rsidRDefault="00A2092A"/>
    <w:sectPr w:rsidR="00A20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BA8"/>
    <w:multiLevelType w:val="multilevel"/>
    <w:tmpl w:val="4726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C6C9C"/>
    <w:multiLevelType w:val="multilevel"/>
    <w:tmpl w:val="BCE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520F7"/>
    <w:multiLevelType w:val="multilevel"/>
    <w:tmpl w:val="A56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A2402"/>
    <w:multiLevelType w:val="multilevel"/>
    <w:tmpl w:val="2E8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90C9B"/>
    <w:multiLevelType w:val="multilevel"/>
    <w:tmpl w:val="8E3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395402">
    <w:abstractNumId w:val="3"/>
  </w:num>
  <w:num w:numId="2" w16cid:durableId="1161191097">
    <w:abstractNumId w:val="0"/>
  </w:num>
  <w:num w:numId="3" w16cid:durableId="1170950481">
    <w:abstractNumId w:val="1"/>
  </w:num>
  <w:num w:numId="4" w16cid:durableId="640308810">
    <w:abstractNumId w:val="4"/>
  </w:num>
  <w:num w:numId="5" w16cid:durableId="1692803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A8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107624"/>
    <w:rsid w:val="00127490"/>
    <w:rsid w:val="00130E88"/>
    <w:rsid w:val="001325C2"/>
    <w:rsid w:val="00135AFC"/>
    <w:rsid w:val="00140E6D"/>
    <w:rsid w:val="00157074"/>
    <w:rsid w:val="00167B84"/>
    <w:rsid w:val="00192C70"/>
    <w:rsid w:val="00196098"/>
    <w:rsid w:val="001C3E0C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4302"/>
    <w:rsid w:val="0042381D"/>
    <w:rsid w:val="00424A1C"/>
    <w:rsid w:val="00425554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36F4"/>
    <w:rsid w:val="006A4066"/>
    <w:rsid w:val="006B495B"/>
    <w:rsid w:val="006C612E"/>
    <w:rsid w:val="006C706B"/>
    <w:rsid w:val="006D027D"/>
    <w:rsid w:val="006D4EF8"/>
    <w:rsid w:val="006F7DF1"/>
    <w:rsid w:val="00722817"/>
    <w:rsid w:val="007314D9"/>
    <w:rsid w:val="00741758"/>
    <w:rsid w:val="007441F2"/>
    <w:rsid w:val="00751ED8"/>
    <w:rsid w:val="0076172A"/>
    <w:rsid w:val="00762BD0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01CB"/>
    <w:rsid w:val="009E6EA8"/>
    <w:rsid w:val="00A1616A"/>
    <w:rsid w:val="00A170FE"/>
    <w:rsid w:val="00A206F5"/>
    <w:rsid w:val="00A2092A"/>
    <w:rsid w:val="00A244A8"/>
    <w:rsid w:val="00A33BD6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4AC6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369"/>
    <w:rsid w:val="00D5289D"/>
    <w:rsid w:val="00D67641"/>
    <w:rsid w:val="00D7548D"/>
    <w:rsid w:val="00D850F3"/>
    <w:rsid w:val="00D922AE"/>
    <w:rsid w:val="00DA14E0"/>
    <w:rsid w:val="00DA7E98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7F7B"/>
    <w:rsid w:val="00EF5B86"/>
    <w:rsid w:val="00F02101"/>
    <w:rsid w:val="00F048BA"/>
    <w:rsid w:val="00F12BD9"/>
    <w:rsid w:val="00F162A8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EA42"/>
  <w15:chartTrackingRefBased/>
  <w15:docId w15:val="{76E13C42-F96F-4ED4-A322-D6EBE6B9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370</Words>
  <Characters>2370</Characters>
  <Application>Microsoft Office Word</Application>
  <DocSecurity>0</DocSecurity>
  <Lines>53</Lines>
  <Paragraphs>29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2025-12-21T22:42:00Z</dcterms:created>
  <dcterms:modified xsi:type="dcterms:W3CDTF">2025-12-21T22:46:00Z</dcterms:modified>
</cp:coreProperties>
</file>