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ANALYTICS: CAPSTONE PROJECT</w:t>
        <w:br/>
        <w:t>Consumer Credit Risk &amp; Default Prediction System</w:t>
      </w:r>
    </w:p>
    <w:p>
      <w:pPr>
        <w:pStyle w:val="Heading2"/>
      </w:pPr>
      <w:r>
        <w:t>PHASE 1: Who is your client?</w:t>
      </w:r>
    </w:p>
    <w:p>
      <w:pPr>
        <w:pStyle w:val="Heading3"/>
      </w:pPr>
      <w:r>
        <w:t>Our Client and Audience</w:t>
      </w:r>
    </w:p>
    <w:p>
      <w:r>
        <w:t>The client for this project is a consumer lending institution (bank, credit union, or fintech lender). The primary audience includes credit risk analysts, underwriting teams, portfolio managers, and senior finance leadership.</w:t>
      </w:r>
    </w:p>
    <w:p>
      <w:pPr>
        <w:pStyle w:val="Heading3"/>
      </w:pPr>
      <w:r>
        <w:t>Scenario</w:t>
      </w:r>
    </w:p>
    <w:p>
      <w:r>
        <w:t>The analytics team is engaged to build a data-driven credit risk assessment system that evaluates borrower behavior, predicts probability of default, and identifies key drivers of credit risk to support underwriting and portfolio decisions.</w:t>
      </w:r>
    </w:p>
    <w:p>
      <w:pPr>
        <w:pStyle w:val="Heading3"/>
      </w:pPr>
      <w:r>
        <w:t>Why is this analysis valuable?</w:t>
      </w:r>
    </w:p>
    <w:p>
      <w:pPr>
        <w:pStyle w:val="ListBullet"/>
      </w:pPr>
      <w:r>
        <w:t>Early identification of high-risk borrowers</w:t>
      </w:r>
    </w:p>
    <w:p>
      <w:pPr>
        <w:pStyle w:val="ListBullet"/>
      </w:pPr>
      <w:r>
        <w:t>Improved underwriting and risk-based pricing decisions</w:t>
      </w:r>
    </w:p>
    <w:p>
      <w:pPr>
        <w:pStyle w:val="ListBullet"/>
      </w:pPr>
      <w:r>
        <w:t>Proactive portfolio risk monitoring</w:t>
      </w:r>
    </w:p>
    <w:p>
      <w:pPr>
        <w:pStyle w:val="ListBullet"/>
      </w:pPr>
      <w:r>
        <w:t>Transparent and explainable credit analytics aligned with governance standards</w:t>
      </w:r>
    </w:p>
    <w:p>
      <w:pPr>
        <w:pStyle w:val="Heading3"/>
      </w:pPr>
      <w:r>
        <w:t>Mission Statement</w:t>
      </w:r>
    </w:p>
    <w:p>
      <w:r>
        <w:t>Purpose: Assess consumer credit risk using borrower and loan performance data.</w:t>
        <w:br/>
        <w:t>Objective: Apply statistical analysis, machine learning, SQL, and BI tools to predict default probability.</w:t>
        <w:br/>
        <w:t>Goal: Support better credit decisions and reduce expected credit losses.</w:t>
      </w:r>
    </w:p>
    <w:p>
      <w:pPr>
        <w:pStyle w:val="Heading3"/>
      </w:pPr>
      <w:r>
        <w:t>Project Mission Statement</w:t>
      </w:r>
    </w:p>
    <w:p>
      <w:r>
        <w:t>To analyze consumer loan and borrower data to predict default risk, identify key credit drivers, and deliver explainable insights that support effective credit risk management.</w:t>
      </w:r>
    </w:p>
    <w:p>
      <w:pPr>
        <w:pStyle w:val="Heading3"/>
      </w:pPr>
      <w:r>
        <w:t>Stakeholders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Interest</w:t>
            </w:r>
          </w:p>
        </w:tc>
        <w:tc>
          <w:tcPr>
            <w:tcW w:type="dxa" w:w="2880"/>
          </w:tcPr>
          <w:p>
            <w:r>
              <w:t>Impact of Analysis</w:t>
            </w:r>
          </w:p>
        </w:tc>
      </w:tr>
      <w:tr>
        <w:tc>
          <w:tcPr>
            <w:tcW w:type="dxa" w:w="2880"/>
          </w:tcPr>
          <w:p>
            <w:r>
              <w:t>Credit Risk Analysts</w:t>
            </w:r>
          </w:p>
        </w:tc>
        <w:tc>
          <w:tcPr>
            <w:tcW w:type="dxa" w:w="2880"/>
          </w:tcPr>
          <w:p>
            <w:r>
              <w:t>Understand drivers of default</w:t>
            </w:r>
          </w:p>
        </w:tc>
        <w:tc>
          <w:tcPr>
            <w:tcW w:type="dxa" w:w="2880"/>
          </w:tcPr>
          <w:p>
            <w:r>
              <w:t>Improves risk segmentation and monitoring</w:t>
            </w:r>
          </w:p>
        </w:tc>
      </w:tr>
      <w:tr>
        <w:tc>
          <w:tcPr>
            <w:tcW w:type="dxa" w:w="2880"/>
          </w:tcPr>
          <w:p>
            <w:r>
              <w:t>Underwriting Teams</w:t>
            </w:r>
          </w:p>
        </w:tc>
        <w:tc>
          <w:tcPr>
            <w:tcW w:type="dxa" w:w="2880"/>
          </w:tcPr>
          <w:p>
            <w:r>
              <w:t>Better approve/decline decisions</w:t>
            </w:r>
          </w:p>
        </w:tc>
        <w:tc>
          <w:tcPr>
            <w:tcW w:type="dxa" w:w="2880"/>
          </w:tcPr>
          <w:p>
            <w:r>
              <w:t>Enhances loan portfolio quality</w:t>
            </w:r>
          </w:p>
        </w:tc>
      </w:tr>
      <w:tr>
        <w:tc>
          <w:tcPr>
            <w:tcW w:type="dxa" w:w="2880"/>
          </w:tcPr>
          <w:p>
            <w:r>
              <w:t>Portfolio Managers</w:t>
            </w:r>
          </w:p>
        </w:tc>
        <w:tc>
          <w:tcPr>
            <w:tcW w:type="dxa" w:w="2880"/>
          </w:tcPr>
          <w:p>
            <w:r>
              <w:t>Control exposure and losses</w:t>
            </w:r>
          </w:p>
        </w:tc>
        <w:tc>
          <w:tcPr>
            <w:tcW w:type="dxa" w:w="2880"/>
          </w:tcPr>
          <w:p>
            <w:r>
              <w:t>Supports proactive risk mitigation</w:t>
            </w:r>
          </w:p>
        </w:tc>
      </w:tr>
      <w:tr>
        <w:tc>
          <w:tcPr>
            <w:tcW w:type="dxa" w:w="2880"/>
          </w:tcPr>
          <w:p>
            <w:r>
              <w:t>Senior Finance Leadership</w:t>
            </w:r>
          </w:p>
        </w:tc>
        <w:tc>
          <w:tcPr>
            <w:tcW w:type="dxa" w:w="2880"/>
          </w:tcPr>
          <w:p>
            <w:r>
              <w:t>Strategic risk oversight</w:t>
            </w:r>
          </w:p>
        </w:tc>
        <w:tc>
          <w:tcPr>
            <w:tcW w:type="dxa" w:w="2880"/>
          </w:tcPr>
          <w:p>
            <w:r>
              <w:t>Enables data-driven decisions</w:t>
            </w:r>
          </w:p>
        </w:tc>
      </w:tr>
      <w:tr>
        <w:tc>
          <w:tcPr>
            <w:tcW w:type="dxa" w:w="2880"/>
          </w:tcPr>
          <w:p>
            <w:r>
              <w:t>Compliance &amp; Governance</w:t>
            </w:r>
          </w:p>
        </w:tc>
        <w:tc>
          <w:tcPr>
            <w:tcW w:type="dxa" w:w="2880"/>
          </w:tcPr>
          <w:p>
            <w:r>
              <w:t>Model transparency</w:t>
            </w:r>
          </w:p>
        </w:tc>
        <w:tc>
          <w:tcPr>
            <w:tcW w:type="dxa" w:w="2880"/>
          </w:tcPr>
          <w:p>
            <w:r>
              <w:t>Supports auditability and explainability</w:t>
            </w:r>
          </w:p>
        </w:tc>
      </w:tr>
    </w:tbl>
    <w:p>
      <w:pPr>
        <w:pStyle w:val="Heading3"/>
      </w:pPr>
      <w:r>
        <w:t>Business Questions</w:t>
      </w:r>
    </w:p>
    <w:p>
      <w:pPr>
        <w:pStyle w:val="ListNumber"/>
      </w:pPr>
      <w:r>
        <w:t>Which borrower segments exhibit the highest probability of default?</w:t>
      </w:r>
    </w:p>
    <w:p>
      <w:pPr>
        <w:pStyle w:val="ListNumber"/>
      </w:pPr>
      <w:r>
        <w:t>How do utilization and income-to-debt ratios influence default risk?</w:t>
      </w:r>
    </w:p>
    <w:p>
      <w:pPr>
        <w:pStyle w:val="ListNumber"/>
      </w:pPr>
      <w:r>
        <w:t>Which loan products contribute the most to expected loss?</w:t>
      </w:r>
    </w:p>
    <w:p>
      <w:pPr>
        <w:pStyle w:val="ListNumber"/>
      </w:pPr>
      <w:r>
        <w:t>How does portfolio risk change under economic stress scenarios?</w:t>
      </w:r>
    </w:p>
    <w:p>
      <w:pPr>
        <w:pStyle w:val="Heading3"/>
      </w:pPr>
      <w:r>
        <w:t>Dataset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Source</w:t>
            </w:r>
          </w:p>
        </w:tc>
        <w:tc>
          <w:tcPr>
            <w:tcW w:type="dxa" w:w="2880"/>
          </w:tcPr>
          <w:p>
            <w:r>
              <w:t>Description</w:t>
            </w:r>
          </w:p>
        </w:tc>
      </w:tr>
      <w:tr>
        <w:tc>
          <w:tcPr>
            <w:tcW w:type="dxa" w:w="2880"/>
          </w:tcPr>
          <w:p>
            <w:r>
              <w:t>LendingClub Loan Data</w:t>
            </w:r>
          </w:p>
        </w:tc>
        <w:tc>
          <w:tcPr>
            <w:tcW w:type="dxa" w:w="2880"/>
          </w:tcPr>
          <w:p>
            <w:r>
              <w:t>Kaggle</w:t>
            </w:r>
          </w:p>
        </w:tc>
        <w:tc>
          <w:tcPr>
            <w:tcW w:type="dxa" w:w="2880"/>
          </w:tcPr>
          <w:p>
            <w:r>
              <w:t>Consumer loan performance, borrower demographics, payment history</w:t>
            </w:r>
          </w:p>
        </w:tc>
      </w:tr>
      <w:tr>
        <w:tc>
          <w:tcPr>
            <w:tcW w:type="dxa" w:w="2880"/>
          </w:tcPr>
          <w:p>
            <w:r>
              <w:t>Home Credit Default Risk</w:t>
            </w:r>
          </w:p>
        </w:tc>
        <w:tc>
          <w:tcPr>
            <w:tcW w:type="dxa" w:w="2880"/>
          </w:tcPr>
          <w:p>
            <w:r>
              <w:t>Kaggle</w:t>
            </w:r>
          </w:p>
        </w:tc>
        <w:tc>
          <w:tcPr>
            <w:tcW w:type="dxa" w:w="2880"/>
          </w:tcPr>
          <w:p>
            <w:r>
              <w:t>Borrower characteristics, credit history, default outcomes</w:t>
            </w:r>
          </w:p>
        </w:tc>
      </w:tr>
    </w:tbl>
    <w:p>
      <w:pPr>
        <w:pStyle w:val="Heading2"/>
      </w:pPr>
      <w:r>
        <w:t>PHASE 2: Project Scope and Parameters</w:t>
      </w:r>
    </w:p>
    <w:p>
      <w:pPr>
        <w:pStyle w:val="Heading3"/>
      </w:pPr>
      <w:r>
        <w:t>Timeline &amp;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Responsibilities</w:t>
            </w:r>
          </w:p>
        </w:tc>
      </w:tr>
      <w:tr>
        <w:tc>
          <w:tcPr>
            <w:tcW w:type="dxa" w:w="2880"/>
          </w:tcPr>
          <w:p>
            <w:r>
              <w:t>Data Preparation &amp; SQL Modeling</w:t>
            </w:r>
          </w:p>
        </w:tc>
        <w:tc>
          <w:tcPr>
            <w:tcW w:type="dxa" w:w="2880"/>
          </w:tcPr>
          <w:p>
            <w:r>
              <w:t>Weeks 1–2</w:t>
            </w:r>
          </w:p>
        </w:tc>
        <w:tc>
          <w:tcPr>
            <w:tcW w:type="dxa" w:w="2880"/>
          </w:tcPr>
          <w:p>
            <w:r>
              <w:t>Data cleaning, feature engineering, star schema design</w:t>
            </w:r>
          </w:p>
        </w:tc>
      </w:tr>
      <w:tr>
        <w:tc>
          <w:tcPr>
            <w:tcW w:type="dxa" w:w="2880"/>
          </w:tcPr>
          <w:p>
            <w:r>
              <w:t>Analysis &amp; Modeling</w:t>
            </w:r>
          </w:p>
        </w:tc>
        <w:tc>
          <w:tcPr>
            <w:tcW w:type="dxa" w:w="2880"/>
          </w:tcPr>
          <w:p>
            <w:r>
              <w:t>Weeks 3–4</w:t>
            </w:r>
          </w:p>
        </w:tc>
        <w:tc>
          <w:tcPr>
            <w:tcW w:type="dxa" w:w="2880"/>
          </w:tcPr>
          <w:p>
            <w:r>
              <w:t>Risk analysis, ML and statistical modeling, validation</w:t>
            </w:r>
          </w:p>
        </w:tc>
      </w:tr>
      <w:tr>
        <w:tc>
          <w:tcPr>
            <w:tcW w:type="dxa" w:w="2880"/>
          </w:tcPr>
          <w:p>
            <w:r>
              <w:t>Visualization &amp; Delivery</w:t>
            </w:r>
          </w:p>
        </w:tc>
        <w:tc>
          <w:tcPr>
            <w:tcW w:type="dxa" w:w="2880"/>
          </w:tcPr>
          <w:p>
            <w:r>
              <w:t>Week 5</w:t>
            </w:r>
          </w:p>
        </w:tc>
        <w:tc>
          <w:tcPr>
            <w:tcW w:type="dxa" w:w="2880"/>
          </w:tcPr>
          <w:p>
            <w:r>
              <w:t>Power BI dashboards, insights, final presentation</w:t>
            </w:r>
          </w:p>
        </w:tc>
      </w:tr>
    </w:tbl>
    <w:p>
      <w:r>
        <w:br w:type="page"/>
      </w:r>
    </w:p>
    <w:p>
      <w:pPr>
        <w:pStyle w:val="Heading1"/>
      </w:pPr>
      <w:r>
        <w:t>PHASE 3: The Written Proposal</w:t>
      </w:r>
    </w:p>
    <w:p>
      <w:pPr>
        <w:pStyle w:val="Heading2"/>
      </w:pPr>
      <w:r>
        <w:t>Client Description and Need for Data Analysis</w:t>
      </w:r>
    </w:p>
    <w:p>
      <w:r>
        <w:t>The client for this project is a consumer lending institution such as a bank, credit union, or fintech lender. These organizations manage large portfolios of consumer loans and face financial risk when borrowers fail to meet repayment obligations. As portfolio complexity increases, data-driven credit risk analysis becomes essential for accurate underwriting, monitoring, and risk mitigation.</w:t>
      </w:r>
    </w:p>
    <w:p>
      <w:pPr>
        <w:pStyle w:val="Heading2"/>
      </w:pPr>
      <w:r>
        <w:t>Purpose and Intended Benefits</w:t>
      </w:r>
    </w:p>
    <w:p>
      <w:r>
        <w:t>The purpose of this analysis is to predict probability of default and identify the primary drivers of consumer credit risk. The intended benefits include improved underwriting consistency, early identification of high-risk borrowers, enhanced portfolio monitoring, and increased transparency in credit decision-making.</w:t>
      </w:r>
    </w:p>
    <w:p>
      <w:pPr>
        <w:pStyle w:val="Heading2"/>
      </w:pPr>
      <w:r>
        <w:t>Organizational Processes That Benefit from the Analysis</w:t>
      </w:r>
    </w:p>
    <w:p>
      <w:r>
        <w:t>Key organizational processes supported by this analysis include credit underwriting, portfolio risk monitoring, and strategic risk management. The insights generated assist both operational and executive-level decision-making.</w:t>
      </w:r>
    </w:p>
    <w:p>
      <w:pPr>
        <w:pStyle w:val="Heading2"/>
      </w:pPr>
      <w:r>
        <w:t>Ranking of Analytics Activities</w:t>
      </w:r>
    </w:p>
    <w:p>
      <w:r>
        <w:t>1. Exploration and segmentation of default risk</w:t>
      </w:r>
    </w:p>
    <w:p>
      <w:r>
        <w:t>2. Predictive modeling of probability of default</w:t>
      </w:r>
    </w:p>
    <w:p>
      <w:r>
        <w:t>3. Portfolio-level aggregation and visualization of risk</w:t>
      </w:r>
    </w:p>
    <w:p>
      <w:pPr>
        <w:pStyle w:val="Heading2"/>
      </w:pPr>
      <w:r>
        <w:t>Justification of Choices and Decisions</w:t>
      </w:r>
    </w:p>
    <w:p>
      <w:r>
        <w:t>Public consumer lending datasets were selected due to their similarity to real-world credit portfolios and their suitability for probability of default modeling. Interpretable and widely accepted modeling techniques were chosen to align with financial risk governance standards.</w:t>
      </w:r>
    </w:p>
    <w:p>
      <w:pPr>
        <w:pStyle w:val="Heading2"/>
      </w:pPr>
      <w:r>
        <w:t>Architectural Overview of the Data Analysis Process</w:t>
      </w:r>
    </w:p>
    <w:p>
      <w:r>
        <w:t>The analysis follows a structured workflow consisting of data preparation, exploratory analysis, modeling, model evaluation, and communication. Each phase builds upon the previous step to ensure analytical rigor and business relevance.</w:t>
      </w:r>
    </w:p>
    <w:p>
      <w:pPr>
        <w:pStyle w:val="Heading2"/>
      </w:pPr>
      <w:r>
        <w:t>Cost, Resources, and Tools Required</w:t>
      </w:r>
    </w:p>
    <w:p>
      <w:r>
        <w:t>This project incurs no financial cost, as all datasets and tools are publicly available. Tools include SQL for data modeling, Python and R for analysis and modeling, and Power BI for visualization.</w:t>
      </w:r>
    </w:p>
    <w:p>
      <w:pPr>
        <w:pStyle w:val="Heading2"/>
      </w:pPr>
      <w:r>
        <w:t>Business Questions</w:t>
      </w:r>
    </w:p>
    <w:p>
      <w:r>
        <w:t>Which borrower segments exhibit the highest probability of default?</w:t>
        <w:br/>
        <w:t>How do borrower behavior and loan characteristics influence default risk?</w:t>
        <w:br/>
        <w:t>Which loan products contribute the most to portfolio-level expected loss?</w:t>
      </w:r>
    </w:p>
    <w:p>
      <w:pPr>
        <w:pStyle w:val="Heading2"/>
      </w:pPr>
      <w:r>
        <w:t>Tasks</w:t>
      </w:r>
    </w:p>
    <w:p>
      <w:r>
        <w:t>Data preparation, exploratory analysis, predictive modeling, model evaluation, and insight communication.</w:t>
      </w:r>
    </w:p>
    <w:p>
      <w:r>
        <w:br w:type="page"/>
      </w:r>
    </w:p>
    <w:p>
      <w:pPr>
        <w:pStyle w:val="Heading1"/>
      </w:pPr>
      <w:r>
        <w:t>PHASE 4: Final Analysis, Results, and Communication</w:t>
      </w:r>
    </w:p>
    <w:p>
      <w:pPr>
        <w:pStyle w:val="Heading2"/>
      </w:pPr>
      <w:r>
        <w:t>Overview</w:t>
      </w:r>
    </w:p>
    <w:p>
      <w:r>
        <w:t>This phase focuses on interpreting analytical results, validating predictive models, and communicating findings in a clear and actionable manner for credit risk and finance stakeholders.</w:t>
      </w:r>
    </w:p>
    <w:p>
      <w:pPr>
        <w:pStyle w:val="Heading2"/>
      </w:pPr>
      <w:r>
        <w:t>Key Findings and Insights</w:t>
      </w:r>
    </w:p>
    <w:p>
      <w:r>
        <w:t>The analysis reveals that default risk is concentrated within specific borrower segments and loan products. Variables related to borrower leverage, repayment behavior, and loan structure emerge as significant drivers of risk.</w:t>
      </w:r>
    </w:p>
    <w:p>
      <w:pPr>
        <w:pStyle w:val="Heading2"/>
      </w:pPr>
      <w:r>
        <w:t>Model Performance Summary</w:t>
      </w:r>
    </w:p>
    <w:p>
      <w:r>
        <w:t>Logistic Regression models provide transparency and interpretability, while tree-based models such as Random Forest and XGBoost improve predictive performance. Model evaluation metrics indicate reliable discrimination between default and non-default borrowers.</w:t>
      </w:r>
    </w:p>
    <w:p>
      <w:pPr>
        <w:pStyle w:val="Heading2"/>
      </w:pPr>
      <w:r>
        <w:t>Portfolio Risk Interpretation</w:t>
      </w:r>
    </w:p>
    <w:p>
      <w:r>
        <w:t>Model outputs are aggregated to assess portfolio exposure, enabling identification of high-risk segments and supporting stress scenario analysis.</w:t>
      </w:r>
    </w:p>
    <w:p>
      <w:pPr>
        <w:pStyle w:val="Heading2"/>
      </w:pPr>
      <w:r>
        <w:t>Visualization and Reporting</w:t>
      </w:r>
    </w:p>
    <w:p>
      <w:r>
        <w:t>Power BI dashboards present default trends, risk segmentation, and key portfolio metrics such as probability of default and expected loss for executive review.</w:t>
      </w:r>
    </w:p>
    <w:p>
      <w:pPr>
        <w:pStyle w:val="Heading2"/>
      </w:pPr>
      <w:r>
        <w:t>Limitations</w:t>
      </w:r>
    </w:p>
    <w:p>
      <w:r>
        <w:t>Findings are based on publicly available datasets and may not capture institution-specific credit variables. Results are illustrative and not intended for production deployment.</w:t>
      </w:r>
    </w:p>
    <w:p>
      <w:pPr>
        <w:pStyle w:val="Heading2"/>
      </w:pPr>
      <w:r>
        <w:t>Conclusion</w:t>
      </w:r>
    </w:p>
    <w:p>
      <w:r>
        <w:t>This project demonstrates a complete end-to-end credit risk analytics workflow, from raw data to executive-level insights, supporting data-driven credit risk management and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