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设备传感器数据字段与波动范围文档</w:t>
      </w:r>
    </w:p>
    <w:p>
      <w:pPr>
        <w:spacing w:after="240"/>
        <w:ind w:firstLine="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文件编号：SENSOR-SPEC-001　　版本：A/0</w:t>
      </w:r>
    </w:p>
    <w:p>
      <w:pPr>
        <w:spacing w:after="240"/>
        <w:ind w:firstLine="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配套系统：设备检修诊断（BG-01）数据底座</w:t>
      </w:r>
    </w:p>
    <w:p/>
    <w:p>
      <w:pPr>
        <w:spacing w:line="360" w:lineRule="auto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编制：________________　　审核：________________　　批准：________________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发布日期：________________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本文档定义设备检修诊断系统传感器数据二维表的字段构成、各设备传感器正常值与非正常值波动范围、波动趋势判定限值，并提供二十条示例数据。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　　录</w:t>
      </w:r>
    </w:p>
    <w:p>
      <w:pPr>
        <w:spacing w:line="240" w:lineRule="auto"/>
        <w:ind w:firstLine="0"/>
      </w:pPr>
      <w:r>
        <w:fldChar w:fldCharType="begin"/>
        <w:instrText xml:space="preserve"> TOC \o "1-2" \h \z \u </w:instrText>
        <w:fldChar w:fldCharType="separate"/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1 概述</w:t>
      </w:r>
      <w:r>
        <w:rPr>
          <w:rFonts w:ascii="Times New Roman" w:hAnsi="Times New Roman" w:eastAsia="宋体"/>
          <w:b w:val="0"/>
          <w:color w:val="000000"/>
          <w:sz w:val="24"/>
        </w:rPr>
        <w:tab/>
        <w:t>1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1.1 数据底座口径</w:t>
      </w:r>
      <w:r>
        <w:rPr>
          <w:rFonts w:ascii="Times New Roman" w:hAnsi="Times New Roman" w:eastAsia="宋体"/>
          <w:b w:val="0"/>
          <w:color w:val="000000"/>
          <w:sz w:val="24"/>
        </w:rPr>
        <w:tab/>
        <w:t>1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1.2 设备与测点对应</w:t>
      </w:r>
      <w:r>
        <w:rPr>
          <w:rFonts w:ascii="Times New Roman" w:hAnsi="Times New Roman" w:eastAsia="宋体"/>
          <w:b w:val="0"/>
          <w:color w:val="000000"/>
          <w:sz w:val="24"/>
        </w:rPr>
        <w:tab/>
        <w:t>1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2 传感器数据二维表字段定义</w:t>
      </w:r>
      <w:r>
        <w:rPr>
          <w:rFonts w:ascii="Times New Roman" w:hAnsi="Times New Roman" w:eastAsia="宋体"/>
          <w:b w:val="0"/>
          <w:color w:val="000000"/>
          <w:sz w:val="24"/>
        </w:rPr>
        <w:tab/>
        <w:t>2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3 传感器正常值与非正常值波动范围</w:t>
      </w:r>
      <w:r>
        <w:rPr>
          <w:rFonts w:ascii="Times New Roman" w:hAnsi="Times New Roman" w:eastAsia="宋体"/>
          <w:b w:val="0"/>
          <w:color w:val="000000"/>
          <w:sz w:val="24"/>
        </w:rPr>
        <w:tab/>
        <w:t>2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3.1 FJ-01 传感器波动范围</w:t>
      </w:r>
      <w:r>
        <w:rPr>
          <w:rFonts w:ascii="Times New Roman" w:hAnsi="Times New Roman" w:eastAsia="宋体"/>
          <w:b w:val="0"/>
          <w:color w:val="000000"/>
          <w:sz w:val="24"/>
        </w:rPr>
        <w:tab/>
        <w:t>2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3.2 FJ-02 传感器波动范围</w:t>
      </w:r>
      <w:r>
        <w:rPr>
          <w:rFonts w:ascii="Times New Roman" w:hAnsi="Times New Roman" w:eastAsia="宋体"/>
          <w:b w:val="0"/>
          <w:color w:val="000000"/>
          <w:sz w:val="24"/>
        </w:rPr>
        <w:tab/>
        <w:t>3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3.3 FJ-03 传感器波动范围</w:t>
      </w:r>
      <w:r>
        <w:rPr>
          <w:rFonts w:ascii="Times New Roman" w:hAnsi="Times New Roman" w:eastAsia="宋体"/>
          <w:b w:val="0"/>
          <w:color w:val="000000"/>
          <w:sz w:val="24"/>
        </w:rPr>
        <w:tab/>
        <w:t>3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3.4 波动趋势判定限值</w:t>
      </w:r>
      <w:r>
        <w:rPr>
          <w:rFonts w:ascii="Times New Roman" w:hAnsi="Times New Roman" w:eastAsia="宋体"/>
          <w:b w:val="0"/>
          <w:color w:val="000000"/>
          <w:sz w:val="24"/>
        </w:rPr>
        <w:tab/>
        <w:t>4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4 二十条示例数据</w:t>
      </w:r>
      <w:r>
        <w:rPr>
          <w:rFonts w:ascii="Times New Roman" w:hAnsi="Times New Roman" w:eastAsia="宋体"/>
          <w:b w:val="0"/>
          <w:color w:val="000000"/>
          <w:sz w:val="24"/>
        </w:rPr>
        <w:tab/>
        <w:t>4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4.1 示例数据场景说明</w:t>
      </w:r>
      <w:r>
        <w:rPr>
          <w:rFonts w:ascii="Times New Roman" w:hAnsi="Times New Roman" w:eastAsia="宋体"/>
          <w:b w:val="0"/>
          <w:color w:val="000000"/>
          <w:sz w:val="24"/>
        </w:rPr>
        <w:tab/>
        <w:t>4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4.2 示例数据表</w:t>
      </w:r>
      <w:r>
        <w:rPr>
          <w:rFonts w:ascii="Times New Roman" w:hAnsi="Times New Roman" w:eastAsia="宋体"/>
          <w:b w:val="0"/>
          <w:color w:val="000000"/>
          <w:sz w:val="24"/>
        </w:rPr>
        <w:tab/>
        <w:t>5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5 数据文件与使用说明</w:t>
      </w:r>
      <w:r>
        <w:rPr>
          <w:rFonts w:ascii="Times New Roman" w:hAnsi="Times New Roman" w:eastAsia="宋体"/>
          <w:b w:val="0"/>
          <w:color w:val="000000"/>
          <w:sz w:val="24"/>
        </w:rPr>
        <w:tab/>
        <w:t>5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5.1 CSV 数据文件</w:t>
      </w:r>
      <w:r>
        <w:rPr>
          <w:rFonts w:ascii="Times New Roman" w:hAnsi="Times New Roman" w:eastAsia="宋体"/>
          <w:b w:val="0"/>
          <w:color w:val="000000"/>
          <w:sz w:val="24"/>
        </w:rPr>
        <w:tab/>
        <w:t>5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5.2 与 A3 数据检索的对接口径</w:t>
      </w:r>
      <w:r>
        <w:rPr>
          <w:rFonts w:ascii="Times New Roman" w:hAnsi="Times New Roman" w:eastAsia="宋体"/>
          <w:b w:val="0"/>
          <w:color w:val="000000"/>
          <w:sz w:val="24"/>
        </w:rPr>
        <w:tab/>
        <w:t>6</w:t>
      </w:r>
    </w:p>
    <w:p>
      <w:pPr>
        <w:ind w:firstLine="0"/>
      </w:pPr>
      <w:r>
        <w:fldChar w:fldCharType="end"/>
      </w:r>
    </w:p>
    <w:p>
      <w:pPr>
        <w:sectPr>
          <w:footerReference w:type="default" r:id="rId9"/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  <w:keepNext/>
        <w:spacing w:before="280" w:after="120" w:line="360" w:lineRule="auto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1 概述</w:t>
      </w:r>
    </w:p>
    <w:p>
      <w:pPr>
        <w:pStyle w:val="Heading2"/>
        <w:keepNext/>
        <w:spacing w:before="220" w:after="100" w:line="360" w:lineRule="auto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1.1 数据底座口径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设备检修诊断系统（BG-01）的数据底座由 27 份工业文档（操作手册、维修手册、故障案例手册）与 4 台设备 24 路传感器时序数据构成，即每台设备统一配置 6 路核心传感器测点：转速（speed）、驱动端水平振动（v1）、非驱动端水平振动（v3）、轴承温度（bearing_temp）、供油压力（oil_pressure）、电机电流（current）。传感器数据以宽表（二维表）形式存储，每行对应一个采样时刻，每列为一路测点，采样间隔 60 s。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各传感器数值以《FJ-01/02/03 离心引风机设备操作手册》的正常值、报警值与停机值为三级判定基线，作为 A3 数据检索节点阈值比对与 A4 推理节点判据的来源；波动范围按正常区、预警区（含报警阈值）、停机区三档划分，并与故障案例手册中的典型特征（1 倍频振动上升、瓦温上升速率等）对齐。</w:t>
      </w:r>
    </w:p>
    <w:p>
      <w:pPr>
        <w:pStyle w:val="Heading2"/>
        <w:keepNext/>
        <w:spacing w:before="220" w:after="100" w:line="360" w:lineRule="auto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1.2 设备与测点对应</w:t>
      </w:r>
    </w:p>
    <w:p>
      <w:pPr>
        <w:keepNext/>
        <w:spacing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1 设备与测点对应表</w:t>
      </w:r>
    </w:p>
    <w:tbl>
      <w:tblPr>
        <w:tblW w:type="auto" w:w="0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firstColumn="1" w:firstRow="1" w:lastColumn="0" w:lastRow="0" w:noHBand="0" w:noVBand="1" w:val="04A0"/>
      </w:tblPr>
      <w:tblGrid>
        <w:gridCol w:w="1134"/>
        <w:gridCol w:w="1928"/>
        <w:gridCol w:w="1247"/>
        <w:gridCol w:w="1814"/>
        <w:gridCol w:w="2154"/>
        <w:gridCol w:w="1361"/>
      </w:tblGrid>
      <w:tr>
        <w:trPr>
          <w:tblHeader w:val="true"/>
        </w:trPr>
        <w:tc>
          <w:tcPr>
            <w:tcW w:type="dxa" w:w="113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设备位号</w:t>
            </w:r>
          </w:p>
        </w:tc>
        <w:tc>
          <w:tcPr>
            <w:tcW w:type="dxa" w:w="192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设备型号</w:t>
            </w:r>
          </w:p>
        </w:tc>
        <w:tc>
          <w:tcPr>
            <w:tcW w:type="dxa" w:w="124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额定转速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配套电机</w:t>
            </w:r>
          </w:p>
        </w:tc>
        <w:tc>
          <w:tcPr>
            <w:tcW w:type="dxa" w:w="215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测点配置（6 路）</w:t>
            </w:r>
          </w:p>
        </w:tc>
        <w:tc>
          <w:tcPr>
            <w:tcW w:type="dxa" w:w="1361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数据状态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FJ-01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FJ-CY1250-4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1480 r/min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132 kW / 380 V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speed、v1、v3、bearing_temp、oil_pressure、current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已配置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FJ-02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FJ-YX-2000/980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980 r/min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500 kW / 6 kV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speed、v1、v3、bearing_temp、oil_pressure、current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已配置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FJ-03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FJ-YF-2800/6800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990 r/min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800 kW / 10 kV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speed、v1、v3、bearing_temp、oil_pressure、current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已配置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FJ-04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待定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待定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待定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同上（预留 6 路）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预留，手册接入后按同口径扩展</w:t>
            </w:r>
          </w:p>
        </w:tc>
      </w:tr>
    </w:tbl>
    <w:p>
      <w:pPr>
        <w:pStyle w:val="Heading1"/>
        <w:keepNext/>
        <w:spacing w:before="280" w:after="120" w:line="360" w:lineRule="auto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2 传感器数据二维表字段定义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传感器数据二维表采用宽表结构，主键为（timestamp，device_id），即同一时刻同一设备一行记录。字段定义见表 2，字段命名全系统统一，单位与精度不得混用。</w:t>
      </w:r>
    </w:p>
    <w:p>
      <w:pPr>
        <w:keepNext/>
        <w:spacing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2 传感器数据二维表字段定义表</w:t>
      </w:r>
    </w:p>
    <w:tbl>
      <w:tblPr>
        <w:tblW w:type="auto" w:w="0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firstColumn="1" w:firstRow="1" w:lastColumn="0" w:lastRow="0" w:noHBand="0" w:noVBand="1" w:val="04A0"/>
      </w:tblPr>
      <w:tblGrid>
        <w:gridCol w:w="1587"/>
        <w:gridCol w:w="1247"/>
        <w:gridCol w:w="907"/>
        <w:gridCol w:w="794"/>
        <w:gridCol w:w="2948"/>
        <w:gridCol w:w="1701"/>
      </w:tblGrid>
      <w:tr>
        <w:trPr>
          <w:tblHeader w:val="true"/>
        </w:trPr>
        <w:tc>
          <w:tcPr>
            <w:tcW w:type="dxa" w:w="158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字段名</w:t>
            </w:r>
          </w:p>
        </w:tc>
        <w:tc>
          <w:tcPr>
            <w:tcW w:type="dxa" w:w="124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数据类型</w:t>
            </w:r>
          </w:p>
        </w:tc>
        <w:tc>
          <w:tcPr>
            <w:tcW w:type="dxa" w:w="90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单位</w:t>
            </w:r>
          </w:p>
        </w:tc>
        <w:tc>
          <w:tcPr>
            <w:tcW w:type="dxa" w:w="79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精度</w:t>
            </w:r>
          </w:p>
        </w:tc>
        <w:tc>
          <w:tcPr>
            <w:tcW w:type="dxa" w:w="294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字段说明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示例值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timestamp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datetime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秒级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采样时刻，ISO 8601 格式，含时区；采样间隔 60 s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2026-01-14T00:00:00+08:00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device_id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设备位号，取值 FJ-01/FJ-02/FJ-03/FJ-04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FJ-01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speed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float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r/min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整数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主轴转速，变频调速工况下随频率变化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1480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v1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float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mm/s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驱动端水平方向振动速度有效值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2.3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v3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float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mm/s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非驱动端水平方向振动速度有效值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2.0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bearing_temp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float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℃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轴承温度；FJ-02/03 滑动轴承为轴瓦温度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58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oil_pressure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float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MPa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0.01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供油母管压力（稀油站出口）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0.24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current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float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电机运行电流（三相平均）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218</w:t>
            </w:r>
          </w:p>
        </w:tc>
      </w:tr>
    </w:tbl>
    <w:p>
      <w:pPr>
        <w:pStyle w:val="Heading1"/>
        <w:keepNext/>
        <w:spacing w:before="280" w:after="120" w:line="360" w:lineRule="auto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3 传感器正常值与非正常值波动范围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各设备传感器按正常区、预警区（达到报警阈值即触发报警）、停机区（联锁跳机）三档定义波动范围。预警区为介于正常值上限与停机值之间的区间，区间内达到报警阈值即输出报警；停机区为联锁动作区间。表 3 至表 5 分别给出 FJ-01、FJ-02、FJ-03 的波动范围。</w:t>
      </w:r>
    </w:p>
    <w:p>
      <w:pPr>
        <w:pStyle w:val="Heading2"/>
        <w:keepNext/>
        <w:spacing w:before="220" w:after="100" w:line="360" w:lineRule="auto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3.1 FJ-01 传感器波动范围</w:t>
      </w:r>
    </w:p>
    <w:p>
      <w:pPr>
        <w:keepNext/>
        <w:spacing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3 FJ-01 传感器波动范围表</w:t>
      </w:r>
    </w:p>
    <w:tbl>
      <w:tblPr>
        <w:tblW w:type="auto" w:w="0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firstColumn="1" w:firstRow="1" w:lastColumn="0" w:lastRow="0" w:noHBand="0" w:noVBand="1" w:val="04A0"/>
      </w:tblPr>
      <w:tblGrid>
        <w:gridCol w:w="1361"/>
        <w:gridCol w:w="794"/>
        <w:gridCol w:w="1474"/>
        <w:gridCol w:w="2608"/>
        <w:gridCol w:w="1474"/>
        <w:gridCol w:w="1701"/>
      </w:tblGrid>
      <w:tr>
        <w:trPr>
          <w:tblHeader w:val="true"/>
        </w:trPr>
        <w:tc>
          <w:tcPr>
            <w:tcW w:type="dxa" w:w="1361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传感器</w:t>
            </w:r>
          </w:p>
        </w:tc>
        <w:tc>
          <w:tcPr>
            <w:tcW w:type="dxa" w:w="79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单位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正常区</w:t>
            </w:r>
          </w:p>
        </w:tc>
        <w:tc>
          <w:tcPr>
            <w:tcW w:type="dxa" w:w="260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预警区（报警阈值）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停机区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依据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speed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r/min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1470 ~ 1490（±10）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1490 ~ 1505 过渡带，波动超过 ±25（&lt;1455 或 &gt;1505）报警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&gt; 1560（设计设定）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操作手册·变频调速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v1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mm/s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≤ 2.8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2.8 ~ 7.1（≥ 4.5 报警）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&gt; 7.1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操作手册·报警停机值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v3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mm/s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≤ 2.8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2.8 ~ 7.1（≥ 4.5 报警）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&gt; 7.1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操作手册·报警停机值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bearing_temp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℃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 ~ 65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65 ~ 85（≥ 75 报警）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&gt; 85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操作手册·报警停机值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oil_pressure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MPa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0.15 ~ 0.35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&lt; 0.15 或 &gt; 0.35（&lt; 0.12 或 &gt; 0.40 报警）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&lt; 0.08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操作手册·报警停机值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current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≤ 228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228 ~ 264（≥ 252 报警）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&gt; 264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操作手册·报警停机值</w:t>
            </w:r>
          </w:p>
        </w:tc>
      </w:tr>
    </w:tbl>
    <w:p>
      <w:pPr>
        <w:pStyle w:val="Heading2"/>
        <w:keepNext/>
        <w:spacing w:before="220" w:after="100" w:line="360" w:lineRule="auto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3.2 FJ-02 传感器波动范围</w:t>
      </w:r>
    </w:p>
    <w:p>
      <w:pPr>
        <w:keepNext/>
        <w:spacing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4 FJ-02 传感器波动范围表</w:t>
      </w:r>
    </w:p>
    <w:tbl>
      <w:tblPr>
        <w:tblW w:type="auto" w:w="0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firstColumn="1" w:firstRow="1" w:lastColumn="0" w:lastRow="0" w:noHBand="0" w:noVBand="1" w:val="04A0"/>
      </w:tblPr>
      <w:tblGrid>
        <w:gridCol w:w="1361"/>
        <w:gridCol w:w="794"/>
        <w:gridCol w:w="1474"/>
        <w:gridCol w:w="2608"/>
        <w:gridCol w:w="1474"/>
        <w:gridCol w:w="1701"/>
      </w:tblGrid>
      <w:tr>
        <w:trPr>
          <w:tblHeader w:val="true"/>
        </w:trPr>
        <w:tc>
          <w:tcPr>
            <w:tcW w:type="dxa" w:w="1361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传感器</w:t>
            </w:r>
          </w:p>
        </w:tc>
        <w:tc>
          <w:tcPr>
            <w:tcW w:type="dxa" w:w="79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单位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正常区</w:t>
            </w:r>
          </w:p>
        </w:tc>
        <w:tc>
          <w:tcPr>
            <w:tcW w:type="dxa" w:w="260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预警区（报警阈值）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停机区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依据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speed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r/min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970 ~ 990（±10）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990 ~ 1030 过渡带，&gt; 1030 超速报警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&gt; 1080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操作手册·报警跳车值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v1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mm/s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≤ 4.5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4.5 ~ 11.2（≥ 7.1 报警）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&gt; 11.2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操作手册·报警跳车值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v3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mm/s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≤ 4.5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4.5 ~ 11.2（≥ 7.1 报警）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&gt; 11.2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操作手册·报警跳车值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bearing_temp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℃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 ~ 70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70 ~ 85（≥ 75 报警）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&gt; 85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操作手册·报警跳车值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oil_pressure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MPa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0.15 ~ 0.25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&lt; 0.15 或 &gt; 0.25（&lt; 0.12 或 &gt; 0.30 报警）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&lt; 0.08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操作手册·报警跳车值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current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≤ 58.5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58.5 ~ 67.3（≥ 61.4 报警）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&gt; 67.3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操作手册·报警跳车值</w:t>
            </w:r>
          </w:p>
        </w:tc>
      </w:tr>
    </w:tbl>
    <w:p>
      <w:pPr>
        <w:pStyle w:val="Heading2"/>
        <w:keepNext/>
        <w:spacing w:before="220" w:after="100" w:line="360" w:lineRule="auto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3.3 FJ-03 传感器波动范围</w:t>
      </w:r>
    </w:p>
    <w:p>
      <w:pPr>
        <w:keepNext/>
        <w:spacing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5 FJ-03 传感器波动范围表</w:t>
      </w:r>
    </w:p>
    <w:tbl>
      <w:tblPr>
        <w:tblW w:type="auto" w:w="0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firstColumn="1" w:firstRow="1" w:lastColumn="0" w:lastRow="0" w:noHBand="0" w:noVBand="1" w:val="04A0"/>
      </w:tblPr>
      <w:tblGrid>
        <w:gridCol w:w="1361"/>
        <w:gridCol w:w="794"/>
        <w:gridCol w:w="1474"/>
        <w:gridCol w:w="2608"/>
        <w:gridCol w:w="1474"/>
        <w:gridCol w:w="1701"/>
      </w:tblGrid>
      <w:tr>
        <w:trPr>
          <w:tblHeader w:val="true"/>
        </w:trPr>
        <w:tc>
          <w:tcPr>
            <w:tcW w:type="dxa" w:w="1361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传感器</w:t>
            </w:r>
          </w:p>
        </w:tc>
        <w:tc>
          <w:tcPr>
            <w:tcW w:type="dxa" w:w="79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单位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正常区</w:t>
            </w:r>
          </w:p>
        </w:tc>
        <w:tc>
          <w:tcPr>
            <w:tcW w:type="dxa" w:w="260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预警区（二级报警阈值）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停机区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依据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speed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r/min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980 ~ 1000（±10）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1000 ~ 1030 过渡带，&gt; 1030 超速二级报警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&gt; 1080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操作手册·报警跳机值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v1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mm/s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≤ 2.8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2.8 ~ 7.1（≥ 4.5 二级报警）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&gt; 7.1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操作手册·报警跳机值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v3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mm/s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≤ 2.8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2.8 ~ 7.1（≥ 4.5 二级报警）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&gt; 7.1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操作手册·报警跳机值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bearing_temp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℃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≤ 60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 ~ 85（≥ 70 二级报警）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&gt; 85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操作手册·报警跳机值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oil_pressure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MPa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0.15 ~ 0.30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&lt; 0.15 或 &gt; 0.30（&lt; 0.12 或 &gt; 0.40 二级报警）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&lt; 0.08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操作手册·报警跳机值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current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≤ 45.5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45.5 ~ 62（≥ 58 二级报警）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&gt; 62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操作手册·报警跳机值</w:t>
            </w:r>
          </w:p>
        </w:tc>
      </w:tr>
    </w:tbl>
    <w:p>
      <w:pPr>
        <w:pStyle w:val="Heading2"/>
        <w:keepNext/>
        <w:spacing w:before="220" w:after="100" w:line="360" w:lineRule="auto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3.4 波动趋势判定限值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除瞬时值三级阈值外，A3 数据检索节点按表 6 判定波动趋势异常。趋势异常与瞬时报警独立触发，任一命中即在特征摘要中标注。</w:t>
      </w:r>
    </w:p>
    <w:p>
      <w:pPr>
        <w:keepNext/>
        <w:spacing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6 波动趋势判定限值表</w:t>
      </w:r>
    </w:p>
    <w:tbl>
      <w:tblPr>
        <w:tblW w:type="auto" w:w="0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firstColumn="1" w:firstRow="1" w:lastColumn="0" w:lastRow="0" w:noHBand="0" w:noVBand="1" w:val="04A0"/>
      </w:tblPr>
      <w:tblGrid>
        <w:gridCol w:w="1361"/>
        <w:gridCol w:w="3515"/>
        <w:gridCol w:w="2835"/>
        <w:gridCol w:w="1587"/>
      </w:tblGrid>
      <w:tr>
        <w:trPr>
          <w:tblHeader w:val="true"/>
        </w:trPr>
        <w:tc>
          <w:tcPr>
            <w:tcW w:type="dxa" w:w="1361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传感器</w:t>
            </w:r>
          </w:p>
        </w:tc>
        <w:tc>
          <w:tcPr>
            <w:tcW w:type="dxa" w:w="3515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趋势判定规则</w:t>
            </w:r>
          </w:p>
        </w:tc>
        <w:tc>
          <w:tcPr>
            <w:tcW w:type="dxa" w:w="2835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判读结论</w:t>
            </w:r>
          </w:p>
        </w:tc>
        <w:tc>
          <w:tcPr>
            <w:tcW w:type="dxa" w:w="158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依据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v1 / v3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 h 内上升超过 1.5 mm/s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异常趋势，优先排查叶轮积灰结垢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操作手册·常见现象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v1 / v3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 min 内突变超过 2.5 mm/s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突发异常，排查碰磨、轴承损坏、对中破坏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故障案例手册·案例 2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bearing_temp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上升速率超过 5 ℃/h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异常，排查润滑、冷却与轴承故障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操作手册·试车异常处理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oil_pressure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波动幅度超过 ±0.03 MPa/min 或低于报警值持续 5 s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异常，排查油泵、滤网、调压阀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操作手册·润滑系统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current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三相电流不平衡度超过 10%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电气异常，排查绕组与接线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操作手册·常见现象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current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额定工况下上升超过 5% 并伴随风量下降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阻力增大，排查风道与叶轮积灰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操作手册·常见现象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speed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稳态波动超过 ±25 r/min（FJ-01）、±20 r/min（FJ-02/03，设计设定）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转速异常，排查变频器与测速回路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操作手册·巡检要求</w:t>
            </w:r>
          </w:p>
        </w:tc>
      </w:tr>
    </w:tbl>
    <w:p>
      <w:pPr>
        <w:pStyle w:val="Heading1"/>
        <w:keepNext/>
        <w:spacing w:before="280" w:after="120" w:line="360" w:lineRule="auto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4 二十条示例数据</w:t>
      </w:r>
    </w:p>
    <w:p>
      <w:pPr>
        <w:pStyle w:val="Heading2"/>
        <w:keepNext/>
        <w:spacing w:before="220" w:after="100" w:line="360" w:lineRule="auto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4.1 示例数据场景说明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示例数据共 20 行，覆盖三台设备的两类典型状态，用于验证 A3 特征计算与 A4 判据对齐：第 1~10 行为 FJ-01 在 2026-01-14 00:00 至 09:00 的逐小时数据，模拟叶轮积灰结垢导致 v1 由 2.1 mm/s 持续上升至 4.7 mm/s 并触发报警（≥ 4.5 mm/s）的过程，转速、油压、轴承温度保持正常，电流随负荷小幅上升，对应故障案例手册案例 1（叶轮积灰转子不平衡）；第 11~15 行为 FJ-02 正常工况基准段；第 16~20 行为 FJ-03 逐 2 小时数据，模拟供油温度升高引起瓦温由 57 ℃ 缓慢上升至 71 ℃ 并进入二级报警区（≥ 70 ℃）的过程，对应故障案例手册案例 11（油冷却器结垢）。</w:t>
      </w:r>
    </w:p>
    <w:p>
      <w:pPr>
        <w:pStyle w:val="Heading2"/>
        <w:keepNext/>
        <w:spacing w:before="220" w:after="100" w:line="360" w:lineRule="auto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4.2 示例数据表</w:t>
      </w:r>
    </w:p>
    <w:p>
      <w:pPr>
        <w:keepNext/>
        <w:spacing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7 二十条示例数据表</w:t>
      </w:r>
    </w:p>
    <w:tbl>
      <w:tblPr>
        <w:tblW w:type="auto" w:w="0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firstColumn="1" w:firstRow="1" w:lastColumn="0" w:lastRow="0" w:noHBand="0" w:noVBand="1" w:val="04A0"/>
      </w:tblPr>
      <w:tblGrid>
        <w:gridCol w:w="2268"/>
        <w:gridCol w:w="964"/>
        <w:gridCol w:w="850"/>
        <w:gridCol w:w="737"/>
        <w:gridCol w:w="737"/>
        <w:gridCol w:w="1191"/>
        <w:gridCol w:w="1077"/>
        <w:gridCol w:w="850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timestamp</w:t>
            </w:r>
          </w:p>
        </w:tc>
        <w:tc>
          <w:tcPr>
            <w:tcW w:type="dxa" w:w="96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device_id</w:t>
            </w:r>
          </w:p>
        </w:tc>
        <w:tc>
          <w:tcPr>
            <w:tcW w:type="dxa" w:w="850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speed</w:t>
            </w:r>
          </w:p>
        </w:tc>
        <w:tc>
          <w:tcPr>
            <w:tcW w:type="dxa" w:w="73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v1</w:t>
            </w:r>
          </w:p>
        </w:tc>
        <w:tc>
          <w:tcPr>
            <w:tcW w:type="dxa" w:w="73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v3</w:t>
            </w:r>
          </w:p>
        </w:tc>
        <w:tc>
          <w:tcPr>
            <w:tcW w:type="dxa" w:w="1191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bearing_temp</w:t>
            </w:r>
          </w:p>
        </w:tc>
        <w:tc>
          <w:tcPr>
            <w:tcW w:type="dxa" w:w="107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oil_pressure</w:t>
            </w:r>
          </w:p>
        </w:tc>
        <w:tc>
          <w:tcPr>
            <w:tcW w:type="dxa" w:w="850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current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2026-01-14T00:00:00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FJ-01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1480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2.1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1.9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56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0.24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216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2026-01-14T01:00:00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FJ-01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1480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2.3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2.0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57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0.24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217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2026-01-14T02:00:00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FJ-01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1481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2.5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2.2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57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0.25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218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2026-01-14T03:00:00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FJ-01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1481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2.8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2.4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58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0.24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219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2026-01-14T04:00:00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FJ-01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1480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3.1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2.6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58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0.25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2026-01-14T05:00:00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FJ-01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1480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3.4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2.8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59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0.24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221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2026-01-14T06:00:00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FJ-01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1481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3.8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3.1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59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0.25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222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2026-01-14T07:00:00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FJ-01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1481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4.2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3.4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0.24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223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2026-01-14T08:00:00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FJ-01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1480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4.5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3.7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0.25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224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2026-01-14T09:00:00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FJ-01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1480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4.7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3.9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61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0.24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225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2026-01-14T00:00:00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FJ-02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980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3.1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2.8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63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0.21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56.0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2026-01-14T02:00:00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FJ-02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981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3.2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2.9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64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0.21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56.5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2026-01-14T04:00:00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FJ-02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980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3.2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2.9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64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56.8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2026-01-14T06:00:00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FJ-02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981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3.3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3.0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65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0.21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57.0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2026-01-14T08:00:00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FJ-02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980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3.3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3.0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65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0.21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57.2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2026-01-14T00:00:00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FJ-03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990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2.2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2.0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57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0.24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41.0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2026-01-14T02:00:00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FJ-03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989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2.3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2.1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59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0.24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41.5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2026-01-14T04:00:00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FJ-03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990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2.4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2.1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61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0.23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42.0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2026-01-14T06:00:00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FJ-03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990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2.5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2.2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68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0.22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42.5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2026-01-14T08:00:00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FJ-03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991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2.6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2.3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71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0.22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43.0</w:t>
            </w:r>
          </w:p>
        </w:tc>
      </w:tr>
    </w:tbl>
    <w:p>
      <w:pPr>
        <w:pStyle w:val="Heading1"/>
        <w:keepNext/>
        <w:spacing w:before="280" w:after="120" w:line="360" w:lineRule="auto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5 数据文件与使用说明</w:t>
      </w:r>
    </w:p>
    <w:p>
      <w:pPr>
        <w:pStyle w:val="Heading2"/>
        <w:keepNext/>
        <w:spacing w:before="220" w:after="100" w:line="360" w:lineRule="auto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5.1 CSV 数据文件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表 7 示例数据同时以 CSV 文件（设备传感器示例数据_20条.csv）交付，列名为 timestamp、device_id、speed、v1、v3、bearing_temp、oil_pressure、current，UTF-8 编码，首行为表头，可直接导入时序数据库或用于 A3 数据检索节点联调。</w:t>
      </w:r>
    </w:p>
    <w:p>
      <w:pPr>
        <w:pStyle w:val="Heading2"/>
        <w:keepNext/>
        <w:spacing w:before="220" w:after="100" w:line="360" w:lineRule="auto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5.2 与 A3 数据检索的对接口径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A3 节点按 1 min 聚合粒度查询时序数据，输出统计特征（均值、最大、最小、RMS、峰峰值、趋势斜率、超报警次数、首超时间）与频域线索（1 倍频、2 倍频分量占比）；阈值比对统一引用本文档表 3 至表 6 的三级波动范围配置，不得在提示词中硬编码阈值。数据缺失率超过 10% 时在数据可用性字段中显式标注。</w:t>
      </w:r>
    </w:p>
    <w:sectPr w:rsidR="00FC693F" w:rsidRPr="0006063C" w:rsidSect="00034616"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宋体"/>
        <w:b w:val="0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  <w:jc w:val="both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