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Case Study: Medical Device Manufacturing Company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medical device manufacturing company is looking to improve its quality control process by implementing Failure Modes and Effects Analysis (FMEA). FMEA is a methodology used to identify potential failures in a system, analyze their effects, and prioritize their elimination or mitigation.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company's quality control team has traditionally used spreadsheets to document FMEA data, which has proved to be time-consuming, prone to errors, and difficult to share with stakeholders. The team is looking for a more efficient and scalable solution that can be integrated with the company's existing processes and workflows.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company decides to implement FMEA in the cloud using a software-as-a-service (SaaS) solution. The solution provides a centralized database for all FMEA data, accessible from any device with an internet connection. The solution also provides templates for FMEA data entry, automates calculations of risk priority numbers (RPNs), and enables collaboration among team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implementation of FMEA in the cloud has several advantages over the traditional spreadsheet-based approach: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Increased Efficiency: The cloud-based solution enables faster and more accurate data entry, reducing the time required to complete an FMEA. Automated calculations of RPNs reduce errors and improve consistency in risk assessment.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Better Collaboration: The solution allows team members to access and update FMEA data from anywhere, at any time. This improves collaboration among team members and enables real-time updates to the FMEA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Improved Data Security: The cloud-based solution provides better data security than the traditional spreadsheet-based approach. Data is encrypted and backed up regularly, reducing the risk of data loss due to system failures or user errors.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Scalability: The cloud-based solution can be easily scaled up or down as needed, depending on the size of the FMEA project. The solution can also be integrated with other software tools used by the company, such as project management tools and quality management systems.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By implementing FMEA in the cloud, the medical device manufacturing company can improve its quality control process, reduce errors, and increase efficiency. The cloud-based solution also provides better collaboration, improved data security, and scalability for the FMEA process.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