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базовые представления о работе с пределами и интегралами в Octave.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использование Octave и использование его стандартных команд.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 Octave представляет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</w:t>
      </w:r>
    </w:p>
    <w:bookmarkEnd w:id="22"/>
    <w:bookmarkStart w:id="31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Выполним простейшие операции связанные с пределами.(рис. 1)</w:t>
      </w:r>
    </w:p>
    <w:p>
      <w:pPr>
        <w:pStyle w:val="CaptionedFigure"/>
      </w:pPr>
      <w:bookmarkStart w:id="24" w:name="fig:001"/>
      <w:r>
        <w:drawing>
          <wp:inline>
            <wp:extent cx="5334000" cy="4844510"/>
            <wp:effectExtent b="0" l="0" r="0" t="0"/>
            <wp:docPr descr="Figure 1: рис.1. Пределы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Пределы.</w:t>
      </w:r>
    </w:p>
    <w:p>
      <w:pPr>
        <w:numPr>
          <w:ilvl w:val="0"/>
          <w:numId w:val="1002"/>
        </w:numPr>
        <w:pStyle w:val="Compact"/>
      </w:pPr>
      <w:r>
        <w:t xml:space="preserve">Выполним операции с частичной суммой.(рис.2)</w:t>
      </w:r>
    </w:p>
    <w:p>
      <w:pPr>
        <w:pStyle w:val="CaptionedFigure"/>
      </w:pPr>
      <w:bookmarkStart w:id="26" w:name="fig:002"/>
      <w:r>
        <w:drawing>
          <wp:inline>
            <wp:extent cx="5334000" cy="4945287"/>
            <wp:effectExtent b="0" l="0" r="0" t="0"/>
            <wp:docPr descr="Figure 2: рис.2. Частичная сумма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5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рис.2. Частичная сумма.</w:t>
      </w:r>
    </w:p>
    <w:p>
      <w:pPr>
        <w:numPr>
          <w:ilvl w:val="0"/>
          <w:numId w:val="1003"/>
        </w:numPr>
        <w:pStyle w:val="Compact"/>
      </w:pPr>
      <w:r>
        <w:t xml:space="preserve">Выполним операции с суммой ряда.(рис.3)</w:t>
      </w:r>
    </w:p>
    <w:p>
      <w:pPr>
        <w:pStyle w:val="CaptionedFigure"/>
      </w:pPr>
      <w:bookmarkStart w:id="28" w:name="fig:003"/>
      <w:r>
        <w:drawing>
          <wp:inline>
            <wp:extent cx="5334000" cy="2346672"/>
            <wp:effectExtent b="0" l="0" r="0" t="0"/>
            <wp:docPr descr="Figure 3: рис.3. Сумма ряда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рис.3. Сумма ряда.</w:t>
      </w:r>
    </w:p>
    <w:p>
      <w:pPr>
        <w:numPr>
          <w:ilvl w:val="0"/>
          <w:numId w:val="1004"/>
        </w:numPr>
        <w:pStyle w:val="Compact"/>
      </w:pPr>
      <w:r>
        <w:t xml:space="preserve">Выполним операции с аппроксимированием.(рис.4)</w:t>
      </w:r>
    </w:p>
    <w:p>
      <w:pPr>
        <w:pStyle w:val="CaptionedFigure"/>
      </w:pPr>
      <w:bookmarkStart w:id="30" w:name="fig:004"/>
      <w:r>
        <w:drawing>
          <wp:inline>
            <wp:extent cx="5334000" cy="2346672"/>
            <wp:effectExtent b="0" l="0" r="0" t="0"/>
            <wp:docPr descr="Figure 4: рис.4 Аппроксимация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рис.4 Аппроксимация.</w:t>
      </w:r>
    </w:p>
    <w:bookmarkEnd w:id="31"/>
    <w:bookmarkStart w:id="32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5"/>
        </w:numPr>
        <w:pStyle w:val="Compact"/>
      </w:pPr>
      <w:r>
        <w:t xml:space="preserve">ТУИС РУДН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получил базовые представления о работе с системами линейных уравнений в Octave.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6</dc:title>
  <dc:creator>Хамбалеев Булат Галимович</dc:creator>
  <dc:language>ru-RU</dc:language>
  <cp:keywords/>
  <dcterms:created xsi:type="dcterms:W3CDTF">2022-11-26T11:46:32Z</dcterms:created>
  <dcterms:modified xsi:type="dcterms:W3CDTF">2022-11-26T11:46:32Z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