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базовые представления о работе с параметрическими графиками, полярными координатами и комплексными числами в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Octave и использование его стандартных команд.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 Octave представляет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</w:t>
      </w:r>
    </w:p>
    <w:bookmarkEnd w:id="22"/>
    <w:bookmarkStart w:id="33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простейшие операции связанные с параметрическими графиками.(рис. 1)</w:t>
      </w:r>
    </w:p>
    <w:p>
      <w:pPr>
        <w:pStyle w:val="CaptionedFigure"/>
      </w:pPr>
      <w:bookmarkStart w:id="24" w:name="fig:001"/>
      <w:r>
        <w:drawing>
          <wp:inline>
            <wp:extent cx="2578100" cy="3454400"/>
            <wp:effectExtent b="0" l="0" r="0" t="0"/>
            <wp:docPr descr="Figure 1: рис.1. Графики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Графики.</w:t>
      </w:r>
    </w:p>
    <w:p>
      <w:pPr>
        <w:numPr>
          <w:ilvl w:val="0"/>
          <w:numId w:val="1002"/>
        </w:numPr>
        <w:pStyle w:val="Compact"/>
      </w:pPr>
      <w:r>
        <w:t xml:space="preserve">Выполним операции с полярными координатами.(рис.2)</w:t>
      </w:r>
    </w:p>
    <w:p>
      <w:pPr>
        <w:pStyle w:val="CaptionedFigure"/>
      </w:pPr>
      <w:bookmarkStart w:id="26" w:name="fig:002"/>
      <w:r>
        <w:drawing>
          <wp:inline>
            <wp:extent cx="2768600" cy="2451100"/>
            <wp:effectExtent b="0" l="0" r="0" t="0"/>
            <wp:docPr descr="Figure 2: рис.2. Полярные координаты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Полярные координаты.</w:t>
      </w:r>
    </w:p>
    <w:p>
      <w:pPr>
        <w:numPr>
          <w:ilvl w:val="0"/>
          <w:numId w:val="1003"/>
        </w:numPr>
        <w:pStyle w:val="Compact"/>
      </w:pPr>
      <w:r>
        <w:t xml:space="preserve">Выполним операции с неявными функциями.(рис.3)</w:t>
      </w:r>
    </w:p>
    <w:p>
      <w:pPr>
        <w:pStyle w:val="CaptionedFigure"/>
      </w:pPr>
      <w:bookmarkStart w:id="28" w:name="fig:003"/>
      <w:r>
        <w:drawing>
          <wp:inline>
            <wp:extent cx="4673600" cy="3606800"/>
            <wp:effectExtent b="0" l="0" r="0" t="0"/>
            <wp:docPr descr="Figure 3: рис.3. Неявные фукции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Неявные фукции.</w:t>
      </w:r>
    </w:p>
    <w:p>
      <w:pPr>
        <w:numPr>
          <w:ilvl w:val="0"/>
          <w:numId w:val="1004"/>
        </w:numPr>
        <w:pStyle w:val="Compact"/>
      </w:pPr>
      <w:r>
        <w:t xml:space="preserve">Выполним операции с комплексными числами.(рис.4)</w:t>
      </w:r>
    </w:p>
    <w:p>
      <w:pPr>
        <w:pStyle w:val="CaptionedFigure"/>
      </w:pPr>
      <w:bookmarkStart w:id="30" w:name="fig:004"/>
      <w:r>
        <w:drawing>
          <wp:inline>
            <wp:extent cx="5029200" cy="5702300"/>
            <wp:effectExtent b="0" l="0" r="0" t="0"/>
            <wp:docPr descr="Figure 4: рис.4 Комплексные числа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 Комплексные числа.</w:t>
      </w:r>
    </w:p>
    <w:p>
      <w:pPr>
        <w:numPr>
          <w:ilvl w:val="0"/>
          <w:numId w:val="1005"/>
        </w:numPr>
        <w:pStyle w:val="Compact"/>
      </w:pPr>
      <w:r>
        <w:t xml:space="preserve">Выполним операции со специальными функциями.(рис.5)</w:t>
      </w:r>
    </w:p>
    <w:p>
      <w:pPr>
        <w:pStyle w:val="CaptionedFigure"/>
      </w:pPr>
      <w:bookmarkStart w:id="32" w:name="fig:005"/>
      <w:r>
        <w:drawing>
          <wp:inline>
            <wp:extent cx="5334000" cy="4790835"/>
            <wp:effectExtent b="0" l="0" r="0" t="0"/>
            <wp:docPr descr="Figure 5: рис.5 Специальные функции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рис.5 Специальные функции.</w:t>
      </w:r>
    </w:p>
    <w:bookmarkEnd w:id="33"/>
    <w:bookmarkStart w:id="34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6"/>
        </w:numPr>
        <w:pStyle w:val="Compact"/>
      </w:pPr>
      <w:r>
        <w:t xml:space="preserve">ТУИС РУДН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получил базовые представления о работе с системами линейных уравнений в Octave.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7</dc:title>
  <dc:creator>Хамбалеев Булат Галимович</dc:creator>
  <dc:language>ru-RU</dc:language>
  <cp:keywords/>
  <dcterms:created xsi:type="dcterms:W3CDTF">2022-12-10T08:42:31Z</dcterms:created>
  <dcterms:modified xsi:type="dcterms:W3CDTF">2022-12-10T08:42:31Z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