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Codex Model Router and Jev Guide</w:t>
      </w:r>
    </w:p>
    <w:p>
      <w:pPr/>
      <w:r>
        <w:t>Desktop and CLI setup for macOS • September 30 2026</w:t>
      </w:r>
    </w:p>
    <w:p>
      <w:pPr/>
      <w:r>
        <w:t>This package helps Codex users choose a model and reasoning effort for a new task. Codex refines the request into a concise brief, Jev evaluates it against a saved model reference and explicit selection criteria, and local rules produce the final recommendation. The aim is the lightest model and effort sufficient for the complete task without sacrificing quality.</w:t>
      </w:r>
    </w:p>
    <w:p>
      <w:pPr>
        <w:pStyle w:val="Heading2"/>
      </w:pPr>
      <w:r>
        <w:t>How the Desktop workflow works</w:t>
      </w:r>
    </w:p>
    <w:p>
      <w:pPr/>
      <w:r>
        <w:t>1. Send a new actionable task in a local Codex Desktop chat. Codex prepares the brief without expanding your scope and sends it once to the installed Jev helper.</w:t>
      </w:r>
    </w:p>
    <w:p>
      <w:pPr/>
      <w:r>
        <w:t>2. When a confidence-qualified final Jev route differs from the active model or effort, Codex reports the recommendation and ends its turn. It performs no task research, file reads, edits, or implementation while waiting. If the active selection is unknown, the instruction also requires a pause for confirmation.</w:t>
      </w:r>
    </w:p>
    <w:p>
      <w:pPr/>
      <w:r>
        <w:t>3. Open the Desktop model picker. Select the final recommended model and reasoning effort, then send “continue.” Codex resumes the same task without another Jev call unless the task materially changes.</w:t>
      </w:r>
    </w:p>
    <w:p>
      <w:pPr/>
      <w:r>
        <w:t>4. If the accepted route already matches the active selection, work continues. If Jev is unavailable, malformed, or below the model confidence floor, the local policy continues without asking you to switch.</w:t>
      </w:r>
    </w:p>
    <w:p>
      <w:pPr>
        <w:pStyle w:val="Heading2"/>
      </w:pPr>
      <w:r>
        <w:t>What the pause looks like</w:t>
      </w:r>
    </w:p>
    <w:p>
      <w:pPr/>
      <w:r>
        <w:t>Illustrative output only: Jev recommends GPT-6 Sol, High. Final recommendation: GPT-6 Sol, High. Model confidence: 0.91. Effort confidence: 0.87. Local override: none. Select GPT-6 Sol and High in the Desktop picker, then say “continue.”</w:t>
      </w:r>
    </w:p>
    <w:p>
      <w:pPr>
        <w:pStyle w:val="Heading2"/>
      </w:pPr>
      <w:r>
        <w:t>Scope and limits</w:t>
      </w:r>
    </w:p>
    <w:p>
      <w:pPr/>
      <w:r>
        <w:t>The Desktop pause is an assistant instruction, not an application-level execution lock. The helper cannot change the Desktop picker. The CLI launcher can start a new CLI session with the selected model and effort. This package supports the local Mac workflow; it does not establish automatic native iPhone routing or cloud ChatGPT Work coverage.</w:t>
      </w:r>
    </w:p>
    <w:p>
      <w:r>
        <w:br w:type="page"/>
      </w:r>
    </w:p>
    <w:p>
      <w:pPr>
        <w:pStyle w:val="Heading1"/>
      </w:pPr>
      <w:r>
        <w:t>Install for local Codex Desktop</w:t>
      </w:r>
    </w:p>
    <w:p>
      <w:pPr>
        <w:pStyle w:val="Heading2"/>
      </w:pPr>
      <w:r>
        <w:t>Prerequisites</w:t>
      </w:r>
    </w:p>
    <w:p>
      <w:pPr/>
      <w:r>
        <w:t>Use macOS with Codex Desktop and the Codex CLI installed, plus Bash, Node.js, jq, and curl. The helper needs Node.js even when you use Desktop only. Each user needs their own TypeSafe API key and access to the models they select. No key is supplied in this package. Codex remains the authority on account access.</w:t>
      </w:r>
    </w:p>
    <w:p>
      <w:pPr>
        <w:pStyle w:val="Heading2"/>
      </w:pPr>
      <w:r>
        <w:t>Store the TypeSafe key</w:t>
      </w:r>
    </w:p>
    <w:p>
      <w:pPr/>
      <w:r>
        <w:t>In Keychain Access, select the login keychain and create a new password item. Set the Keychain Item Name to codex-route-typesafe, Account Name to your macOS short username, and Password to your TypeSafe API key. You can run id -un to find the short username. Approve macOS Keychain access if prompted.</w:t>
      </w:r>
    </w:p>
    <w:p>
      <w:pPr/>
      <w:r>
        <w:t>The router looks for an explicit TYPESAFE_API_KEY first, then ~/.config/codex-route/typesafe.env, then the named Keychain item. The installed helper strips the caller environment, so Keychain is the preferred setup here. An existing credential file can take precedence over Keychain; review it privately if the wrong credential is used.</w:t>
      </w:r>
    </w:p>
    <w:p>
      <w:pPr>
        <w:pStyle w:val="Heading2"/>
      </w:pPr>
      <w:r>
        <w:t>Install the helper and instruction</w:t>
      </w:r>
    </w:p>
    <w:p>
      <w:pPr/>
      <w:r>
        <w:t>1. Extract the ZIP and open its codex-model-router folder as a local Codex project. You may ask Codex to perform the following installation steps; regular use is through Desktop.</w:t>
      </w:r>
    </w:p>
    <w:p>
      <w:r>
        <w:rPr>
          <w:rFonts w:ascii="Consolas" w:hAnsi="Consolas"/>
          <w:sz w:val="18"/>
        </w:rPr>
        <w:t>bash ./install-global-jev-bridge.sh</w:t>
      </w:r>
    </w:p>
    <w:p>
      <w:pPr/>
      <w:r>
        <w:t>2. Merge AGENTS_TEMPLATE.md into ~/.codex/AGENTS.md, preserving unrelated instructions and replacing any older conflicting Jev rule. Do not copy the template over the entire file blindly. The installer installs code only; it does not merge this instruction for you.</w:t>
      </w:r>
    </w:p>
    <w:p>
      <w:pPr/>
      <w:r>
        <w:t>3. The installation places code and the catalog in ~/.codex/jev-router and commands in ~/.local/bin. settings.json contains only non-secret Keychain metadata. The helper can run directly without a persistent bridge process.</w:t>
      </w:r>
    </w:p>
    <w:p>
      <w:pPr/>
      <w:r>
        <w:t>4. The supplied instruction uses GPT-6 Luna at Extra High as the starter preference. Select that default in your own Desktop settings if available. The installer does not change your Desktop default or active model.</w:t>
      </w:r>
    </w:p>
    <w:p>
      <w:pPr/>
      <w:r>
        <w:t>5. Start a fresh local chat so it loads the global instruction, then try a real task. Confirm the chat displays both the model and reasoning effort and stops when the qualified route differs. Also try another project to check instruction loading there.</w:t>
      </w:r>
    </w:p>
    <w:p>
      <w:r>
        <w:br w:type="page"/>
      </w:r>
    </w:p>
    <w:p>
      <w:pPr>
        <w:pStyle w:val="Heading1"/>
      </w:pPr>
      <w:r>
        <w:t>Use the helper and CLI</w:t>
      </w:r>
    </w:p>
    <w:p>
      <w:pPr>
        <w:pStyle w:val="Heading2"/>
      </w:pPr>
      <w:r>
        <w:t>Check the helper without starting work</w:t>
      </w:r>
    </w:p>
    <w:p>
      <w:r>
        <w:rPr>
          <w:rFonts w:ascii="Consolas" w:hAnsi="Consolas"/>
          <w:sz w:val="18"/>
        </w:rPr>
        <w:t>printf '%s\n' 'Build a local project board with saved tasks' | ~/.local/bin/jev-route</w:t>
      </w:r>
    </w:p>
    <w:p>
      <w:pPr/>
      <w:r>
        <w:t>The JSON result separates Jev’s choice from the final recommendation. A valid typed result has jev.verified true, but that alone does not mean the confidence floor was met. route.source equal to jev-choice identifies a qualified Jev route. Inspect recommendation.model, recommendation.effort, route.override, and jev.confidence_details.</w:t>
      </w:r>
    </w:p>
    <w:p>
      <w:pPr>
        <w:pStyle w:val="Heading2"/>
      </w:pPr>
      <w:r>
        <w:t>Preview a CLI recommendation</w:t>
      </w:r>
    </w:p>
    <w:p>
      <w:r>
        <w:t>printf '%s\n' 'Add a project search filter' | ./codex-route --dry-run --hybrid</w:t>
      </w:r>
    </w:p>
    <w:p>
      <w:pPr/>
      <w:r>
        <w:t>This asks Jev and prints the selected route without starting Codex. Review the recommendation, then use the launch command below when ready. Hybrid mode reads the brief only from standard input. For sensitive tasks, enter the brief through a protected file or editor so it is not stored in shell history.</w:t>
      </w:r>
    </w:p>
    <w:p>
      <w:pPr>
        <w:pStyle w:val="Heading2"/>
      </w:pPr>
      <w:r>
        <w:t>Start a new CLI session</w:t>
      </w:r>
    </w:p>
    <w:p>
      <w:r>
        <w:t>printf '%s\n' 'Add a project search filter' | ./codex-route --hybrid</w:t>
      </w:r>
    </w:p>
    <w:p>
      <w:pPr/>
      <w:r>
        <w:t>This makes a new routing call and launches Codex with the resulting model and effort. The CLI does not stop for the Desktop picker; it passes the choice to the new process. Omit --hybrid for local keyword routing only. Keep the script beside its catalog, or use the globally installed command.</w:t>
      </w:r>
    </w:p>
    <w:p>
      <w:pPr>
        <w:pStyle w:val="Heading2"/>
      </w:pPr>
      <w:r>
        <w:t>Use an explicit override</w:t>
      </w:r>
    </w:p>
    <w:p>
      <w:r>
        <w:rPr>
          <w:rFonts w:ascii="Consolas" w:hAnsi="Consolas"/>
          <w:sz w:val="18"/>
        </w:rPr>
        <w:t>./codex-route --lane luna "Adjust this card spacing"</w:t>
      </w:r>
    </w:p>
    <w:p>
      <w:r>
        <w:rPr>
          <w:rFonts w:ascii="Consolas" w:hAnsi="Consolas"/>
          <w:sz w:val="18"/>
        </w:rPr>
        <w:t>./codex-route --model gpt-6-sol "Review this implementation"</w:t>
      </w:r>
    </w:p>
    <w:p>
      <w:pPr/>
      <w:r>
        <w:t>Explicit lane or model overrides bypass Jev. Do not combine --lane and --model. If codex is not on PATH, set CODEX_BIN to its executable path. Run ./codex-route --help for the command options.</w:t>
      </w:r>
    </w:p>
    <w:p>
      <w:pPr>
        <w:pStyle w:val="Heading2"/>
      </w:pPr>
      <w:r>
        <w:t>Change a task while paused</w:t>
      </w:r>
    </w:p>
    <w:p>
      <w:pPr/>
      <w:r>
        <w:t>Send the revised task instead of “continue.” Codex should refine and route the revised scope before execution. Ordinary discussion, status questions, acknowledgments, and unchanged continuations do not require another Jev call.</w:t>
      </w:r>
    </w:p>
    <w:p>
      <w:r>
        <w:br w:type="page"/>
      </w:r>
    </w:p>
    <w:p>
      <w:pPr>
        <w:pStyle w:val="Heading1"/>
      </w:pPr>
      <w:r>
        <w:t>Understand the recommendation</w:t>
      </w:r>
    </w:p>
    <w:p>
      <w:pPr>
        <w:pStyle w:val="Heading2"/>
      </w:pPr>
      <w:r>
        <w:t>What Jev receives</w:t>
      </w:r>
    </w:p>
    <w:p>
      <w:pPr/>
      <w:r>
        <w:t>Each request sends the task brief, detailed routing criteria, and saved model reference text directly in the request. Jev does not need to open links and is not assumed to remember earlier requests. The catalog contains detailed facts written from official documentation; it is not an exact reproduction of the source pages.</w:t>
      </w:r>
    </w:p>
    <w:p>
      <w:pPr/>
      <w:r>
        <w:t>The saved catalog covers GPT-6 Astra, GPT-6.1 Sol, GPT-6 Sol, GPT-6 Luna, GPT-5.6 Sol, GPT-5.6 Terra, GPT-5.6 Luna, and GPT-5.5. GPT-Reserve is excluded. The router offers eligible models as direct choices and asks a separate conditional effort question for each eligible model in the same HTTP call. It reads only the effort answer associated with the chosen model. The local Codex cache supplies availability information when present; the catalog must be maintained as models change.</w:t>
      </w:r>
    </w:p>
    <w:p>
      <w:pPr>
        <w:pStyle w:val="Heading2"/>
      </w:pPr>
      <w:r>
        <w:t>Confidence and local rules</w:t>
      </w:r>
    </w:p>
    <w:p>
      <w:pPr/>
      <w:r>
        <w:t>The model choice must score at least 0.70. Effort has its own 0.70 floor. If the model qualifies but effort does not, the model can be retained with a disclosed local minimum that favors allowance conservation, reported as effort-confidence-floor. If model confidence is too low, local model routing applies. High-consequence and heavy-work rules can raise the final route above Jev’s advice.</w:t>
      </w:r>
    </w:p>
    <w:p>
      <w:pPr/>
      <w:r>
        <w:t>Confidence is the returned Choice score, not a demonstrated probability that the task will succeed. Jev is instructed to preserve included Codex subscription allowance: prefer GPT-6 Luna at the lowest effort that meets the task’s quality and verification needs, and use Sol or Astra only when their added capability is needed. OpenAI says allowance use varies with model, task, and settings; higher reasoning effort can consume more allowance without guaranteeing a better result. The catalog provides Standard-mode credit rates for all eight models as a directional signal for eligible credit-billed usage: GPT-6 Luna is 2.5 / 0.25 / 12.5 credits per million input / cached-input / output tokens, GPT-6.1 Sol is 50 / 2.5 / 250, and GPT-6 Sol is 50 / 5 / 250. These credit rates do not give an exact per-task conversion for included subscription allowance. API token prices are not used as a proxy for subscription use. This package makes no guarantee of task accuracy or subscription savings.</w:t>
      </w:r>
    </w:p>
    <w:p>
      <w:pPr>
        <w:pStyle w:val="Heading2"/>
      </w:pPr>
      <w:r>
        <w:t>Troubleshooting</w:t>
      </w:r>
    </w:p>
    <w:p>
      <w:pPr/>
      <w:r>
        <w:t>No Jev recommendation: check Node.js, jq, curl, the Keychain service and account, and credential-file precedence. An inaccessible login keychain or network failure can produce a local fallback. Do not print your credential while diagnosing.</w:t>
      </w:r>
    </w:p>
    <w:p>
      <w:pPr/>
      <w:r>
        <w:t>No Desktop pause: inspect route.source first. Fallbacks and matching accepted routes intentionally continue. For a qualified differing route, confirm a fresh chat loaded ~/.codex/AGENTS.md and that no conflicting instruction overrides it.</w:t>
      </w:r>
    </w:p>
    <w:p>
      <w:pPr/>
      <w:r>
        <w:t>Model unavailable: select an available model explicitly and update the catalog and policy before relying on automatic routing. A cache is not proof of current entitlement.</w:t>
      </w:r>
    </w:p>
    <w:p>
      <w:pPr/>
      <w:r>
        <w:t>The task brief is sent to TypeSafe. Keep credentials and secrets out of it. No Keychain database, local settings, session logs, private network address, or personal project data is included in this release package.</w:t>
      </w:r>
    </w:p>
    <w:p>
      <w:r>
        <w:br w:type="page"/>
      </w:r>
    </w:p>
    <w:p>
      <w:pPr>
        <w:pStyle w:val="Heading1"/>
      </w:pPr>
      <w:r>
        <w:t>Source code and sharing</w:t>
      </w:r>
    </w:p>
    <w:p>
      <w:pPr>
        <w:pStyle w:val="Heading2"/>
      </w:pPr>
      <w:r>
        <w:t>Included files</w:t>
      </w:r>
    </w:p>
    <w:p>
      <w:pPr/>
      <w:r>
        <w:t>The accompanying ZIP contains the complete executable router, saved model catalog, Node helper, local socket bridge, macOS installer, AGENTS_TEMPLATE.md, this guide, README.md, and offline router and bridge checks. Use the source files directly; the Word document is the setup guide rather than a place to copy long scripts.</w:t>
      </w:r>
    </w:p>
    <w:p>
      <w:pPr>
        <w:pStyle w:val="Heading2"/>
      </w:pPr>
      <w:r>
        <w:t>Optional local checks</w:t>
      </w:r>
    </w:p>
    <w:p>
      <w:r>
        <w:rPr>
          <w:rFonts w:ascii="Consolas" w:hAnsi="Consolas"/>
          <w:sz w:val="18"/>
        </w:rPr>
        <w:t>bash ./test-hybrid-router.sh</w:t>
      </w:r>
    </w:p>
    <w:p>
      <w:r>
        <w:rPr>
          <w:rFonts w:ascii="Consolas" w:hAnsi="Consolas"/>
          <w:sz w:val="18"/>
        </w:rPr>
        <w:t>node --test ./test-jev-keychain-bridge.mjs</w:t>
      </w:r>
    </w:p>
    <w:p>
      <w:pPr/>
      <w:r>
        <w:t>These checks use local fixtures and mocks. They check routing behavior and bridge contracts, not general model-selection accuracy, native Desktop compliance, or another user’s account access.</w:t>
      </w:r>
    </w:p>
    <w:p>
      <w:pPr>
        <w:pStyle w:val="Heading2"/>
      </w:pPr>
      <w:r>
        <w:t>Official OpenAI references</w:t>
      </w:r>
    </w:p>
    <w:p>
      <w:pPr/>
      <w:r>
        <w:rPr/>
        <w:t xml:space="preserve">Model catalog: </w:t>
      </w:r>
      <w:hyperlink r:id="rId10">
        <w:r>
          <w:rPr>
            <w:color w:val="0563C1"/>
            <w:u w:val="single"/>
          </w:rPr>
          <w:t>https://developers.openai.com/api/docs/models</w:t>
        </w:r>
      </w:hyperlink>
      <w:r>
        <w:rPr/>
      </w:r>
    </w:p>
    <w:p>
      <w:r>
        <w:rPr>
          <w:sz w:val="18"/>
        </w:rPr>
        <w:t xml:space="preserve">GPT-6 Astra: </w:t>
      </w:r>
      <w:hyperlink r:id="rId11">
        <w:r>
          <w:rPr>
            <w:color w:val="0563C1"/>
            <w:u w:val="single"/>
            <w:sz w:val="18"/>
          </w:rPr>
          <w:t>https://developers.openai.com/api/docs/models/gpt-6-astra</w:t>
        </w:r>
      </w:hyperlink>
      <w:r>
        <w:rPr>
          <w:sz w:val="18"/>
        </w:rPr>
      </w:r>
    </w:p>
    <w:p>
      <w:r>
        <w:rPr>
          <w:sz w:val="18"/>
        </w:rPr>
        <w:t xml:space="preserve">GPT-6 Sol: </w:t>
      </w:r>
      <w:hyperlink r:id="rId12">
        <w:r>
          <w:rPr>
            <w:color w:val="0563C1"/>
            <w:u w:val="single"/>
            <w:sz w:val="18"/>
          </w:rPr>
          <w:t>https://developers.openai.com/api/docs/models/gpt-6-sol</w:t>
        </w:r>
      </w:hyperlink>
      <w:r>
        <w:rPr>
          <w:sz w:val="18"/>
        </w:rPr>
      </w:r>
    </w:p>
    <w:p>
      <w:r>
        <w:t xml:space="preserve">GPT-6.1 Sol: </w:t>
      </w:r>
      <w:hyperlink r:id="rId19">
        <w:r>
          <w:rPr>
            <w:color w:val="0563C1"/>
            <w:u w:val="single"/>
          </w:rPr>
          <w:t>https://developers.openai.com/api/docs/models/gpt-6.1-sol</w:t>
        </w:r>
      </w:hyperlink>
    </w:p>
    <w:p>
      <w:r>
        <w:rPr>
          <w:sz w:val="18"/>
        </w:rPr>
        <w:t xml:space="preserve">GPT-6 Luna: </w:t>
      </w:r>
      <w:hyperlink r:id="rId13">
        <w:r>
          <w:rPr>
            <w:color w:val="0563C1"/>
            <w:u w:val="single"/>
            <w:sz w:val="18"/>
          </w:rPr>
          <w:t>https://developers.openai.com/api/docs/models/gpt-6-luna</w:t>
        </w:r>
      </w:hyperlink>
      <w:r>
        <w:rPr>
          <w:sz w:val="18"/>
        </w:rPr>
      </w:r>
    </w:p>
    <w:p>
      <w:r>
        <w:rPr>
          <w:sz w:val="18"/>
        </w:rPr>
        <w:t xml:space="preserve">GPT-5.6 Sol: </w:t>
      </w:r>
      <w:hyperlink r:id="rId14">
        <w:r>
          <w:rPr>
            <w:color w:val="0563C1"/>
            <w:u w:val="single"/>
            <w:sz w:val="18"/>
          </w:rPr>
          <w:t>https://developers.openai.com/api/docs/models/gpt-5.6-sol</w:t>
        </w:r>
      </w:hyperlink>
      <w:r>
        <w:rPr>
          <w:sz w:val="18"/>
        </w:rPr>
      </w:r>
    </w:p>
    <w:p>
      <w:r>
        <w:rPr>
          <w:sz w:val="18"/>
        </w:rPr>
        <w:t xml:space="preserve">GPT-5.6 Terra: </w:t>
      </w:r>
      <w:hyperlink r:id="rId15">
        <w:r>
          <w:rPr>
            <w:color w:val="0563C1"/>
            <w:u w:val="single"/>
            <w:sz w:val="18"/>
          </w:rPr>
          <w:t>https://developers.openai.com/api/docs/models/gpt-5.6-terra</w:t>
        </w:r>
      </w:hyperlink>
      <w:r>
        <w:rPr>
          <w:sz w:val="18"/>
        </w:rPr>
      </w:r>
    </w:p>
    <w:p>
      <w:r>
        <w:rPr>
          <w:sz w:val="18"/>
        </w:rPr>
        <w:t xml:space="preserve">GPT-5.6 Luna: </w:t>
      </w:r>
      <w:hyperlink r:id="rId16">
        <w:r>
          <w:rPr>
            <w:color w:val="0563C1"/>
            <w:u w:val="single"/>
            <w:sz w:val="18"/>
          </w:rPr>
          <w:t>https://developers.openai.com/api/docs/models/gpt-5.6-luna</w:t>
        </w:r>
      </w:hyperlink>
      <w:r>
        <w:rPr>
          <w:sz w:val="18"/>
        </w:rPr>
      </w:r>
    </w:p>
    <w:p>
      <w:r>
        <w:rPr>
          <w:sz w:val="18"/>
        </w:rPr>
        <w:t xml:space="preserve">GPT-5.5: </w:t>
      </w:r>
      <w:hyperlink r:id="rId17">
        <w:r>
          <w:rPr>
            <w:color w:val="0563C1"/>
            <w:u w:val="single"/>
            <w:sz w:val="18"/>
          </w:rPr>
          <w:t>https://developers.openai.com/api/docs/models/gpt-5.5</w:t>
        </w:r>
      </w:hyperlink>
      <w:r>
        <w:rPr>
          <w:sz w:val="18"/>
        </w:rPr>
      </w:r>
    </w:p>
    <w:p>
      <w:pPr>
        <w:pStyle w:val="Heading2"/>
      </w:pPr>
      <w:r>
        <w:t>Official Codex allowance references</w:t>
      </w:r>
    </w:p>
    <w:p>
      <w:r>
        <w:t xml:space="preserve">Included Work and Codex allowance guidance: </w:t>
      </w:r>
      <w:hyperlink r:id="rId20">
        <w:r>
          <w:rPr>
            <w:color w:val="0563C1"/>
            <w:u w:val="single"/>
          </w:rPr>
          <w:t>OpenAI Help Center</w:t>
        </w:r>
      </w:hyperlink>
    </w:p>
    <w:p>
      <w:r>
        <w:t xml:space="preserve">Codex credit rate card: </w:t>
      </w:r>
      <w:hyperlink r:id="rId21">
        <w:r>
          <w:rPr>
            <w:color w:val="0563C1"/>
            <w:u w:val="single"/>
          </w:rPr>
          <w:t>OpenAI Help Center</w:t>
        </w:r>
      </w:hyperlink>
    </w:p>
    <w:p>
      <w:pPr>
        <w:pStyle w:val="Heading2"/>
      </w:pPr>
      <w:r>
        <w:t>Project links</w:t>
      </w:r>
    </w:p>
    <w:p>
      <w:r>
        <w:t xml:space="preserve">Source repository: </w:t>
      </w:r>
      <w:hyperlink r:id="rId1">
        <w:r>
          <w:rPr>
            <w:color w:val="0563C1"/>
            <w:u w:val="single"/>
          </w:rPr>
          <w:t>https://github.com/Bulato597-data/codex-jev-router</w:t>
        </w:r>
      </w:hyperlink>
    </w:p>
    <w:p>
      <w:r>
        <w:t xml:space="preserve">Ready-to-extract ZIP: </w:t>
      </w:r>
      <w:hyperlink r:id="rId18">
        <w:r>
          <w:rPr>
            <w:color w:val="0563C1"/>
            <w:u w:val="single"/>
          </w:rPr>
          <w:t>https://github.com/Bulato597-data/codex-jev-router/releases/latest/download/Codex-Model-Router-Public-Package.zip</w:t>
        </w:r>
      </w:hyperlink>
    </w:p>
    <w:sectPr>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Codex Model Router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18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evelopers.openai.com/api/docs/models" TargetMode="External"/><Relationship Id="rId11" Type="http://schemas.openxmlformats.org/officeDocument/2006/relationships/hyperlink" Target="https://developers.openai.com/api/docs/models/gpt-6-astra" TargetMode="External"/><Relationship Id="rId12" Type="http://schemas.openxmlformats.org/officeDocument/2006/relationships/hyperlink" Target="https://developers.openai.com/api/docs/models/gpt-6-sol" TargetMode="External"/><Relationship Id="rId13" Type="http://schemas.openxmlformats.org/officeDocument/2006/relationships/hyperlink" Target="https://developers.openai.com/api/docs/models/gpt-6-luna" TargetMode="External"/><Relationship Id="rId14" Type="http://schemas.openxmlformats.org/officeDocument/2006/relationships/hyperlink" Target="https://developers.openai.com/api/docs/models/gpt-5.6-sol" TargetMode="External"/><Relationship Id="rId15" Type="http://schemas.openxmlformats.org/officeDocument/2006/relationships/hyperlink" Target="https://developers.openai.com/api/docs/models/gpt-5.6-terra" TargetMode="External"/><Relationship Id="rId16" Type="http://schemas.openxmlformats.org/officeDocument/2006/relationships/hyperlink" Target="https://developers.openai.com/api/docs/models/gpt-5.6-luna" TargetMode="External"/><Relationship Id="rId17" Type="http://schemas.openxmlformats.org/officeDocument/2006/relationships/hyperlink" Target="https://developers.openai.com/api/docs/models/gpt-5.5" TargetMode="External"/><Relationship Id="rId1" Type="http://schemas.openxmlformats.org/officeDocument/2006/relationships/hyperlink" Target="https://github.com/Bulato597-data/codex-jev-router" TargetMode="External"/><Relationship Id="rId18" Type="http://schemas.openxmlformats.org/officeDocument/2006/relationships/hyperlink" Target="https://github.com/Bulato597-data/codex-jev-router/releases/latest/download/Codex-Model-Router-Public-Package.zip" TargetMode="External"/><Relationship Id="rId19" Type="http://schemas.openxmlformats.org/officeDocument/2006/relationships/hyperlink" Target="https://developers.openai.com/api/docs/models/gpt-6.1-sol" TargetMode="External"/><Relationship Id="rId20" Type="http://schemas.openxmlformats.org/officeDocument/2006/relationships/hyperlink" Target="https://help.openai.com/en/articles/20001516-managing-usage-with-gpt-6-astra-in-work-and-codex" TargetMode="External"/><Relationship Id="rId21" Type="http://schemas.openxmlformats.org/officeDocument/2006/relationships/hyperlink" Target="https://help.openai.com/en/articles/11481834-chatgpt-rate-card-business-enterpriseedu-credit-based-pric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Codex Model Router and Jev Guide</dc:title>
</cp:coreProperties>
</file>