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0.999; F1 0.992; Brier 0.007) and, in extreme scenarios, achieves 2.6x higher detection F1 than a minimal threshold baseline, with approximately 60 minutes of average early warning lead time - where the baseline provides none -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and creates alert fatigue [29,30], and makes downstream action nearly impossible. The real goal is not just detection accuracy, but operational stability where we turn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 xml:space="preserve">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and that improves modularity and responsiveness in dynamic environments [4].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[5,6].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 xml:space="preserve">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Pr>
          <w:rtl w:val="0"/>
        </w:rPr>
        <w:t xml:space="preserve">To make the evaluation interpretable, the study is structured around three research questions. (RQ1) Does calibrated ML combined with explicit guardrails improve detection quality over a minimal threshold baseline under noisy, incomplete sensor observations? (RQ2) Do the stability mechanisms (hysteresis, debouncing, consensus gating, and health-aware degradation) preserve alarm stability without sacrificing early-warning lead time? (RQ3) How does the system degrade under extreme operating conditions (sensor dropout, high noise, and dry versus wet initial states)? Section 5.1 addresses RQ1 with offline model-quality results, Section 5.2 addresses RQ1-RQ3 with scenario-level operational results, and Section 5.3 addresses RQ2-RQ3 with stability and lead-time analysis.</w:t>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within the broader landscape of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[7].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[8]. Recent examples include real-time flood forecasting using data-driven models such as neural networks and gradient-boosted regressors under event-focused data regimes [9].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 xml:space="preserve">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[4]. In disaster response and emergency management, MAS has been explored for coordination, task allocation, and decision support, including agent-based coordination technologies in emergency response contexts [10] and human-agent teaming systems aimed at aiding responders with decentralized coordination and decision support [11]. More recent “agentic AI” work proposes orchestrated multi-agent frameworks for integrating heterogeneous tools and data streams into cohesive disaster-management decision pipelines [12]. FloodMAS aligns with this MAS motivation, using agents primarily to structure a robust early-warning workflow (sensor → edge inference → coordinator), with explicit stability guardrails as first-class system behavior. Directly in the flood domain, Rafanelli et al. propose a neural-logic multi-agent system whose alerts fire only when two heterogeneous sources agree (aerial image segmentation and weather reports) [31]; this agreement-based gating is conceptually close to FloodMAS's consensus mechanism, although that system does not combine calibrated probabilities, hysteresis/debouncing, or health-aware degradation. Multi-agent architectures have also been applied to fuse geolocated social media and IoT sensor streams for flood detection and situational awareness [32], focusing on data fusion rather than on calibrated risk estimation and alarm-stability guardrails.</w:t>
      </w:r>
    </w:p>
    <w:p w:rsidR="00000000" w:rsidDel="00000000" w:rsidP="00000000" w:rsidRDefault="00000000" w:rsidRPr="00000000" w14:paraId="00000018">
      <w:pPr>
        <w:rPr/>
      </w:pPr>
      <w:r w:rsidDel="00000000" w:rsidR="00000000" w:rsidRPr="00000000">
        <w:rPr>
          <w:rtl w:val="0"/>
        </w:rPr>
        <w:t xml:space="preserve">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[6].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[13], while instructional material for ISA 18.2 describes deadband (hysteresis) and delay attributes as common anti-chatter techniques [14]. FloodMAS brings the same ideas into a disaster-monitoring context, enforcing stability through hysteresis, debouncing, and multi-zone gating so state changes reflect sustained evidence rather than transient spikes. Machine-learning models have also been proposed to predict oscillating (chattering) alarms from process data [33], indicating that alarm stability is a recognized operational concern in industrial practice as well.</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[15]. A hydrologic flood in rivers is commonly described as high streamflow overtopping natural or artificial banks [16]. Floods can develop over longer periods, while flash floods are characterized by very rapid onset after intense rainfall (often within hours) [17,18]. In our system we treat early warning as a short-horizon prediction and stabilization problem, given recent rainfall and water-level dynamics, and estimate whether conditions are likely to cross a flood threshold within the next X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 xml:space="preserve">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[15,16].</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[19].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[20]. A Gradient Boosting Classifier builds an additive model in stages, fitting trees to improve performance under a differentiable loss such as log loss (a natural choice for probabilistic classification outputs like this one) [21].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 xml:space="preserve">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0.999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[5]. In reality calibration is supported in scikit-learn via the calibration framework (like CalibratedClassifierCV) and is commonly assessed using tools such as calibration curves and proper scoring rules (like Brier loss) [21,22].</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[23].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[4]. The experimental layout consists of a 20x20 cell grid divided into four 10x10 zones, with the river channel occupying the central three-cell-wide column band, which is depressed in elevation, carries base flow, and receives the upstream inflow. Because every zone intersects this corridor, all four zones can flood directly; the two top-row zones additionally receive the upstream inflow, which introduces a mild upstream/downstream asymmetry in flood onset timing.</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Fonts w:ascii="Gungsuh" w:cs="Gungsuh" w:eastAsia="Gungsuh" w:hAnsi="Gungsuh"/>
          <w:rtl w:val="0"/>
        </w:rPr>
        <w:t xml:space="preserve">Edge aggregation agents-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 xml:space="preserve">Optional mitigation agents - A hook for actuation policies (like pumps/gates) that react to sustained alerts so that they somewhat react to the sensors.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[23].</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 xml:space="preserve">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[24].</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w:t>
        <w:br w:type="textWrapping"/>
      </w:r>
      <w:r w:rsidDel="00000000" w:rsidR="00000000" w:rsidRPr="00000000">
        <w:rPr>
          <w:rtl w:val="0"/>
        </w:rPr>
        <w:t xml:space="preserve">Two thresholds are used, an escalation threshold​ and a de-escalation where threshold down &lt; threshold up​. This gap prevents rapid toggling when p hovers near a single boundary, matching the deadband concept used to prevent chattering alarms[24].</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w:t>
        <w:br w:type="textWrapping"/>
      </w:r>
      <w:r w:rsidDel="00000000" w:rsidR="00000000" w:rsidRPr="00000000">
        <w:rPr>
          <w:rtl w:val="0"/>
        </w:rPr>
        <w:t xml:space="preserve">A state change requires K consecutive steps meeting the condition. Time filtering is a standard anti-chatter mechanism in alarm practice [24].</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 xml:space="preserve">can mask isolated faults by relying on agreement among replicas [25].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[24].</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by inspecting the calibrated model's score distribution on the training set; TH_UP = 0.6 was chosen as a risk level at which the calibrated probabilities are strongly elevated, and the 0.2 deadband (TH_UP - TH_DOWN) was chosen to exceed the typical step-to-step risk fluctuation observed in non-flood conditions. A systematic sensitivity sweep across threshold values and debounce window lengths is left for future work. Informally, we observed in preliminary experiments that narrowing the deadband below 0.1 tends to reintroduce flapping in the normal_wet scenario, while widening it beyond 0.3 increases detection delay without obvious stability gains; these are informal design observations, not results of the reported evaluation.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 Lead time is measured per zone as the number of steps from the most recent transition into a warning state (SUSPECTED or ALERT) preceding a flood onset to the onset itself; a flood onset with no preceding warning contributes no lead time. This credits only genuinely anticipatory warnings and matches the warning definition used for detection metrics.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 xml:space="preserve">FloodMAS trains a zone-level classifier to predict whether a zone will exceed the flood threshold within the next 𝑇 steps. Table 1 summarizes held-out test performance using standard classification metrics where ROC-AUC measures discrimination across thresholds[26], F1 is the harmonic mean of precision and recall[27],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1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 xml:space="preserve">0.999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 xml:space="preserve">0.992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 xml:space="preserve">0.989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 xml:space="preserve">0.007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 xml:space="preserve">0.999 </w:t>
            </w:r>
            <m:oMath>
              <m:r>
                <m:t>±</m:t>
              </m:r>
            </m:oMath>
            <w:r w:rsidDel="00000000" w:rsidR="00000000" w:rsidRPr="00000000">
              <w:rPr>
                <w:sz w:val="18"/>
                <w:szCs w:val="18"/>
                <w:rtl w:val="0"/>
              </w:rPr>
              <w:t xml:space="preserve"> 0.000</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 xml:space="preserve">0.992</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265,552; FP = 1,562; FN = 3,433; TP = 321,453 (total 592,000 zone-step samples from 400 held-out episodes). This corresponds to a false-positive rate of 1,562/(265,552+1,562) = 0.58% and a miss rate of 3,433/(321,453+3,433) = 1.06%. The low Brier score (0.007) indicates that the model's probability outputs are well-behaved for thresholding and downstream policy logic, consistent with the purpose of probability calibration methods in scikit-learn[22]. Table 2 shows the Random Forest feature importance ranking, which measures each feature's contribution to classification discrimination. Part of the near-perfect ROC-AUC reflects the strong causal link between the water-level features and the short-horizon label once the level approaches the flood threshold; the operational value of the system therefore lies primarily in the pre-threshold regime, which is quantified by the lead-time results in Sections 5.2 and 5.3.</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2.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 xml:space="preserve">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 xml:space="preserve">0.454</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 xml:space="preserve">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 xml:space="preserve">0.329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 xml:space="preserve">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 xml:space="preserve">0.108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 xml:space="preserve">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 xml:space="preserve">0.045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 xml:space="preserve">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 xml:space="preserve">0.041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 xml:space="preserve">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 xml:space="preserve">0.012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 xml:space="preserve">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 xml:space="preserve">0.011</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 xml:space="preserve">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 xml:space="preserve">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Feature importance as reported by the Random Forest measures each feature's contribution to classification discrimination -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third in ML importance (10.8%) but serves a dual role - it both helps the classifier and gates the state machine's escalation decisions. Water-level features dominate (78.3%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2.6× higher F1 than the baseline consistently across all conditions.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3. </w:t>
      </w:r>
      <w:r w:rsidDel="00000000" w:rsidR="00000000" w:rsidRPr="00000000">
        <w:rPr>
          <w:sz w:val="18"/>
          <w:szCs w:val="18"/>
          <w:rtl w:val="0"/>
        </w:rPr>
        <w:t xml:space="preserve">Scenario-level operational performance - Stress scenarios (mean of 3 repeats)</w:t>
      </w:r>
      <w:r w:rsidDel="00000000" w:rsidR="00000000" w:rsidRPr="00000000">
        <w:rPr>
          <w:rtl w:val="0"/>
        </w:rPr>
      </w:r>
    </w:p>
    <w:tbl>
      <w:tblPr>
        <w:tblStyle w:val="Table3"/>
        <w:tblW w:w="6870.0" w:type="dxa"/>
        <w:jc w:val="center"/>
        <w:tblLayout w:type="fixed"/>
        <w:tblLook w:val="0000"/>
      </w:tblPr>
      <w:tblGrid>
        <w:gridCol w:w="1200"/>
        <w:gridCol w:w="840"/>
        <w:gridCol w:w="690"/>
        <w:gridCol w:w="690"/>
        <w:gridCol w:w="690"/>
        <w:gridCol w:w="690"/>
        <w:gridCol w:w="690"/>
        <w:gridCol w:w="690"/>
        <w:gridCol w:w="690"/>
        <w:tblGridChange w:id="0">
          <w:tblGrid>
            <w:gridCol w:w="1200"/>
            <w:gridCol w:w="840"/>
            <w:gridCol w:w="690"/>
            <w:gridCol w:w="690"/>
            <w:gridCol w:w="690"/>
            <w:gridCol w:w="690"/>
            <w:gridCol w:w="690"/>
            <w:gridCol w:w="690"/>
            <w:gridCol w:w="690"/>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8E">
            <w:pPr>
              <w:ind w:firstLine="0"/>
              <w:jc w:val="left"/>
              <w:rPr>
                <w:sz w:val="18"/>
                <w:szCs w:val="18"/>
              </w:rPr>
            </w:pPr>
            <w:r w:rsidDel="00000000" w:rsidR="00000000" w:rsidRPr="00000000">
              <w:rPr>
                <w:sz w:val="18"/>
                <w:szCs w:val="18"/>
                <w:rtl w:val="0"/>
              </w:rPr>
              <w:t xml:space="preserve">Scenario</w:t>
            </w:r>
          </w:p>
        </w:tc>
        <w:tc>
          <w:tcPr>
            <w:tcBorders>
              <w:top w:color="000000" w:space="0" w:sz="12" w:val="single"/>
              <w:bottom w:color="000000" w:space="0" w:sz="6" w:val="single"/>
            </w:tcBorders>
          </w:tcPr>
          <w:p w:rsidR="00000000" w:rsidDel="00000000" w:rsidP="00000000" w:rsidRDefault="00000000" w:rsidRPr="00000000" w14:paraId="0000008F">
            <w:pPr>
              <w:ind w:firstLine="0"/>
              <w:jc w:val="left"/>
              <w:rPr>
                <w:sz w:val="18"/>
                <w:szCs w:val="18"/>
              </w:rPr>
            </w:pPr>
            <w:r w:rsidDel="00000000" w:rsidR="00000000" w:rsidRPr="00000000">
              <w:rPr>
                <w:sz w:val="18"/>
                <w:szCs w:val="18"/>
                <w:rtl w:val="0"/>
              </w:rPr>
              <w:t xml:space="preserve">MAS F1</w:t>
            </w:r>
          </w:p>
        </w:tc>
        <w:tc>
          <w:tcPr>
            <w:tcBorders>
              <w:top w:color="000000" w:space="0" w:sz="12" w:val="single"/>
              <w:bottom w:color="000000" w:space="0" w:sz="6" w:val="single"/>
            </w:tcBorders>
          </w:tcPr>
          <w:p w:rsidR="00000000" w:rsidDel="00000000" w:rsidP="00000000" w:rsidRDefault="00000000" w:rsidRPr="00000000" w14:paraId="00000090">
            <w:pPr>
              <w:ind w:firstLine="0"/>
              <w:jc w:val="left"/>
              <w:rPr>
                <w:sz w:val="18"/>
                <w:szCs w:val="18"/>
              </w:rPr>
            </w:pPr>
            <w:r w:rsidDel="00000000" w:rsidR="00000000" w:rsidRPr="00000000">
              <w:rPr>
                <w:sz w:val="18"/>
                <w:szCs w:val="18"/>
                <w:rtl w:val="0"/>
              </w:rPr>
              <w:t xml:space="preserve">BL F1</w:t>
            </w:r>
          </w:p>
        </w:tc>
        <w:tc>
          <w:tcPr>
            <w:tcBorders>
              <w:top w:color="000000" w:space="0" w:sz="12" w:val="single"/>
              <w:bottom w:color="000000" w:space="0" w:sz="6" w:val="single"/>
            </w:tcBorders>
          </w:tcPr>
          <w:p w:rsidR="00000000" w:rsidDel="00000000" w:rsidP="00000000" w:rsidRDefault="00000000" w:rsidRPr="00000000" w14:paraId="00000091">
            <w:pPr>
              <w:ind w:firstLine="0"/>
              <w:jc w:val="left"/>
              <w:rPr>
                <w:sz w:val="18"/>
                <w:szCs w:val="18"/>
              </w:rPr>
            </w:pPr>
            <w:r w:rsidDel="00000000" w:rsidR="00000000" w:rsidRPr="00000000">
              <w:rPr>
                <w:sz w:val="18"/>
                <w:szCs w:val="18"/>
                <w:rtl w:val="0"/>
              </w:rPr>
              <w:t xml:space="preserve">MAS Precision</w:t>
            </w:r>
          </w:p>
        </w:tc>
        <w:tc>
          <w:tcPr>
            <w:tcBorders>
              <w:top w:color="000000" w:space="0" w:sz="12" w:val="single"/>
              <w:bottom w:color="000000" w:space="0" w:sz="6" w:val="single"/>
            </w:tcBorders>
          </w:tcPr>
          <w:p w:rsidR="00000000" w:rsidDel="00000000" w:rsidP="00000000" w:rsidRDefault="00000000" w:rsidRPr="00000000" w14:paraId="00000092">
            <w:pPr>
              <w:ind w:firstLine="0"/>
              <w:jc w:val="left"/>
              <w:rPr>
                <w:sz w:val="18"/>
                <w:szCs w:val="18"/>
              </w:rPr>
            </w:pPr>
            <w:r w:rsidDel="00000000" w:rsidR="00000000" w:rsidRPr="00000000">
              <w:rPr>
                <w:sz w:val="18"/>
                <w:szCs w:val="18"/>
                <w:rtl w:val="0"/>
              </w:rPr>
              <w:t xml:space="preserve">BL Precision</w:t>
            </w:r>
          </w:p>
        </w:tc>
        <w:tc>
          <w:tcPr>
            <w:tcBorders>
              <w:top w:color="000000" w:space="0" w:sz="12" w:val="single"/>
              <w:bottom w:color="000000" w:space="0" w:sz="6" w:val="single"/>
            </w:tcBorders>
          </w:tcPr>
          <w:p w:rsidR="00000000" w:rsidDel="00000000" w:rsidP="00000000" w:rsidRDefault="00000000" w:rsidRPr="00000000" w14:paraId="00000093">
            <w:pPr>
              <w:ind w:firstLine="0"/>
              <w:jc w:val="left"/>
              <w:rPr>
                <w:sz w:val="18"/>
                <w:szCs w:val="18"/>
              </w:rPr>
            </w:pPr>
            <w:r w:rsidDel="00000000" w:rsidR="00000000" w:rsidRPr="00000000">
              <w:rPr>
                <w:sz w:val="18"/>
                <w:szCs w:val="18"/>
                <w:rtl w:val="0"/>
              </w:rPr>
              <w:t xml:space="preserve">MAS Recall</w:t>
            </w:r>
          </w:p>
        </w:tc>
        <w:tc>
          <w:tcPr>
            <w:tcBorders>
              <w:top w:color="000000" w:space="0" w:sz="12" w:val="single"/>
              <w:bottom w:color="000000" w:space="0" w:sz="6" w:val="single"/>
            </w:tcBorders>
          </w:tcPr>
          <w:p w:rsidR="00000000" w:rsidDel="00000000" w:rsidP="00000000" w:rsidRDefault="00000000" w:rsidRPr="00000000" w14:paraId="00000094">
            <w:pPr>
              <w:ind w:firstLine="0"/>
              <w:jc w:val="left"/>
              <w:rPr>
                <w:sz w:val="18"/>
                <w:szCs w:val="18"/>
              </w:rPr>
            </w:pPr>
            <w:r w:rsidDel="00000000" w:rsidR="00000000" w:rsidRPr="00000000">
              <w:rPr>
                <w:sz w:val="18"/>
                <w:szCs w:val="18"/>
                <w:rtl w:val="0"/>
              </w:rPr>
              <w:t xml:space="preserve">BL Recall</w:t>
            </w:r>
          </w:p>
        </w:tc>
        <w:tc>
          <w:tcPr>
            <w:tcBorders>
              <w:top w:color="000000" w:space="0" w:sz="12" w:val="single"/>
              <w:bottom w:color="000000" w:space="0" w:sz="6" w:val="single"/>
            </w:tcBorders>
          </w:tcPr>
          <w:p w:rsidR="00000000" w:rsidDel="00000000" w:rsidP="00000000" w:rsidRDefault="00000000" w:rsidRPr="00000000" w14:paraId="00000095">
            <w:pPr>
              <w:ind w:firstLine="0"/>
              <w:jc w:val="left"/>
              <w:rPr>
                <w:sz w:val="18"/>
                <w:szCs w:val="18"/>
              </w:rPr>
            </w:pPr>
            <w:r w:rsidDel="00000000" w:rsidR="00000000" w:rsidRPr="00000000">
              <w:rPr>
                <w:sz w:val="18"/>
                <w:szCs w:val="18"/>
                <w:rtl w:val="0"/>
              </w:rPr>
              <w:t xml:space="preserve">MAS Lead (steps)</w:t>
            </w:r>
          </w:p>
        </w:tc>
        <w:tc>
          <w:tcPr>
            <w:tcBorders>
              <w:top w:color="000000" w:space="0" w:sz="12" w:val="single"/>
              <w:bottom w:color="000000" w:space="0" w:sz="6" w:val="single"/>
            </w:tcBorders>
          </w:tcPr>
          <w:p w:rsidR="00000000" w:rsidDel="00000000" w:rsidP="00000000" w:rsidRDefault="00000000" w:rsidRPr="00000000" w14:paraId="00000096">
            <w:pPr>
              <w:ind w:firstLine="0"/>
              <w:jc w:val="left"/>
              <w:rPr>
                <w:sz w:val="18"/>
                <w:szCs w:val="18"/>
              </w:rPr>
            </w:pPr>
            <w:r w:rsidDel="00000000" w:rsidR="00000000" w:rsidRPr="00000000">
              <w:rPr>
                <w:sz w:val="18"/>
                <w:szCs w:val="18"/>
                <w:rtl w:val="0"/>
              </w:rPr>
              <w:t xml:space="preserve">BL Lead</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ind w:firstLine="0"/>
              <w:jc w:val="left"/>
              <w:rPr>
                <w:sz w:val="18"/>
                <w:szCs w:val="18"/>
              </w:rPr>
            </w:pPr>
            <w:r w:rsidDel="00000000" w:rsidR="00000000" w:rsidRPr="00000000">
              <w:rPr>
                <w:sz w:val="18"/>
                <w:szCs w:val="18"/>
                <w:rtl w:val="0"/>
              </w:rPr>
              <w:t xml:space="preserve">normal_dry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E">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F">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ind w:firstLine="0"/>
              <w:jc w:val="left"/>
              <w:rPr>
                <w:sz w:val="18"/>
                <w:szCs w:val="18"/>
              </w:rPr>
            </w:pPr>
            <w:r w:rsidDel="00000000" w:rsidR="00000000" w:rsidRPr="00000000">
              <w:rPr>
                <w:sz w:val="18"/>
                <w:szCs w:val="18"/>
                <w:rtl w:val="0"/>
              </w:rPr>
              <w:t xml:space="preserve">normal_wet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7">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8">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ind w:firstLine="0"/>
              <w:jc w:val="left"/>
              <w:rPr>
                <w:sz w:val="18"/>
                <w:szCs w:val="18"/>
              </w:rPr>
            </w:pPr>
            <w:r w:rsidDel="00000000" w:rsidR="00000000" w:rsidRPr="00000000">
              <w:rPr>
                <w:sz w:val="18"/>
                <w:szCs w:val="18"/>
                <w:rtl w:val="0"/>
              </w:rPr>
              <w:t xml:space="preserve">extreme_dry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ind w:firstLine="0"/>
              <w:jc w:val="left"/>
              <w:rPr>
                <w:sz w:val="18"/>
                <w:szCs w:val="18"/>
              </w:rPr>
            </w:pPr>
            <w:r w:rsidDel="00000000" w:rsidR="00000000" w:rsidRPr="00000000">
              <w:rPr>
                <w:sz w:val="18"/>
                <w:szCs w:val="18"/>
                <w:rtl w:val="0"/>
              </w:rPr>
              <w:t xml:space="preserve">0.449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ind w:firstLine="0"/>
              <w:jc w:val="left"/>
              <w:rPr>
                <w:sz w:val="18"/>
                <w:szCs w:val="18"/>
              </w:rPr>
            </w:pPr>
            <w:r w:rsidDel="00000000" w:rsidR="00000000" w:rsidRPr="00000000">
              <w:rPr>
                <w:sz w:val="18"/>
                <w:szCs w:val="18"/>
                <w:rtl w:val="0"/>
              </w:rPr>
              <w:t xml:space="preserve">0.175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ind w:firstLine="0"/>
              <w:jc w:val="left"/>
              <w:rPr>
                <w:sz w:val="18"/>
                <w:szCs w:val="18"/>
              </w:rPr>
            </w:pPr>
            <w:r w:rsidDel="00000000" w:rsidR="00000000" w:rsidRPr="00000000">
              <w:rPr>
                <w:sz w:val="18"/>
                <w:szCs w:val="18"/>
                <w:rtl w:val="0"/>
              </w:rPr>
              <w:t xml:space="preserve">0.920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ind w:firstLine="0"/>
              <w:jc w:val="left"/>
              <w:rPr>
                <w:sz w:val="18"/>
                <w:szCs w:val="18"/>
              </w:rPr>
            </w:pPr>
            <w:r w:rsidDel="00000000" w:rsidR="00000000" w:rsidRPr="00000000">
              <w:rPr>
                <w:sz w:val="18"/>
                <w:szCs w:val="18"/>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ind w:firstLine="0"/>
              <w:jc w:val="left"/>
              <w:rPr>
                <w:sz w:val="18"/>
                <w:szCs w:val="18"/>
              </w:rPr>
            </w:pPr>
            <w:r w:rsidDel="00000000" w:rsidR="00000000" w:rsidRPr="00000000">
              <w:rPr>
                <w:sz w:val="18"/>
                <w:szCs w:val="18"/>
                <w:rtl w:val="0"/>
              </w:rPr>
              <w:t xml:space="preserve">0.323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ind w:firstLine="0"/>
              <w:jc w:val="left"/>
              <w:rPr>
                <w:sz w:val="18"/>
                <w:szCs w:val="18"/>
              </w:rPr>
            </w:pPr>
            <w:r w:rsidDel="00000000" w:rsidR="00000000" w:rsidRPr="00000000">
              <w:rPr>
                <w:sz w:val="18"/>
                <w:szCs w:val="18"/>
                <w:rtl w:val="0"/>
              </w:rPr>
              <w:t xml:space="preserve">0.096</w:t>
            </w:r>
          </w:p>
        </w:tc>
        <w:tc>
          <w:tcPr>
            <w:vAlign w:val="center"/>
          </w:tcPr>
          <w:p w:rsidR="00000000" w:rsidDel="00000000" w:rsidP="00000000" w:rsidRDefault="00000000" w:rsidRPr="00000000" w14:paraId="000000B0">
            <w:pPr>
              <w:ind w:firstLine="0"/>
              <w:jc w:val="left"/>
              <w:rPr>
                <w:sz w:val="18"/>
                <w:szCs w:val="18"/>
              </w:rPr>
            </w:pPr>
            <w:r w:rsidDel="00000000" w:rsidR="00000000" w:rsidRPr="00000000">
              <w:rPr>
                <w:sz w:val="18"/>
                <w:szCs w:val="18"/>
                <w:rtl w:val="0"/>
              </w:rPr>
              <w:t xml:space="preserve">5.0</w:t>
            </w:r>
          </w:p>
        </w:tc>
        <w:tc>
          <w:tcPr>
            <w:vAlign w:val="center"/>
          </w:tcPr>
          <w:p w:rsidR="00000000" w:rsidDel="00000000" w:rsidP="00000000" w:rsidRDefault="00000000" w:rsidRPr="00000000" w14:paraId="000000B1">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2">
            <w:pPr>
              <w:ind w:firstLine="0"/>
              <w:jc w:val="left"/>
              <w:rPr>
                <w:sz w:val="18"/>
                <w:szCs w:val="18"/>
              </w:rPr>
            </w:pPr>
            <w:r w:rsidDel="00000000" w:rsidR="00000000" w:rsidRPr="00000000">
              <w:rPr>
                <w:sz w:val="18"/>
                <w:szCs w:val="18"/>
                <w:rtl w:val="0"/>
              </w:rPr>
              <w:t xml:space="preserve">extreme_wet</w:t>
            </w:r>
          </w:p>
        </w:tc>
        <w:tc>
          <w:tcPr>
            <w:vAlign w:val="center"/>
          </w:tcPr>
          <w:p w:rsidR="00000000" w:rsidDel="00000000" w:rsidP="00000000" w:rsidRDefault="00000000" w:rsidRPr="00000000" w14:paraId="000000B3">
            <w:pPr>
              <w:ind w:firstLine="0"/>
              <w:jc w:val="left"/>
              <w:rPr>
                <w:sz w:val="18"/>
                <w:szCs w:val="18"/>
              </w:rPr>
            </w:pPr>
            <w:r w:rsidDel="00000000" w:rsidR="00000000" w:rsidRPr="00000000">
              <w:rPr>
                <w:sz w:val="18"/>
                <w:szCs w:val="18"/>
                <w:rtl w:val="0"/>
              </w:rPr>
              <w:t xml:space="preserve">0.497</w:t>
            </w:r>
          </w:p>
        </w:tc>
        <w:tc>
          <w:tcPr>
            <w:vAlign w:val="center"/>
          </w:tcPr>
          <w:p w:rsidR="00000000" w:rsidDel="00000000" w:rsidP="00000000" w:rsidRDefault="00000000" w:rsidRPr="00000000" w14:paraId="000000B4">
            <w:pPr>
              <w:ind w:firstLine="0"/>
              <w:jc w:val="left"/>
              <w:rPr>
                <w:sz w:val="18"/>
                <w:szCs w:val="18"/>
              </w:rPr>
            </w:pPr>
            <w:r w:rsidDel="00000000" w:rsidR="00000000" w:rsidRPr="00000000">
              <w:rPr>
                <w:sz w:val="18"/>
                <w:szCs w:val="18"/>
                <w:rtl w:val="0"/>
              </w:rPr>
              <w:t xml:space="preserve">0.189</w:t>
            </w:r>
          </w:p>
        </w:tc>
        <w:tc>
          <w:tcPr>
            <w:vAlign w:val="center"/>
          </w:tcPr>
          <w:p w:rsidR="00000000" w:rsidDel="00000000" w:rsidP="00000000" w:rsidRDefault="00000000" w:rsidRPr="00000000" w14:paraId="000000B5">
            <w:pPr>
              <w:ind w:firstLine="0"/>
              <w:jc w:val="left"/>
              <w:rPr>
                <w:sz w:val="18"/>
                <w:szCs w:val="18"/>
              </w:rPr>
            </w:pPr>
            <w:r w:rsidDel="00000000" w:rsidR="00000000" w:rsidRPr="00000000">
              <w:rPr>
                <w:sz w:val="18"/>
                <w:szCs w:val="18"/>
                <w:rtl w:val="0"/>
              </w:rPr>
              <w:t xml:space="preserve">0.967</w:t>
            </w:r>
          </w:p>
        </w:tc>
        <w:tc>
          <w:tcPr>
            <w:vAlign w:val="center"/>
          </w:tcPr>
          <w:p w:rsidR="00000000" w:rsidDel="00000000" w:rsidP="00000000" w:rsidRDefault="00000000" w:rsidRPr="00000000" w14:paraId="000000B6">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B7">
            <w:pPr>
              <w:ind w:firstLine="0"/>
              <w:jc w:val="left"/>
              <w:rPr>
                <w:sz w:val="18"/>
                <w:szCs w:val="18"/>
              </w:rPr>
            </w:pPr>
            <w:r w:rsidDel="00000000" w:rsidR="00000000" w:rsidRPr="00000000">
              <w:rPr>
                <w:sz w:val="18"/>
                <w:szCs w:val="18"/>
                <w:rtl w:val="0"/>
              </w:rPr>
              <w:t xml:space="preserve">0.358</w:t>
            </w:r>
          </w:p>
        </w:tc>
        <w:tc>
          <w:tcPr>
            <w:vAlign w:val="center"/>
          </w:tcPr>
          <w:p w:rsidR="00000000" w:rsidDel="00000000" w:rsidP="00000000" w:rsidRDefault="00000000" w:rsidRPr="00000000" w14:paraId="000000B8">
            <w:pPr>
              <w:ind w:firstLine="0"/>
              <w:jc w:val="left"/>
              <w:rPr>
                <w:sz w:val="18"/>
                <w:szCs w:val="18"/>
              </w:rPr>
            </w:pPr>
            <w:r w:rsidDel="00000000" w:rsidR="00000000" w:rsidRPr="00000000">
              <w:rPr>
                <w:sz w:val="18"/>
                <w:szCs w:val="18"/>
                <w:rtl w:val="0"/>
              </w:rPr>
              <w:t xml:space="preserve">0.105</w:t>
            </w:r>
          </w:p>
        </w:tc>
        <w:tc>
          <w:tcPr>
            <w:vAlign w:val="center"/>
          </w:tcPr>
          <w:p w:rsidR="00000000" w:rsidDel="00000000" w:rsidP="00000000" w:rsidRDefault="00000000" w:rsidRPr="00000000" w14:paraId="000000B9">
            <w:pPr>
              <w:ind w:firstLine="0"/>
              <w:jc w:val="left"/>
              <w:rPr>
                <w:sz w:val="18"/>
                <w:szCs w:val="18"/>
              </w:rPr>
            </w:pPr>
            <w:r w:rsidDel="00000000" w:rsidR="00000000" w:rsidRPr="00000000">
              <w:rPr>
                <w:sz w:val="18"/>
                <w:szCs w:val="18"/>
                <w:rtl w:val="0"/>
              </w:rPr>
              <w:t xml:space="preserve">3.2</w:t>
            </w:r>
          </w:p>
        </w:tc>
        <w:tc>
          <w:tcPr>
            <w:vAlign w:val="center"/>
          </w:tcPr>
          <w:p w:rsidR="00000000" w:rsidDel="00000000" w:rsidP="00000000" w:rsidRDefault="00000000" w:rsidRPr="00000000" w14:paraId="000000BA">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B">
            <w:pPr>
              <w:ind w:firstLine="0"/>
              <w:jc w:val="left"/>
              <w:rPr>
                <w:sz w:val="18"/>
                <w:szCs w:val="18"/>
              </w:rPr>
            </w:pPr>
            <w:r w:rsidDel="00000000" w:rsidR="00000000" w:rsidRPr="00000000">
              <w:rPr>
                <w:sz w:val="18"/>
                <w:szCs w:val="18"/>
                <w:rtl w:val="0"/>
              </w:rPr>
              <w:t xml:space="preserve">extreme_dropout_10</w:t>
            </w:r>
          </w:p>
        </w:tc>
        <w:tc>
          <w:tcPr>
            <w:vAlign w:val="center"/>
          </w:tcPr>
          <w:p w:rsidR="00000000" w:rsidDel="00000000" w:rsidP="00000000" w:rsidRDefault="00000000" w:rsidRPr="00000000" w14:paraId="000000BC">
            <w:pPr>
              <w:ind w:firstLine="0"/>
              <w:jc w:val="left"/>
              <w:rPr>
                <w:sz w:val="18"/>
                <w:szCs w:val="18"/>
              </w:rPr>
            </w:pPr>
            <w:r w:rsidDel="00000000" w:rsidR="00000000" w:rsidRPr="00000000">
              <w:rPr>
                <w:sz w:val="18"/>
                <w:szCs w:val="18"/>
                <w:rtl w:val="0"/>
              </w:rPr>
              <w:t xml:space="preserve">0.488</w:t>
            </w:r>
          </w:p>
        </w:tc>
        <w:tc>
          <w:tcPr>
            <w:vAlign w:val="center"/>
          </w:tcPr>
          <w:p w:rsidR="00000000" w:rsidDel="00000000" w:rsidP="00000000" w:rsidRDefault="00000000" w:rsidRPr="00000000" w14:paraId="000000BD">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BE">
            <w:pPr>
              <w:ind w:firstLine="0"/>
              <w:jc w:val="left"/>
              <w:rPr>
                <w:sz w:val="18"/>
                <w:szCs w:val="18"/>
              </w:rPr>
            </w:pPr>
            <w:r w:rsidDel="00000000" w:rsidR="00000000" w:rsidRPr="00000000">
              <w:rPr>
                <w:sz w:val="18"/>
                <w:szCs w:val="18"/>
                <w:rtl w:val="0"/>
              </w:rPr>
              <w:t xml:space="preserve">0.967</w:t>
            </w:r>
          </w:p>
        </w:tc>
        <w:tc>
          <w:tcPr>
            <w:vAlign w:val="center"/>
          </w:tcPr>
          <w:p w:rsidR="00000000" w:rsidDel="00000000" w:rsidP="00000000" w:rsidRDefault="00000000" w:rsidRPr="00000000" w14:paraId="000000BF">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0">
            <w:pPr>
              <w:ind w:firstLine="0"/>
              <w:jc w:val="left"/>
              <w:rPr>
                <w:sz w:val="18"/>
                <w:szCs w:val="18"/>
              </w:rPr>
            </w:pPr>
            <w:r w:rsidDel="00000000" w:rsidR="00000000" w:rsidRPr="00000000">
              <w:rPr>
                <w:sz w:val="18"/>
                <w:szCs w:val="18"/>
                <w:rtl w:val="0"/>
              </w:rPr>
              <w:t xml:space="preserve">0.350</w:t>
            </w:r>
          </w:p>
        </w:tc>
        <w:tc>
          <w:tcPr>
            <w:vAlign w:val="center"/>
          </w:tcPr>
          <w:p w:rsidR="00000000" w:rsidDel="00000000" w:rsidP="00000000" w:rsidRDefault="00000000" w:rsidRPr="00000000" w14:paraId="000000C1">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2">
            <w:pPr>
              <w:ind w:firstLine="0"/>
              <w:jc w:val="left"/>
              <w:rPr>
                <w:sz w:val="18"/>
                <w:szCs w:val="18"/>
              </w:rPr>
            </w:pPr>
            <w:r w:rsidDel="00000000" w:rsidR="00000000" w:rsidRPr="00000000">
              <w:rPr>
                <w:sz w:val="18"/>
                <w:szCs w:val="18"/>
                <w:rtl w:val="0"/>
              </w:rPr>
              <w:t xml:space="preserve">2.8</w:t>
            </w:r>
          </w:p>
        </w:tc>
        <w:tc>
          <w:tcPr>
            <w:vAlign w:val="center"/>
          </w:tcPr>
          <w:p w:rsidR="00000000" w:rsidDel="00000000" w:rsidP="00000000" w:rsidRDefault="00000000" w:rsidRPr="00000000" w14:paraId="000000C3">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C4">
            <w:pPr>
              <w:ind w:firstLine="0"/>
              <w:jc w:val="left"/>
              <w:rPr>
                <w:sz w:val="18"/>
                <w:szCs w:val="18"/>
              </w:rPr>
            </w:pPr>
            <w:r w:rsidDel="00000000" w:rsidR="00000000" w:rsidRPr="00000000">
              <w:rPr>
                <w:sz w:val="18"/>
                <w:szCs w:val="18"/>
                <w:rtl w:val="0"/>
              </w:rPr>
              <w:t xml:space="preserve">extreme_dropout_30</w:t>
            </w:r>
          </w:p>
        </w:tc>
        <w:tc>
          <w:tcPr>
            <w:vAlign w:val="center"/>
          </w:tcPr>
          <w:p w:rsidR="00000000" w:rsidDel="00000000" w:rsidP="00000000" w:rsidRDefault="00000000" w:rsidRPr="00000000" w14:paraId="000000C5">
            <w:pPr>
              <w:ind w:firstLine="0"/>
              <w:jc w:val="left"/>
              <w:rPr>
                <w:sz w:val="18"/>
                <w:szCs w:val="18"/>
              </w:rPr>
            </w:pPr>
            <w:r w:rsidDel="00000000" w:rsidR="00000000" w:rsidRPr="00000000">
              <w:rPr>
                <w:sz w:val="18"/>
                <w:szCs w:val="18"/>
                <w:rtl w:val="0"/>
              </w:rPr>
              <w:t xml:space="preserve">0.502</w:t>
            </w:r>
          </w:p>
        </w:tc>
        <w:tc>
          <w:tcPr>
            <w:vAlign w:val="center"/>
          </w:tcPr>
          <w:p w:rsidR="00000000" w:rsidDel="00000000" w:rsidP="00000000" w:rsidRDefault="00000000" w:rsidRPr="00000000" w14:paraId="000000C6">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C7">
            <w:pPr>
              <w:ind w:firstLine="0"/>
              <w:jc w:val="left"/>
              <w:rPr>
                <w:sz w:val="18"/>
                <w:szCs w:val="18"/>
              </w:rPr>
            </w:pPr>
            <w:r w:rsidDel="00000000" w:rsidR="00000000" w:rsidRPr="00000000">
              <w:rPr>
                <w:sz w:val="18"/>
                <w:szCs w:val="18"/>
                <w:rtl w:val="0"/>
              </w:rPr>
              <w:t xml:space="preserve">0.959</w:t>
            </w:r>
          </w:p>
        </w:tc>
        <w:tc>
          <w:tcPr>
            <w:vAlign w:val="center"/>
          </w:tcPr>
          <w:p w:rsidR="00000000" w:rsidDel="00000000" w:rsidP="00000000" w:rsidRDefault="00000000" w:rsidRPr="00000000" w14:paraId="000000C8">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9">
            <w:pPr>
              <w:ind w:firstLine="0"/>
              <w:jc w:val="left"/>
              <w:rPr>
                <w:sz w:val="18"/>
                <w:szCs w:val="18"/>
              </w:rPr>
            </w:pPr>
            <w:r w:rsidDel="00000000" w:rsidR="00000000" w:rsidRPr="00000000">
              <w:rPr>
                <w:sz w:val="18"/>
                <w:szCs w:val="18"/>
                <w:rtl w:val="0"/>
              </w:rPr>
              <w:t xml:space="preserve">0.366</w:t>
            </w:r>
          </w:p>
        </w:tc>
        <w:tc>
          <w:tcPr>
            <w:vAlign w:val="center"/>
          </w:tcPr>
          <w:p w:rsidR="00000000" w:rsidDel="00000000" w:rsidP="00000000" w:rsidRDefault="00000000" w:rsidRPr="00000000" w14:paraId="000000CA">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B">
            <w:pPr>
              <w:ind w:firstLine="0"/>
              <w:jc w:val="left"/>
              <w:rPr>
                <w:sz w:val="18"/>
                <w:szCs w:val="18"/>
              </w:rPr>
            </w:pPr>
            <w:r w:rsidDel="00000000" w:rsidR="00000000" w:rsidRPr="00000000">
              <w:rPr>
                <w:sz w:val="18"/>
                <w:szCs w:val="18"/>
                <w:rtl w:val="0"/>
              </w:rPr>
              <w:t xml:space="preserve">4.7</w:t>
            </w:r>
          </w:p>
        </w:tc>
        <w:tc>
          <w:tcPr>
            <w:vAlign w:val="center"/>
          </w:tcPr>
          <w:p w:rsidR="00000000" w:rsidDel="00000000" w:rsidP="00000000" w:rsidRDefault="00000000" w:rsidRPr="00000000" w14:paraId="000000CC">
            <w:pPr>
              <w:ind w:firstLine="0"/>
              <w:jc w:val="left"/>
              <w:rPr>
                <w:sz w:val="18"/>
                <w:szCs w:val="18"/>
              </w:rPr>
            </w:pPr>
            <w:r w:rsidDel="00000000" w:rsidR="00000000" w:rsidRPr="00000000">
              <w:rPr>
                <w:sz w:val="18"/>
                <w:szCs w:val="18"/>
                <w:rtl w:val="0"/>
              </w:rPr>
              <w:t xml:space="preserve">N/A</w:t>
            </w:r>
          </w:p>
        </w:tc>
      </w:tr>
      <w:tr>
        <w:trPr>
          <w:cantSplit w:val="0"/>
          <w:trHeight w:val="677.9296875" w:hRule="atLeast"/>
          <w:tblHeader w:val="0"/>
        </w:trPr>
        <w:tc>
          <w:tcPr>
            <w:vAlign w:val="center"/>
          </w:tcPr>
          <w:p w:rsidR="00000000" w:rsidDel="00000000" w:rsidP="00000000" w:rsidRDefault="00000000" w:rsidRPr="00000000" w14:paraId="000000CD">
            <w:pPr>
              <w:ind w:firstLine="0"/>
              <w:jc w:val="left"/>
              <w:rPr>
                <w:sz w:val="18"/>
                <w:szCs w:val="18"/>
              </w:rPr>
            </w:pPr>
            <w:r w:rsidDel="00000000" w:rsidR="00000000" w:rsidRPr="00000000">
              <w:rPr>
                <w:sz w:val="18"/>
                <w:szCs w:val="18"/>
                <w:rtl w:val="0"/>
              </w:rPr>
              <w:t xml:space="preserve">extreme_dropout_50</w:t>
            </w:r>
          </w:p>
        </w:tc>
        <w:tc>
          <w:tcPr>
            <w:vAlign w:val="center"/>
          </w:tcPr>
          <w:p w:rsidR="00000000" w:rsidDel="00000000" w:rsidP="00000000" w:rsidRDefault="00000000" w:rsidRPr="00000000" w14:paraId="000000CE">
            <w:pPr>
              <w:ind w:firstLine="0"/>
              <w:jc w:val="left"/>
              <w:rPr>
                <w:sz w:val="18"/>
                <w:szCs w:val="18"/>
              </w:rPr>
            </w:pPr>
            <w:r w:rsidDel="00000000" w:rsidR="00000000" w:rsidRPr="00000000">
              <w:rPr>
                <w:sz w:val="18"/>
                <w:szCs w:val="18"/>
                <w:rtl w:val="0"/>
              </w:rPr>
              <w:t xml:space="preserve">0.515</w:t>
            </w:r>
          </w:p>
        </w:tc>
        <w:tc>
          <w:tcPr>
            <w:vAlign w:val="center"/>
          </w:tcPr>
          <w:p w:rsidR="00000000" w:rsidDel="00000000" w:rsidP="00000000" w:rsidRDefault="00000000" w:rsidRPr="00000000" w14:paraId="000000CF">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D0">
            <w:pPr>
              <w:ind w:firstLine="0"/>
              <w:jc w:val="left"/>
              <w:rPr>
                <w:sz w:val="18"/>
                <w:szCs w:val="18"/>
              </w:rPr>
            </w:pPr>
            <w:r w:rsidDel="00000000" w:rsidR="00000000" w:rsidRPr="00000000">
              <w:rPr>
                <w:sz w:val="18"/>
                <w:szCs w:val="18"/>
                <w:rtl w:val="0"/>
              </w:rPr>
              <w:t xml:space="preserve">0.987</w:t>
            </w:r>
          </w:p>
        </w:tc>
        <w:tc>
          <w:tcPr>
            <w:vAlign w:val="center"/>
          </w:tcPr>
          <w:p w:rsidR="00000000" w:rsidDel="00000000" w:rsidP="00000000" w:rsidRDefault="00000000" w:rsidRPr="00000000" w14:paraId="000000D1">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2">
            <w:pPr>
              <w:ind w:firstLine="0"/>
              <w:jc w:val="left"/>
              <w:rPr>
                <w:sz w:val="18"/>
                <w:szCs w:val="18"/>
              </w:rPr>
            </w:pPr>
            <w:r w:rsidDel="00000000" w:rsidR="00000000" w:rsidRPr="00000000">
              <w:rPr>
                <w:sz w:val="18"/>
                <w:szCs w:val="18"/>
                <w:rtl w:val="0"/>
              </w:rPr>
              <w:t xml:space="preserve">0.375</w:t>
            </w:r>
          </w:p>
        </w:tc>
        <w:tc>
          <w:tcPr>
            <w:vAlign w:val="center"/>
          </w:tcPr>
          <w:p w:rsidR="00000000" w:rsidDel="00000000" w:rsidP="00000000" w:rsidRDefault="00000000" w:rsidRPr="00000000" w14:paraId="000000D3">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D4">
            <w:pPr>
              <w:ind w:firstLine="0"/>
              <w:jc w:val="left"/>
              <w:rPr>
                <w:sz w:val="18"/>
                <w:szCs w:val="18"/>
              </w:rPr>
            </w:pPr>
            <w:r w:rsidDel="00000000" w:rsidR="00000000" w:rsidRPr="00000000">
              <w:rPr>
                <w:sz w:val="18"/>
                <w:szCs w:val="18"/>
                <w:rtl w:val="0"/>
              </w:rPr>
              <w:t xml:space="preserve">7.0</w:t>
            </w:r>
          </w:p>
        </w:tc>
        <w:tc>
          <w:tcPr>
            <w:vAlign w:val="center"/>
          </w:tcPr>
          <w:p w:rsidR="00000000" w:rsidDel="00000000" w:rsidP="00000000" w:rsidRDefault="00000000" w:rsidRPr="00000000" w14:paraId="000000D5">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D6">
            <w:pPr>
              <w:ind w:firstLine="0"/>
              <w:jc w:val="left"/>
              <w:rPr>
                <w:sz w:val="18"/>
                <w:szCs w:val="18"/>
              </w:rPr>
            </w:pPr>
            <w:r w:rsidDel="00000000" w:rsidR="00000000" w:rsidRPr="00000000">
              <w:rPr>
                <w:sz w:val="18"/>
                <w:szCs w:val="18"/>
                <w:rtl w:val="0"/>
              </w:rPr>
              <w:t xml:space="preserve">extreme_noisy</w:t>
            </w:r>
          </w:p>
        </w:tc>
        <w:tc>
          <w:tcPr>
            <w:vAlign w:val="center"/>
          </w:tcPr>
          <w:p w:rsidR="00000000" w:rsidDel="00000000" w:rsidP="00000000" w:rsidRDefault="00000000" w:rsidRPr="00000000" w14:paraId="000000D7">
            <w:pPr>
              <w:ind w:firstLine="0"/>
              <w:jc w:val="left"/>
              <w:rPr>
                <w:sz w:val="18"/>
                <w:szCs w:val="18"/>
              </w:rPr>
            </w:pPr>
            <w:r w:rsidDel="00000000" w:rsidR="00000000" w:rsidRPr="00000000">
              <w:rPr>
                <w:sz w:val="18"/>
                <w:szCs w:val="18"/>
                <w:rtl w:val="0"/>
              </w:rPr>
              <w:t xml:space="preserve">0.492</w:t>
            </w:r>
          </w:p>
        </w:tc>
        <w:tc>
          <w:tcPr>
            <w:vAlign w:val="center"/>
          </w:tcPr>
          <w:p w:rsidR="00000000" w:rsidDel="00000000" w:rsidP="00000000" w:rsidRDefault="00000000" w:rsidRPr="00000000" w14:paraId="000000D8">
            <w:pPr>
              <w:ind w:firstLine="0"/>
              <w:jc w:val="left"/>
              <w:rPr>
                <w:sz w:val="18"/>
                <w:szCs w:val="18"/>
              </w:rPr>
            </w:pPr>
            <w:r w:rsidDel="00000000" w:rsidR="00000000" w:rsidRPr="00000000">
              <w:rPr>
                <w:sz w:val="18"/>
                <w:szCs w:val="18"/>
                <w:rtl w:val="0"/>
              </w:rPr>
              <w:t xml:space="preserve">0.196</w:t>
            </w:r>
          </w:p>
        </w:tc>
        <w:tc>
          <w:tcPr>
            <w:vAlign w:val="center"/>
          </w:tcPr>
          <w:p w:rsidR="00000000" w:rsidDel="00000000" w:rsidP="00000000" w:rsidRDefault="00000000" w:rsidRPr="00000000" w14:paraId="000000D9">
            <w:pPr>
              <w:ind w:firstLine="0"/>
              <w:jc w:val="left"/>
              <w:rPr>
                <w:sz w:val="18"/>
                <w:szCs w:val="18"/>
              </w:rPr>
            </w:pPr>
            <w:r w:rsidDel="00000000" w:rsidR="00000000" w:rsidRPr="00000000">
              <w:rPr>
                <w:sz w:val="18"/>
                <w:szCs w:val="18"/>
                <w:rtl w:val="0"/>
              </w:rPr>
              <w:t xml:space="preserve">0.978</w:t>
            </w:r>
          </w:p>
        </w:tc>
        <w:tc>
          <w:tcPr>
            <w:vAlign w:val="center"/>
          </w:tcPr>
          <w:p w:rsidR="00000000" w:rsidDel="00000000" w:rsidP="00000000" w:rsidRDefault="00000000" w:rsidRPr="00000000" w14:paraId="000000DA">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B">
            <w:pPr>
              <w:ind w:firstLine="0"/>
              <w:jc w:val="left"/>
              <w:rPr>
                <w:sz w:val="18"/>
                <w:szCs w:val="18"/>
              </w:rPr>
            </w:pPr>
            <w:r w:rsidDel="00000000" w:rsidR="00000000" w:rsidRPr="00000000">
              <w:rPr>
                <w:sz w:val="18"/>
                <w:szCs w:val="18"/>
                <w:rtl w:val="0"/>
              </w:rPr>
              <w:t xml:space="preserve">0.355</w:t>
            </w:r>
          </w:p>
        </w:tc>
        <w:tc>
          <w:tcPr>
            <w:vAlign w:val="center"/>
          </w:tcPr>
          <w:p w:rsidR="00000000" w:rsidDel="00000000" w:rsidP="00000000" w:rsidRDefault="00000000" w:rsidRPr="00000000" w14:paraId="000000DC">
            <w:pPr>
              <w:ind w:firstLine="0"/>
              <w:jc w:val="left"/>
              <w:rPr>
                <w:sz w:val="18"/>
                <w:szCs w:val="18"/>
              </w:rPr>
            </w:pPr>
            <w:r w:rsidDel="00000000" w:rsidR="00000000" w:rsidRPr="00000000">
              <w:rPr>
                <w:sz w:val="18"/>
                <w:szCs w:val="18"/>
                <w:rtl w:val="0"/>
              </w:rPr>
              <w:t xml:space="preserve">0.109</w:t>
            </w:r>
          </w:p>
        </w:tc>
        <w:tc>
          <w:tcPr>
            <w:vAlign w:val="center"/>
          </w:tcPr>
          <w:p w:rsidR="00000000" w:rsidDel="00000000" w:rsidP="00000000" w:rsidRDefault="00000000" w:rsidRPr="00000000" w14:paraId="000000DD">
            <w:pPr>
              <w:ind w:firstLine="0"/>
              <w:jc w:val="left"/>
              <w:rPr>
                <w:sz w:val="18"/>
                <w:szCs w:val="18"/>
              </w:rPr>
            </w:pPr>
            <w:r w:rsidDel="00000000" w:rsidR="00000000" w:rsidRPr="00000000">
              <w:rPr>
                <w:sz w:val="18"/>
                <w:szCs w:val="18"/>
                <w:rtl w:val="0"/>
              </w:rPr>
              <w:t xml:space="preserve">1.4</w:t>
            </w:r>
          </w:p>
        </w:tc>
        <w:tc>
          <w:tcPr>
            <w:vAlign w:val="center"/>
          </w:tcPr>
          <w:p w:rsidR="00000000" w:rsidDel="00000000" w:rsidP="00000000" w:rsidRDefault="00000000" w:rsidRPr="00000000" w14:paraId="000000DE">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8"/>
                <w:szCs w:val="18"/>
                <w:rtl w:val="0"/>
              </w:rPr>
              <w:t xml:space="preserve">Average (all)</w:t>
            </w:r>
          </w:p>
        </w:tc>
        <w:tc>
          <w:tcPr>
            <w:tcBorders>
              <w:bottom w:color="000000" w:space="0" w:sz="12" w:val="single"/>
            </w:tcBorders>
            <w:vAlign w:val="cente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8"/>
                <w:szCs w:val="18"/>
                <w:rtl w:val="0"/>
              </w:rPr>
              <w:t xml:space="preserve">0.368</w:t>
            </w:r>
          </w:p>
        </w:tc>
        <w:tc>
          <w:tcPr>
            <w:tcBorders>
              <w:bottom w:color="000000" w:space="0" w:sz="12" w:val="single"/>
            </w:tcBorders>
            <w:vAlign w:val="cente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8"/>
                <w:szCs w:val="18"/>
                <w:rtl w:val="0"/>
              </w:rPr>
              <w:t xml:space="preserve">0.141</w:t>
            </w:r>
          </w:p>
        </w:tc>
        <w:tc>
          <w:tcPr>
            <w:tcBorders>
              <w:bottom w:color="000000" w:space="0" w:sz="12" w:val="single"/>
            </w:tcBorders>
            <w:vAlign w:val="cente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8"/>
                <w:szCs w:val="18"/>
                <w:rtl w:val="0"/>
              </w:rPr>
              <w:t xml:space="preserve">0.963</w:t>
            </w:r>
          </w:p>
        </w:tc>
        <w:tc>
          <w:tcPr>
            <w:tcBorders>
              <w:bottom w:color="000000" w:space="0" w:sz="12" w:val="single"/>
            </w:tcBorders>
            <w:vAlign w:val="cente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8"/>
                <w:szCs w:val="18"/>
                <w:rtl w:val="0"/>
              </w:rPr>
              <w:t xml:space="preserve">1.000</w:t>
            </w:r>
          </w:p>
        </w:tc>
        <w:tc>
          <w:tcPr>
            <w:tcBorders>
              <w:bottom w:color="000000" w:space="0" w:sz="12" w:val="single"/>
            </w:tcBorders>
            <w:vAlign w:val="cente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8"/>
                <w:szCs w:val="18"/>
                <w:rtl w:val="0"/>
              </w:rPr>
              <w:t xml:space="preserve">0.354</w:t>
            </w:r>
          </w:p>
        </w:tc>
        <w:tc>
          <w:tcPr>
            <w:tcBorders>
              <w:bottom w:color="000000" w:space="0" w:sz="12" w:val="single"/>
            </w:tcBorders>
            <w:vAlign w:val="cente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8"/>
                <w:szCs w:val="18"/>
                <w:rtl w:val="0"/>
              </w:rPr>
              <w:t xml:space="preserve">0.104</w:t>
            </w:r>
          </w:p>
        </w:tc>
        <w:tc>
          <w:tcPr>
            <w:tcBorders>
              <w:bottom w:color="000000" w:space="0" w:sz="12" w:val="single"/>
            </w:tcBorders>
            <w:vAlign w:val="cente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8"/>
                <w:szCs w:val="18"/>
                <w:rtl w:val="0"/>
              </w:rPr>
              <w:t xml:space="preserve">4.0</w:t>
            </w:r>
          </w:p>
        </w:tc>
        <w:tc>
          <w:tcPr>
            <w:tcBorders>
              <w:bottom w:color="000000" w:space="0" w:sz="12" w:val="single"/>
            </w:tcBorders>
            <w:vAlign w:val="cente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8"/>
                <w:szCs w:val="18"/>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(~96%) for 3.4x higher recall (~35%), catching substantially more flood steps. Across all flood scenarios (averaged over 3 repeats), baseline recall is 10.4% while FloodMAS recall is 35.4%.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4.0 steps (~60 minutes at 15 min/step) before flood onset. The baseline provides zero early warnings across all scenarios - it never issues an alert before the flood is already underway. Across all flood scenarios and repeats, FloodMAS zones issued 55 early warnings before flood onset in total (a mean of 18.3 per scenario over its three repeats),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(2.6% false-positive zone-steps on average across the three repeats; 7.9% in the worst repeat and 0% in the other two). This demonstrates why the guardrails layer is central -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0.515, slightly higher than the no-dropout extreme_wet F1 = 0.497) with an average of 13.3 total state changes (summed across the four zones) vs. 14.0 for extreme_wet. Lead time increases from 3.2 to 7.0 steps under dropout, reflecting the guardrails' conservative behavior when sensor health degrades and the system waits for stronger evidence before alerting, as designed.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 xml:space="preserve">FloodMAS achieves an average lead time of 4.0 steps across flood scenarios, equivalent to approximately 60 minutes of advance warning at the configured step duration of 15 minutes. Lead time varies by scenario from 1.4 steps in extreme_noisy (where rapid signal changes enable fast detection) to 7.0 steps in extreme_dropout_50 (where degraded sensor health triggers the guardrails' conservative mode, requiring more sustained evidence before escalation). The baseline achieves zero lead time in all scenarios -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 xml:space="preserve">In scenario-based evaluations across eight conditions with 3-repeat statistical averaging, FloodMAS achieves 2.6x higher detection F1 than a threshold baseline (0.37 vs. 0.14), with an average 60-minute early warning lead time where the baseline provides none. FloodMAS maintains this advantage even under 50% sensor dropout,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 xml:space="preserve">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 and (6) a scalability study of the coordinator's fusion logic on larger zone grids (e.g., 3x3 and 4x4 layouts), including a river-zone versus land-zone analysis that quantifies how recall, lead time, and global alarm stability scale with the number of zones and the fraction of river-adjacent zones.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r>
        <w:rPr>
          <w:rtl w:val="0"/>
        </w:rPr>
        <w:t xml:space="preserve">Reproducibility. The simulator, data-generation pipeline, training pipeline, evaluation harness, and figure-generation scripts are implemented in Python 3.12 and are available in the public repository at [REPOSITORY-URL]. All experimental configurations (seeds, guardrail parameters, baseline thresholds, and the eight scenario definitions) are stored as versioned YAML files, and the trained model, the generated datasets, the per-run experiment logs, and the results used in Tables 1-3 are archived alongside the source code. The complete evaluation can be re-executed end-to-end with a single pipeline entry point, ensuring that every number reported in this paper can be independently regenerated.</w:t>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20 Jan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10 Feb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20 Jan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10 Feb 2026.</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10 Feb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1 Feb 2026.</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11 Jan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10 Jan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10 Feb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20 Dec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20 Jan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Matsuda, H., Kotani, H., Onishi, M.: Causal effects of perceived false alarm ratio on flood protective actions during heavy rain warnings in Japan: a case study of Tropical Storm Yun-Yeung in 2023. Weather, Climate, and Society 17(4), 683–698 (2025). https://doi.org/10.1175/WCAS-D-24-0106.1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Watanabe, M., Kotani, H., Yagi, R., Sawada, Y., Kawabata, T.: Emotional responses and perceptions of false alarms in flood warnings and their impact on evacuation action: an empirical analysis of the Kyushu Region, Japan. Journal of the Meteorological Society of Japan 104(1), art. 29 (2026). https://doi.org/10.1007/s44394-026-00029-0</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Rafanelli, A., Costantini, S., De Gasperis, G.: Neural-logic multi-agent system for flood event detection. Intelligenza Artificiale 17(1), 19–35 (2023). https://doi.org/10.3233/IA-230004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Avula, G., Thudumu, S., Du, H., Pedasingu, N.R., Vayira, S., Fisher, J.: Flood Watch: A Multi-Agent System for Smarter Disaster Response. In: Proceedings of the 2025 IEEE International Conference on eScience (eScience), pp. 349–350 (2025). https://doi.org/10.1109/eScience65000.2025.00065</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Tamascelli, N., Paltrinieri, N., Cozzani, V.: Predicting chattering alarms: a machine learning approach. Computers &amp; Chemical Engineering 143, 107122 (2020). https://doi.org/10.1016/j.compchemeng.2020.107122</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