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0.998; F1 0.990; Brier 0.009) and, in extreme scenarios, achieves 2.7× higher detection F1 than a minimal threshold baseline, with approximately 40 minutes of average early warning lead time, where the baseline provides none,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and creates alert fatigue [4, 5], and makes downstream action nearly impossible. The real goal is not just detection accuracy, but operational stability, turning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which improves modularity and responsiveness in dynamic environments [6].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[7, 8].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Pr>
          <w:rtl w:val="0"/>
        </w:rPr>
        <w:t xml:space="preserve">To make the evaluation interpretable, the study is structured around three research questions. (RQ1) Does calibrated ML combined with explicit guardrails improve detection quality over a minimal threshold baseline under noisy, incomplete sensor observations? (RQ2) Do the stability mechanisms (hysteresis, debouncing, consensus gating, and health-aware degradation) preserve alarm stability without sacrificing early-warning lead time? (RQ3) How does the system degrade under extreme operating conditions (sensor dropout, high noise, and dry versus wet initial states)? Section 5.1 addresses RQ1 with offline model-quality results, Section 5.2 addresses RQ1-RQ3 with scenario-level operational results, and Sections 5.3 and 5.4 address RQ2-RQ3 with stability and lead-time analysis.</w:t>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within the broader landscape of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[9].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[10]. Recent examples include real-time flood forecasting using data-driven models such as neural networks and gradient-boosted regressors under event-focused data regimes [11].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[6]. In disaster response and emergency management, MAS has been explored for coordination, task allocation, and decision support, including agent-based coordination technologies in emergency response contexts [12] and human-agent teaming systems aimed at aiding responders with decentralized coordination and decision support [13]. More recent "agentic AI" work proposes orchestrated multi-agent frameworks for integrating heterogeneous tools and data streams into cohesive disaster-management decision pipelines [14]. FloodMAS aligns with this MAS motivation, using agents primarily to structure a robust early-warning workflow (sensor → edge inference → coordinator), with explicit stability guardrails as first-class system behavior. Directly in the flood domain, Rafanelli et al. propose a neural-logic multi-agent system whose alerts fire only when two heterogeneous sources agree (aerial image segmentation and weather reports) [15]; this agreement-based gating is conceptually close to FloodMAS's consensus mechanism, although that system does not combine calibrated probabilities, hysteresis/debouncing, or health-aware degradation. Multi-agent architectures have also been applied to fuse geolocated social media and IoT sensor streams for flood detection and situational awareness [16], focusing on data fusion rather than on calibrated risk estimation and alarm-stability guardrails.</w:t>
      </w:r>
    </w:p>
    <w:p w:rsidR="00000000" w:rsidDel="00000000" w:rsidP="00000000" w:rsidRDefault="00000000" w:rsidRPr="00000000" w14:paraId="00000018">
      <w:pPr>
        <w:rPr/>
      </w:pPr>
      <w:r w:rsidDel="00000000" w:rsidR="00000000" w:rsidRPr="00000000">
        <w:rPr>
          <w:rtl w:val="0"/>
        </w:rPr>
        <w:t>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[8].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[17], while instructional material for ISA 18.2 describes deadband (hysteresis) and delay attributes as common anti-chatter techniques [18]. FloodMAS brings the same ideas into a disaster-monitoring context, enforcing stability through hysteresis, debouncing, and multi-zone gating so state changes reflect sustained evidence rather than transient spikes. Machine-learning models have also been proposed to predict oscillating (chattering) alarms from process data [19], indicating that alarm stability is a recognized operational concern in industrial practice as well.</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 Positioning of FloodMAS relative to representative related work.</w:t>
      </w:r>
      <w:r w:rsidDel="00000000" w:rsidR="00000000" w:rsidRPr="00000000">
        <w:rPr>
          <w:sz w:val="18"/>
          <w:szCs w:val="18"/>
          <w:rtl w:val="0"/>
        </w:rPr>
        <w:t xml:space="preserve"/>
      </w:r>
    </w:p>
    <w:tbl>
      <w:tblPr>
        <w:tblStyle w:val="Table1"/>
        <w:jc w:val="center"/>
        <w:tblLayout w:type="fixed"/>
        <w:tblLook w:val="0000"/>
        <w:tblW w:w="6918" w:type="dxa"/>
        <w:tblCellMar>
          <w:left w:w="50" w:type="dxa"/>
          <w:right w:w="50" w:type="dxa"/>
        </w:tblCellMar>
      </w:tblPr>
      <w:tblGrid>
        <w:gridCol w:w="1900"/>
        <w:gridCol w:w="900"/>
        <w:gridCol w:w="830"/>
        <w:gridCol w:w="730"/>
        <w:gridCol w:w="560"/>
        <w:gridCol w:w="1050"/>
        <w:gridCol w:w="948"/>
      </w:tblGrid>
      <w:tr>
        <w:tc>
          <w:tcPr>
            <w:tcBorders>
              <w:top w:color="000000" w:space="0" w:sz="12" w:val="single"/>
              <w:bottom w:color="000000" w:space="0" w:sz="6" w:val="single"/>
            </w:tcBorders>
            <w:tcW w:w="190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System / line of work</w:t>
            </w:r>
          </w:p>
        </w:tc>
        <w:tc>
          <w:tcPr>
            <w:tcBorders>
              <w:top w:color="000000" w:space="0" w:sz="12" w:val="single"/>
              <w:bottom w:color="000000" w:space="0" w:sz="6" w:val="single"/>
            </w:tcBorders>
            <w:tcW w:w="90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Data-driven ML</w:t>
            </w:r>
          </w:p>
        </w:tc>
        <w:tc>
          <w:tcPr>
            <w:tcBorders>
              <w:top w:color="000000" w:space="0" w:sz="12" w:val="single"/>
              <w:bottom w:color="000000" w:space="0" w:sz="6" w:val="single"/>
            </w:tcBorders>
            <w:tcW w:w="83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Multi-agent</w:t>
            </w:r>
          </w:p>
        </w:tc>
        <w:tc>
          <w:tcPr>
            <w:tcBorders>
              <w:top w:color="000000" w:space="0" w:sz="12" w:val="single"/>
              <w:bottom w:color="000000" w:space="0" w:sz="6" w:val="single"/>
            </w:tcBorders>
            <w:tcW w:w="73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Prob. calib.</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Alarm guard.</w:t>
            </w:r>
          </w:p>
        </w:tc>
        <w:tc>
          <w:tcPr>
            <w:tcBorders>
              <w:top w:color="000000" w:space="0" w:sz="12" w:val="single"/>
              <w:bottom w:color="000000" w:space="0" w:sz="6" w:val="single"/>
            </w:tcBorders>
            <w:tcW w:w="105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Health-aware</w:t>
            </w:r>
          </w:p>
        </w:tc>
        <w:tc>
          <w:tcPr>
            <w:tcBorders>
              <w:top w:color="000000" w:space="0" w:sz="12" w:val="single"/>
              <w:bottom w:color="000000" w:space="0" w:sz="6" w:val="single"/>
            </w:tcBorders>
            <w:tcW w:w="948"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Eval. data</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Physics-based flood modeling [9]</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ML flood prediction reviews [10]</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rarely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real/synthetic</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Data-driven forecasting [11]</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WSN + MAS flood detection [6, 12]</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partial (redundancy)</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synthetic/field</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Human-agent collectives [13]</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partial</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exercises</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Agentic AI disaster mgmt. [14]</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not reported</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mixed</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FloodMAS (this paper)</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synthetic (8 scenarios, 3 repeats)</w:t>
            </w:r>
          </w:p>
        </w:tc>
      </w:tr>
    </w:tbl>
    <w:p w:rsidR="00000000" w:rsidDel="00000000" w:rsidP="00000000" w:rsidRDefault="00000000" w:rsidRPr="00000000" w14:paraId="00000015">
      <w:pPr>
        <w:ind w:firstLine="0"/>
        <w:rPr/>
      </w:pPr>
      <w:r w:rsidDel="00000000" w:rsidR="00000000" w:rsidRPr="00000000">
        <w:rPr>
          <w:rtl w:val="0"/>
        </w:rPr>
        <w:t>As shown in Table 1, FloodMAS is distinguished from prior work not by any single component but by the combination of all four design pillars: distributed agents, calibrated ML risk estimation, explicit alarm-stability guardrails, and health-aware degradation, evaluated under controlled scenario variations. To the best of our knowledge, no prior flood early-warning study combines probability calibration with alarm-management guardrails in a multi-agent setting and evaluates the resulting alarm stability quantitatively.</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[20]. A hydrologic flood in rivers is commonly described as high streamflow overtopping natural or artificial banks [21]. Floods can develop over longer periods, while flash floods are characterized by very rapid onset after intense rainfall (often within hours) [22, 23]. In our system we treat early warning as a short-horizon prediction and stabilization problem, given recent rainfall and water-level dynamics, and estimate whether conditions are likely to cross a flood threshold within the next T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[20, 21].</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[24].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[25]. A Gradient Boosting Classifier builds an additive model in stages, fitting trees to improve performance under a differentiable loss such as log loss (a natural choice for probabilistic classification outputs like this one) [26].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0.998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[7]. In reality calibration is supported in scikit-learn via the calibration framework (like CalibratedClassifierCV) and is commonly assessed using tools such as calibration curves and proper scoring rules (like Brier loss) [27, 28].</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[29].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[6]. The experimental layout consists of a 20×20 cell grid divided into four 10×10 zones, with the river channel occupying the central three-cell-wide column band, which is depressed in elevation, carries base flow, and receives the upstream inflow. Because every zone intersects this corridor, all four zones can flood directly; the two top-row zones additionally receive the upstream inflow, which introduces a mild upstream/downstream asymmetry in flood onset timing.</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Fonts w:ascii="Gungsuh" w:cs="Gungsuh" w:eastAsia="Gungsuh" w:hAnsi="Gungsuh"/>
          <w:rtl w:val="0"/>
        </w:rPr>
        <w:t xml:space="preserve">Edge aggregation agents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Optional mitigation agents, a hook for actuation policies (like pumps/gates) that respond to sustained alerts.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[29].</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[30].</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 </w:t>
        <w:br w:type="textWrapping"/>
      </w:r>
      <w:r w:rsidDel="00000000" w:rsidR="00000000" w:rsidRPr="00000000">
        <w:rPr>
          <w:rtl w:val="0"/>
        </w:rPr>
        <w:t>Two thresholds are used, an escalation threshold​ and a de-escalation where threshold down &lt; threshold up​. This gap prevents rapid toggling when p hovers near a single boundary, matching the deadband concept used to prevent chattering alarms [30].</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 </w:t>
        <w:br w:type="textWrapping"/>
      </w:r>
      <w:r w:rsidDel="00000000" w:rsidR="00000000" w:rsidRPr="00000000">
        <w:rPr>
          <w:rtl w:val="0"/>
        </w:rPr>
        <w:t xml:space="preserve">A state change requires K consecutive steps meeting the condition. Time filtering is a standard anti-chatter mechanism in alarm practice [30].</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 </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can mask isolated faults by relying on agreement among replicas [31].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 </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[30].</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by inspecting the calibrated model's score distribution on the training set; TH_UP = 0.6 was chosen as a risk level at which the calibrated probabilities are strongly elevated, and the 0.2 deadband (TH_UP − TH_DOWN) was chosen to exceed the typical step-to-step risk fluctuation observed in non-flood conditions. A systematic sensitivity sweep across threshold values and debounce window lengths is left for future work. Informally, we observed in preliminary experiments that narrowing the deadband below 0.1 tends to reintroduce flapping in the normal_wet scenario, while widening it beyond 0.3 increases detection delay without obvious stability gains; these are informal design observations, not results of the reported evaluation.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 Lead time is measured per zone as the number of steps from the most recent transition into a warning state (SUSPECTED or ALERT) preceding a flood onset to the onset itself; a flood onset with no preceding warning contributes no lead time. This credits only genuinely anticipatory warnings and matches the warning definition used for detection metrics.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FloodMAS trains a zone-level classifier to predict whether a zone will exceed the flood threshold within the next 𝑇 steps. Table 2 summarizes held-out test performance using standard classification metrics where ROC-AUC measures discrimination across thresholds [32], F1 is the harmonic mean of precision and recall [33],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2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2.</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0.998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0.990</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0.985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0.009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0.998 ± 0.000</w:t>
            </w:r>
            <w:r w:rsidDel="00000000" w:rsidR="00000000" w:rsidRPr="00000000">
              <w:rPr>
                <w:sz w:val="18"/>
                <w:szCs w:val="18"/>
                <w:rtl w:val="0"/>
              </w:rPr>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0.989</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265,460; FP = 1,654; FN = 5,018; TP = 319,868 (total 592,000 zone-step samples from 400 held-out episodes). This corresponds to a false-positive rate of 1,654/(265,460+1,654) = 0.62% and a miss rate of 5,018/(319,868+5,018) = 1.54%. The low Brier score (0.009) indicates that the model's probability outputs are well-behaved for thresholding and downstream policy logic, consistent with the purpose of probability calibration methods in scikit-learn [27]. Table 3 shows the Random Forest feature importance ranking, which measures each feature's contribution to classification discrimination. Part of the near-perfect ROC-AUC reflects the strong causal link between the water-level features and the short-horizon label once the level approaches the flood threshold; the operational value of the system therefore lies primarily in the pre-threshold regime, which is quantified by the lead-time results in Sections 5.2 and 5.4.</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3.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0.442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0.326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0.094</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0.087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0.028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0.012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0.011</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Feature importance as reported by the Random Forest measures each feature's contribution to classification discrimination: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fourth in ML importance (8.7%) but serves a dual role: it both helps the classifier and gates the state machine's escalation decisions. Water-level features dominate (76.8%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2.7× higher F1 than the baseline consistently across all conditions.</w:t>
      </w:r>
      <w:r>
        <w:rPr>
          <w:rtl w:val="0"/>
        </w:rPr>
        <w:t xml:space="preserve"> Across the three repeats, per-scenario F1 standard deviations range from 0.19 to 0.23, reflecting repeat-to-repeat variation in flood onset and extent; the MAS advantage over the baseline holds in every scenario and every repeat.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 The showcased zone is above the scenario mean: across the three repeats, the mean lead time under 50% sensor dropout is 1.7 steps. The showcased zone is above the scenario mean: across the three repeats, the mean lead time under 50% sensor dropout is 1.7 steps.</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All scenario-level metrics are computed per zone-step: each zone at each simulated step contributes one sample to the confusion matrices and derived metrics.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4. </w:t>
      </w:r>
      <w:r w:rsidDel="00000000" w:rsidR="00000000" w:rsidRPr="00000000">
        <w:rPr>
          <w:sz w:val="18"/>
          <w:szCs w:val="18"/>
          <w:rtl w:val="0"/>
        </w:rPr>
        <w:t>Scenario-level operational performance - Stress scenarios (mean of 3 repeats)</w:t>
      </w:r>
      <w:r w:rsidDel="00000000" w:rsidR="00000000" w:rsidRPr="00000000">
        <w:rPr>
          <w:rtl w:val="0"/>
        </w:rPr>
      </w:r>
    </w:p>
    <w:tbl>
      <w:tblPr>
        <w:tblStyle w:val="Table3"/>
        <w:tblW w:w="6918" w:type="dxa"/>
        <w:jc w:val="center"/>
        <w:tblLayout w:type="fixed"/>
        <w:tblLook w:val="0000"/>
        <w:tblCellMar>
          <w:left w:w="50" w:type="dxa"/>
          <w:right w:w="50" w:type="dxa"/>
        </w:tblCellMar>
      </w:tblPr>
      <w:tblGrid>
        <w:gridCol w:w="1603"/>
        <w:gridCol w:w="560"/>
        <w:gridCol w:w="560"/>
        <w:gridCol w:w="850"/>
        <w:gridCol w:w="850"/>
        <w:gridCol w:w="600"/>
        <w:gridCol w:w="600"/>
        <w:gridCol w:w="775"/>
        <w:gridCol w:w="520"/>
      </w:tblGrid>
      <w:tr>
        <w:trPr>
          <w:cantSplit w:val="0"/>
          <w:tblHeader w:val="0"/>
        </w:trPr>
        <w:tc>
          <w:tcPr>
            <w:tcBorders>
              <w:top w:color="000000" w:space="0" w:sz="12" w:val="single"/>
              <w:bottom w:color="000000" w:space="0" w:sz="6" w:val="single"/>
            </w:tcBorders>
            <w:tcW w:w="1603" w:type="dxa"/>
            <w:tcMar>
              <w:left w:w="50" w:type="dxa"/>
              <w:right w:w="50" w:type="dxa"/>
            </w:tcMar>
          </w:tcPr>
          <w:p w:rsidR="00000000" w:rsidDel="00000000" w:rsidP="00000000" w:rsidRDefault="00000000" w:rsidRPr="00000000" w14:paraId="0000008E">
            <w:pPr>
              <w:ind w:firstLine="0"/>
              <w:jc w:val="left"/>
              <w:rPr>
                <w:sz w:val="18"/>
                <w:szCs w:val="18"/>
              </w:rPr>
            </w:pPr>
            <w:r w:rsidDel="00000000" w:rsidR="00000000" w:rsidRPr="00000000">
              <w:rPr>
                <w:sz w:val="16"/>
                <w:szCs w:val="16"/>
                <w:rtl w:val="0"/>
              </w:rPr>
              <w:t xml:space="preserve">Scenario</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8F">
            <w:pPr>
              <w:ind w:firstLine="0"/>
              <w:jc w:val="left"/>
              <w:rPr>
                <w:sz w:val="18"/>
                <w:szCs w:val="18"/>
              </w:rPr>
            </w:pPr>
            <w:r w:rsidDel="00000000" w:rsidR="00000000" w:rsidRPr="00000000">
              <w:rPr>
                <w:sz w:val="16"/>
                <w:szCs w:val="16"/>
                <w:rtl w:val="0"/>
              </w:rPr>
              <w:t xml:space="preserve">MAS F1</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90">
            <w:pPr>
              <w:ind w:firstLine="0"/>
              <w:jc w:val="left"/>
              <w:rPr>
                <w:sz w:val="18"/>
                <w:szCs w:val="18"/>
              </w:rPr>
            </w:pPr>
            <w:r w:rsidDel="00000000" w:rsidR="00000000" w:rsidRPr="00000000">
              <w:rPr>
                <w:sz w:val="16"/>
                <w:szCs w:val="16"/>
                <w:rtl w:val="0"/>
              </w:rPr>
              <w:t xml:space="preserve">BL F1</w:t>
            </w:r>
          </w:p>
        </w:tc>
        <w:tc>
          <w:tcPr>
            <w:tcBorders>
              <w:top w:color="000000" w:space="0" w:sz="12" w:val="single"/>
              <w:bottom w:color="000000" w:space="0" w:sz="6" w:val="single"/>
            </w:tcBorders>
            <w:tcW w:w="850" w:type="dxa"/>
            <w:tcMar>
              <w:left w:w="50" w:type="dxa"/>
              <w:right w:w="50" w:type="dxa"/>
            </w:tcMar>
          </w:tcPr>
          <w:p w:rsidR="00000000" w:rsidDel="00000000" w:rsidP="00000000" w:rsidRDefault="00000000" w:rsidRPr="00000000" w14:paraId="00000091">
            <w:pPr>
              <w:ind w:firstLine="0"/>
              <w:jc w:val="left"/>
              <w:rPr>
                <w:sz w:val="18"/>
                <w:szCs w:val="18"/>
              </w:rPr>
            </w:pPr>
            <w:r w:rsidDel="00000000" w:rsidR="00000000" w:rsidRPr="00000000">
              <w:rPr>
                <w:sz w:val="16"/>
                <w:szCs w:val="16"/>
                <w:rtl w:val="0"/>
              </w:rPr>
              <w:t xml:space="preserve">MAS Precision</w:t>
            </w:r>
          </w:p>
        </w:tc>
        <w:tc>
          <w:tcPr>
            <w:tcBorders>
              <w:top w:color="000000" w:space="0" w:sz="12" w:val="single"/>
              <w:bottom w:color="000000" w:space="0" w:sz="6" w:val="single"/>
            </w:tcBorders>
            <w:tcW w:w="850" w:type="dxa"/>
            <w:tcMar>
              <w:left w:w="50" w:type="dxa"/>
              <w:right w:w="50" w:type="dxa"/>
            </w:tcMar>
          </w:tcPr>
          <w:p w:rsidR="00000000" w:rsidDel="00000000" w:rsidP="00000000" w:rsidRDefault="00000000" w:rsidRPr="00000000" w14:paraId="00000092">
            <w:pPr>
              <w:ind w:firstLine="0"/>
              <w:jc w:val="left"/>
              <w:rPr>
                <w:sz w:val="18"/>
                <w:szCs w:val="18"/>
              </w:rPr>
            </w:pPr>
            <w:r w:rsidDel="00000000" w:rsidR="00000000" w:rsidRPr="00000000">
              <w:rPr>
                <w:sz w:val="16"/>
                <w:szCs w:val="16"/>
                <w:rtl w:val="0"/>
              </w:rPr>
              <w:t xml:space="preserve">BL Precision</w:t>
            </w:r>
          </w:p>
        </w:tc>
        <w:tc>
          <w:tcPr>
            <w:tcBorders>
              <w:top w:color="000000" w:space="0" w:sz="12" w:val="single"/>
              <w:bottom w:color="000000" w:space="0" w:sz="6" w:val="single"/>
            </w:tcBorders>
            <w:tcW w:w="600" w:type="dxa"/>
            <w:tcMar>
              <w:left w:w="50" w:type="dxa"/>
              <w:right w:w="50" w:type="dxa"/>
            </w:tcMar>
          </w:tcPr>
          <w:p w:rsidR="00000000" w:rsidDel="00000000" w:rsidP="00000000" w:rsidRDefault="00000000" w:rsidRPr="00000000" w14:paraId="00000093">
            <w:pPr>
              <w:ind w:firstLine="0"/>
              <w:jc w:val="left"/>
              <w:rPr>
                <w:sz w:val="18"/>
                <w:szCs w:val="18"/>
              </w:rPr>
            </w:pPr>
            <w:r w:rsidDel="00000000" w:rsidR="00000000" w:rsidRPr="00000000">
              <w:rPr>
                <w:sz w:val="16"/>
                <w:szCs w:val="16"/>
                <w:rtl w:val="0"/>
              </w:rPr>
              <w:t xml:space="preserve">MAS Recall</w:t>
            </w:r>
          </w:p>
        </w:tc>
        <w:tc>
          <w:tcPr>
            <w:tcBorders>
              <w:top w:color="000000" w:space="0" w:sz="12" w:val="single"/>
              <w:bottom w:color="000000" w:space="0" w:sz="6" w:val="single"/>
            </w:tcBorders>
            <w:tcW w:w="600" w:type="dxa"/>
            <w:tcMar>
              <w:left w:w="50" w:type="dxa"/>
              <w:right w:w="50" w:type="dxa"/>
            </w:tcMar>
          </w:tcPr>
          <w:p w:rsidR="00000000" w:rsidDel="00000000" w:rsidP="00000000" w:rsidRDefault="00000000" w:rsidRPr="00000000" w14:paraId="00000094">
            <w:pPr>
              <w:ind w:firstLine="0"/>
              <w:jc w:val="left"/>
              <w:rPr>
                <w:sz w:val="18"/>
                <w:szCs w:val="18"/>
              </w:rPr>
            </w:pPr>
            <w:r w:rsidDel="00000000" w:rsidR="00000000" w:rsidRPr="00000000">
              <w:rPr>
                <w:sz w:val="16"/>
                <w:szCs w:val="16"/>
                <w:rtl w:val="0"/>
              </w:rPr>
              <w:t xml:space="preserve">BL Recall</w:t>
            </w:r>
          </w:p>
        </w:tc>
        <w:tc>
          <w:tcPr>
            <w:tcBorders>
              <w:top w:color="000000" w:space="0" w:sz="12" w:val="single"/>
              <w:bottom w:color="000000" w:space="0" w:sz="6" w:val="single"/>
            </w:tcBorders>
            <w:tcW w:w="775" w:type="dxa"/>
            <w:tcMar>
              <w:left w:w="50" w:type="dxa"/>
              <w:right w:w="50" w:type="dxa"/>
            </w:tcMar>
          </w:tcPr>
          <w:p w:rsidR="00000000" w:rsidDel="00000000" w:rsidP="00000000" w:rsidRDefault="00000000" w:rsidRPr="00000000" w14:paraId="00000095">
            <w:pPr>
              <w:ind w:firstLine="0"/>
              <w:jc w:val="left"/>
              <w:rPr>
                <w:sz w:val="18"/>
                <w:szCs w:val="18"/>
              </w:rPr>
            </w:pPr>
            <w:r w:rsidDel="00000000" w:rsidR="00000000" w:rsidRPr="00000000">
              <w:rPr>
                <w:sz w:val="16"/>
                <w:szCs w:val="16"/>
                <w:rtl w:val="0"/>
              </w:rPr>
              <w:t xml:space="preserve">MAS Lead (steps)</w:t>
            </w:r>
          </w:p>
        </w:tc>
        <w:tc>
          <w:tcPr>
            <w:tcBorders>
              <w:top w:color="000000" w:space="0" w:sz="12" w:val="single"/>
              <w:bottom w:color="000000" w:space="0" w:sz="6" w:val="single"/>
            </w:tcBorders>
            <w:tcW w:w="520" w:type="dxa"/>
            <w:tcMar>
              <w:left w:w="50" w:type="dxa"/>
              <w:right w:w="50" w:type="dxa"/>
            </w:tcMar>
          </w:tcPr>
          <w:p w:rsidR="00000000" w:rsidDel="00000000" w:rsidP="00000000" w:rsidRDefault="00000000" w:rsidRPr="00000000" w14:paraId="00000096">
            <w:pPr>
              <w:ind w:firstLine="0"/>
              <w:jc w:val="left"/>
              <w:rPr>
                <w:sz w:val="18"/>
                <w:szCs w:val="18"/>
              </w:rPr>
            </w:pPr>
            <w:r w:rsidDel="00000000" w:rsidR="00000000" w:rsidRPr="00000000">
              <w:rPr>
                <w:sz w:val="16"/>
                <w:szCs w:val="16"/>
                <w:rtl w:val="0"/>
              </w:rPr>
              <w:t xml:space="preserve">BL Lead</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97">
            <w:pPr>
              <w:ind w:firstLine="0"/>
              <w:jc w:val="left"/>
              <w:rPr>
                <w:sz w:val="18"/>
                <w:szCs w:val="18"/>
              </w:rPr>
            </w:pPr>
            <w:r w:rsidDel="00000000" w:rsidR="00000000" w:rsidRPr="00000000">
              <w:rPr>
                <w:sz w:val="16"/>
                <w:szCs w:val="16"/>
                <w:rtl w:val="0"/>
              </w:rPr>
              <w:t xml:space="preserve">normal_dry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98">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99">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9A">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9B">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9C">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9D">
            <w:pPr>
              <w:ind w:firstLine="0"/>
              <w:jc w:val="left"/>
              <w:rPr>
                <w:sz w:val="18"/>
                <w:szCs w:val="18"/>
              </w:rPr>
            </w:pPr>
            <w:r w:rsidDel="00000000" w:rsidR="00000000" w:rsidRPr="00000000">
              <w:rPr>
                <w:sz w:val="16"/>
                <w:szCs w:val="16"/>
                <w:rtl w:val="0"/>
              </w:rPr>
              <w:t xml:space="preserve">-</w:t>
            </w:r>
          </w:p>
        </w:tc>
        <w:tc>
          <w:tcPr>
            <w:vAlign w:val="center"/>
            <w:tcW w:w="775" w:type="dxa"/>
            <w:tcMar>
              <w:left w:w="50" w:type="dxa"/>
              <w:right w:w="50" w:type="dxa"/>
            </w:tcMar>
          </w:tcPr>
          <w:p w:rsidR="00000000" w:rsidDel="00000000" w:rsidP="00000000" w:rsidRDefault="00000000" w:rsidRPr="00000000" w14:paraId="0000009E">
            <w:pPr>
              <w:ind w:firstLine="0"/>
              <w:jc w:val="left"/>
              <w:rPr>
                <w:sz w:val="18"/>
                <w:szCs w:val="18"/>
              </w:rPr>
            </w:pPr>
            <w:r w:rsidDel="00000000" w:rsidR="00000000" w:rsidRPr="00000000">
              <w:rPr>
                <w:sz w:val="16"/>
                <w:szCs w:val="16"/>
                <w:rtl w:val="0"/>
              </w:rPr>
              <w:t xml:space="preserve">-</w:t>
            </w:r>
          </w:p>
        </w:tc>
        <w:tc>
          <w:tcPr>
            <w:vAlign w:val="center"/>
            <w:tcW w:w="520" w:type="dxa"/>
            <w:tcMar>
              <w:left w:w="50" w:type="dxa"/>
              <w:right w:w="50" w:type="dxa"/>
            </w:tcMar>
          </w:tcPr>
          <w:p w:rsidR="00000000" w:rsidDel="00000000" w:rsidP="00000000" w:rsidRDefault="00000000" w:rsidRPr="00000000" w14:paraId="0000009F">
            <w:pPr>
              <w:ind w:firstLine="0"/>
              <w:jc w:val="left"/>
              <w:rPr>
                <w:sz w:val="18"/>
                <w:szCs w:val="18"/>
              </w:rPr>
            </w:pPr>
            <w:r w:rsidDel="00000000" w:rsidR="00000000" w:rsidRPr="00000000">
              <w:rPr>
                <w:sz w:val="16"/>
                <w:szCs w:val="16"/>
                <w:rtl w:val="0"/>
              </w:rPr>
              <w:t xml:space="preserve">-</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A0">
            <w:pPr>
              <w:ind w:firstLine="0"/>
              <w:jc w:val="left"/>
              <w:rPr>
                <w:sz w:val="18"/>
                <w:szCs w:val="18"/>
              </w:rPr>
            </w:pPr>
            <w:r w:rsidDel="00000000" w:rsidR="00000000" w:rsidRPr="00000000">
              <w:rPr>
                <w:sz w:val="16"/>
                <w:szCs w:val="16"/>
                <w:rtl w:val="0"/>
              </w:rPr>
              <w:t xml:space="preserve">normal_wet</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1">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2">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3">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4">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5">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6">
            <w:pPr>
              <w:ind w:firstLine="0"/>
              <w:jc w:val="left"/>
              <w:rPr>
                <w:sz w:val="18"/>
                <w:szCs w:val="18"/>
              </w:rPr>
            </w:pPr>
            <w:r w:rsidDel="00000000" w:rsidR="00000000" w:rsidRPr="00000000">
              <w:rPr>
                <w:sz w:val="16"/>
                <w:szCs w:val="16"/>
                <w:rtl w:val="0"/>
              </w:rPr>
              <w:t xml:space="preserve">-</w:t>
            </w:r>
          </w:p>
        </w:tc>
        <w:tc>
          <w:tcPr>
            <w:vAlign w:val="center"/>
            <w:tcW w:w="775" w:type="dxa"/>
            <w:tcMar>
              <w:left w:w="50" w:type="dxa"/>
              <w:right w:w="50" w:type="dxa"/>
            </w:tcMar>
          </w:tcPr>
          <w:p w:rsidR="00000000" w:rsidDel="00000000" w:rsidP="00000000" w:rsidRDefault="00000000" w:rsidRPr="00000000" w14:paraId="000000A7">
            <w:pPr>
              <w:ind w:firstLine="0"/>
              <w:jc w:val="left"/>
              <w:rPr>
                <w:sz w:val="18"/>
                <w:szCs w:val="18"/>
              </w:rPr>
            </w:pPr>
            <w:r w:rsidDel="00000000" w:rsidR="00000000" w:rsidRPr="00000000">
              <w:rPr>
                <w:sz w:val="16"/>
                <w:szCs w:val="16"/>
                <w:rtl w:val="0"/>
              </w:rPr>
              <w:t xml:space="preserve">-</w:t>
            </w:r>
          </w:p>
        </w:tc>
        <w:tc>
          <w:tcPr>
            <w:vAlign w:val="center"/>
            <w:tcW w:w="520" w:type="dxa"/>
            <w:tcMar>
              <w:left w:w="50" w:type="dxa"/>
              <w:right w:w="50" w:type="dxa"/>
            </w:tcMar>
          </w:tcPr>
          <w:p w:rsidR="00000000" w:rsidDel="00000000" w:rsidP="00000000" w:rsidRDefault="00000000" w:rsidRPr="00000000" w14:paraId="000000A8">
            <w:pPr>
              <w:ind w:firstLine="0"/>
              <w:jc w:val="left"/>
              <w:rPr>
                <w:sz w:val="18"/>
                <w:szCs w:val="18"/>
              </w:rPr>
            </w:pPr>
            <w:r w:rsidDel="00000000" w:rsidR="00000000" w:rsidRPr="00000000">
              <w:rPr>
                <w:sz w:val="16"/>
                <w:szCs w:val="16"/>
                <w:rtl w:val="0"/>
              </w:rPr>
              <w:t xml:space="preserve">-</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A9">
            <w:pPr>
              <w:ind w:firstLine="0"/>
              <w:jc w:val="left"/>
              <w:rPr>
                <w:sz w:val="18"/>
                <w:szCs w:val="18"/>
              </w:rPr>
            </w:pPr>
            <w:r w:rsidDel="00000000" w:rsidR="00000000" w:rsidRPr="00000000">
              <w:rPr>
                <w:sz w:val="16"/>
                <w:szCs w:val="16"/>
                <w:rtl w:val="0"/>
              </w:rPr>
              <w:t xml:space="preserve">extreme_dry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A">
            <w:pPr>
              <w:ind w:firstLine="0"/>
              <w:jc w:val="left"/>
              <w:rPr>
                <w:sz w:val="18"/>
                <w:szCs w:val="18"/>
              </w:rPr>
            </w:pPr>
            <w:r w:rsidDel="00000000" w:rsidR="00000000" w:rsidRPr="00000000">
              <w:rPr>
                <w:sz w:val="16"/>
                <w:szCs w:val="16"/>
                <w:rtl w:val="0"/>
              </w:rPr>
              <w:t>0.461</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B">
            <w:pPr>
              <w:ind w:firstLine="0"/>
              <w:jc w:val="left"/>
              <w:rPr>
                <w:sz w:val="18"/>
                <w:szCs w:val="18"/>
              </w:rPr>
            </w:pPr>
            <w:r w:rsidDel="00000000" w:rsidR="00000000" w:rsidRPr="00000000">
              <w:rPr>
                <w:sz w:val="16"/>
                <w:szCs w:val="16"/>
                <w:rtl w:val="0"/>
              </w:rPr>
              <w:t xml:space="preserve">0.175</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C">
            <w:pPr>
              <w:ind w:firstLine="0"/>
              <w:jc w:val="left"/>
              <w:rPr>
                <w:sz w:val="18"/>
                <w:szCs w:val="18"/>
              </w:rPr>
            </w:pPr>
            <w:r w:rsidDel="00000000" w:rsidR="00000000" w:rsidRPr="00000000">
              <w:rPr>
                <w:sz w:val="16"/>
                <w:szCs w:val="16"/>
                <w:rtl w:val="0"/>
              </w:rPr>
              <w:t>0.929</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D">
            <w:pPr>
              <w:ind w:firstLine="0"/>
              <w:jc w:val="left"/>
              <w:rPr>
                <w:sz w:val="18"/>
                <w:szCs w:val="18"/>
              </w:rPr>
            </w:pPr>
            <w:r w:rsidDel="00000000" w:rsidR="00000000" w:rsidRPr="00000000">
              <w:rPr>
                <w:sz w:val="16"/>
                <w:szCs w:val="16"/>
                <w:rtl w:val="0"/>
              </w:rPr>
              <w:t xml:space="preserve">1.000</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E">
            <w:pPr>
              <w:ind w:firstLine="0"/>
              <w:jc w:val="left"/>
              <w:rPr>
                <w:sz w:val="18"/>
                <w:szCs w:val="18"/>
              </w:rPr>
            </w:pPr>
            <w:r w:rsidDel="00000000" w:rsidR="00000000" w:rsidRPr="00000000">
              <w:rPr>
                <w:sz w:val="16"/>
                <w:szCs w:val="16"/>
                <w:rtl w:val="0"/>
              </w:rPr>
              <w:t>0.332</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F">
            <w:pPr>
              <w:ind w:firstLine="0"/>
              <w:jc w:val="left"/>
              <w:rPr>
                <w:sz w:val="18"/>
                <w:szCs w:val="18"/>
              </w:rPr>
            </w:pPr>
            <w:r w:rsidDel="00000000" w:rsidR="00000000" w:rsidRPr="00000000">
              <w:rPr>
                <w:sz w:val="16"/>
                <w:szCs w:val="16"/>
                <w:rtl w:val="0"/>
              </w:rPr>
              <w:t xml:space="preserve">0.096</w:t>
            </w:r>
          </w:p>
        </w:tc>
        <w:tc>
          <w:tcPr>
            <w:vAlign w:val="center"/>
            <w:tcW w:w="775" w:type="dxa"/>
            <w:tcMar>
              <w:left w:w="50" w:type="dxa"/>
              <w:right w:w="50" w:type="dxa"/>
            </w:tcMar>
          </w:tcPr>
          <w:p w:rsidR="00000000" w:rsidDel="00000000" w:rsidP="00000000" w:rsidRDefault="00000000" w:rsidRPr="00000000" w14:paraId="000000B0">
            <w:pPr>
              <w:ind w:firstLine="0"/>
              <w:jc w:val="left"/>
              <w:rPr>
                <w:sz w:val="18"/>
                <w:szCs w:val="18"/>
              </w:rPr>
            </w:pPr>
            <w:r w:rsidDel="00000000" w:rsidR="00000000" w:rsidRPr="00000000">
              <w:rPr>
                <w:sz w:val="16"/>
                <w:szCs w:val="16"/>
                <w:rtl w:val="0"/>
              </w:rPr>
              <w:t>4.8</w:t>
            </w:r>
          </w:p>
        </w:tc>
        <w:tc>
          <w:tcPr>
            <w:vAlign w:val="center"/>
            <w:tcW w:w="520" w:type="dxa"/>
            <w:tcMar>
              <w:left w:w="50" w:type="dxa"/>
              <w:right w:w="50" w:type="dxa"/>
            </w:tcMar>
          </w:tcPr>
          <w:p w:rsidR="00000000" w:rsidDel="00000000" w:rsidP="00000000" w:rsidRDefault="00000000" w:rsidRPr="00000000" w14:paraId="000000B1">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B2">
            <w:pPr>
              <w:ind w:firstLine="0"/>
              <w:jc w:val="left"/>
              <w:rPr>
                <w:sz w:val="18"/>
                <w:szCs w:val="18"/>
              </w:rPr>
            </w:pPr>
            <w:r w:rsidDel="00000000" w:rsidR="00000000" w:rsidRPr="00000000">
              <w:rPr>
                <w:sz w:val="16"/>
                <w:szCs w:val="16"/>
                <w:rtl w:val="0"/>
              </w:rPr>
              <w:t xml:space="preserve">extreme_wet</w:t>
            </w:r>
          </w:p>
        </w:tc>
        <w:tc>
          <w:tcPr>
            <w:vAlign w:val="center"/>
            <w:tcW w:w="560" w:type="dxa"/>
            <w:tcMar>
              <w:left w:w="50" w:type="dxa"/>
              <w:right w:w="50" w:type="dxa"/>
            </w:tcMar>
          </w:tcPr>
          <w:p w:rsidR="00000000" w:rsidDel="00000000" w:rsidP="00000000" w:rsidRDefault="00000000" w:rsidRPr="00000000" w14:paraId="000000B3">
            <w:pPr>
              <w:ind w:firstLine="0"/>
              <w:jc w:val="left"/>
              <w:rPr>
                <w:sz w:val="18"/>
                <w:szCs w:val="18"/>
              </w:rPr>
            </w:pPr>
            <w:r w:rsidDel="00000000" w:rsidR="00000000" w:rsidRPr="00000000">
              <w:rPr>
                <w:sz w:val="16"/>
                <w:szCs w:val="16"/>
                <w:rtl w:val="0"/>
              </w:rPr>
              <w:t>0.513</w:t>
            </w:r>
          </w:p>
        </w:tc>
        <w:tc>
          <w:tcPr>
            <w:vAlign w:val="center"/>
            <w:tcW w:w="560" w:type="dxa"/>
            <w:tcMar>
              <w:left w:w="50" w:type="dxa"/>
              <w:right w:w="50" w:type="dxa"/>
            </w:tcMar>
          </w:tcPr>
          <w:p w:rsidR="00000000" w:rsidDel="00000000" w:rsidP="00000000" w:rsidRDefault="00000000" w:rsidRPr="00000000" w14:paraId="000000B4">
            <w:pPr>
              <w:ind w:firstLine="0"/>
              <w:jc w:val="left"/>
              <w:rPr>
                <w:sz w:val="18"/>
                <w:szCs w:val="18"/>
              </w:rPr>
            </w:pPr>
            <w:r w:rsidDel="00000000" w:rsidR="00000000" w:rsidRPr="00000000">
              <w:rPr>
                <w:sz w:val="16"/>
                <w:szCs w:val="16"/>
                <w:rtl w:val="0"/>
              </w:rPr>
              <w:t xml:space="preserve">0.189</w:t>
            </w:r>
          </w:p>
        </w:tc>
        <w:tc>
          <w:tcPr>
            <w:vAlign w:val="center"/>
            <w:tcW w:w="850" w:type="dxa"/>
            <w:tcMar>
              <w:left w:w="50" w:type="dxa"/>
              <w:right w:w="50" w:type="dxa"/>
            </w:tcMar>
          </w:tcPr>
          <w:p w:rsidR="00000000" w:rsidDel="00000000" w:rsidP="00000000" w:rsidRDefault="00000000" w:rsidRPr="00000000" w14:paraId="000000B5">
            <w:pPr>
              <w:ind w:firstLine="0"/>
              <w:jc w:val="left"/>
              <w:rPr>
                <w:sz w:val="18"/>
                <w:szCs w:val="18"/>
              </w:rPr>
            </w:pPr>
            <w:r w:rsidDel="00000000" w:rsidR="00000000" w:rsidRPr="00000000">
              <w:rPr>
                <w:sz w:val="16"/>
                <w:szCs w:val="16"/>
                <w:rtl w:val="0"/>
              </w:rPr>
              <w:t>0.967</w:t>
            </w:r>
          </w:p>
        </w:tc>
        <w:tc>
          <w:tcPr>
            <w:vAlign w:val="center"/>
            <w:tcW w:w="850" w:type="dxa"/>
            <w:tcMar>
              <w:left w:w="50" w:type="dxa"/>
              <w:right w:w="50" w:type="dxa"/>
            </w:tcMar>
          </w:tcPr>
          <w:p w:rsidR="00000000" w:rsidDel="00000000" w:rsidP="00000000" w:rsidRDefault="00000000" w:rsidRPr="00000000" w14:paraId="000000B6">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B7">
            <w:pPr>
              <w:ind w:firstLine="0"/>
              <w:jc w:val="left"/>
              <w:rPr>
                <w:sz w:val="18"/>
                <w:szCs w:val="18"/>
              </w:rPr>
            </w:pPr>
            <w:r w:rsidDel="00000000" w:rsidR="00000000" w:rsidRPr="00000000">
              <w:rPr>
                <w:sz w:val="16"/>
                <w:szCs w:val="16"/>
                <w:rtl w:val="0"/>
              </w:rPr>
              <w:t>0.370</w:t>
            </w:r>
          </w:p>
        </w:tc>
        <w:tc>
          <w:tcPr>
            <w:vAlign w:val="center"/>
            <w:tcW w:w="600" w:type="dxa"/>
            <w:tcMar>
              <w:left w:w="50" w:type="dxa"/>
              <w:right w:w="50" w:type="dxa"/>
            </w:tcMar>
          </w:tcPr>
          <w:p w:rsidR="00000000" w:rsidDel="00000000" w:rsidP="00000000" w:rsidRDefault="00000000" w:rsidRPr="00000000" w14:paraId="000000B8">
            <w:pPr>
              <w:ind w:firstLine="0"/>
              <w:jc w:val="left"/>
              <w:rPr>
                <w:sz w:val="18"/>
                <w:szCs w:val="18"/>
              </w:rPr>
            </w:pPr>
            <w:r w:rsidDel="00000000" w:rsidR="00000000" w:rsidRPr="00000000">
              <w:rPr>
                <w:sz w:val="16"/>
                <w:szCs w:val="16"/>
                <w:rtl w:val="0"/>
              </w:rPr>
              <w:t xml:space="preserve">0.105</w:t>
            </w:r>
          </w:p>
        </w:tc>
        <w:tc>
          <w:tcPr>
            <w:vAlign w:val="center"/>
            <w:tcW w:w="775" w:type="dxa"/>
            <w:tcMar>
              <w:left w:w="50" w:type="dxa"/>
              <w:right w:w="50" w:type="dxa"/>
            </w:tcMar>
          </w:tcPr>
          <w:p w:rsidR="00000000" w:rsidDel="00000000" w:rsidP="00000000" w:rsidRDefault="00000000" w:rsidRPr="00000000" w14:paraId="000000B9">
            <w:pPr>
              <w:ind w:firstLine="0"/>
              <w:jc w:val="left"/>
              <w:rPr>
                <w:sz w:val="18"/>
                <w:szCs w:val="18"/>
              </w:rPr>
            </w:pPr>
            <w:r w:rsidDel="00000000" w:rsidR="00000000" w:rsidRPr="00000000">
              <w:rPr>
                <w:sz w:val="16"/>
                <w:szCs w:val="16"/>
                <w:rtl w:val="0"/>
              </w:rPr>
              <w:t>3.3</w:t>
            </w:r>
          </w:p>
        </w:tc>
        <w:tc>
          <w:tcPr>
            <w:vAlign w:val="center"/>
            <w:tcW w:w="520" w:type="dxa"/>
            <w:tcMar>
              <w:left w:w="50" w:type="dxa"/>
              <w:right w:w="50" w:type="dxa"/>
            </w:tcMar>
          </w:tcPr>
          <w:p w:rsidR="00000000" w:rsidDel="00000000" w:rsidP="00000000" w:rsidRDefault="00000000" w:rsidRPr="00000000" w14:paraId="000000BA">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BB">
            <w:pPr>
              <w:ind w:firstLine="0"/>
              <w:jc w:val="left"/>
              <w:rPr>
                <w:sz w:val="18"/>
                <w:szCs w:val="18"/>
              </w:rPr>
            </w:pPr>
            <w:r w:rsidDel="00000000" w:rsidR="00000000" w:rsidRPr="00000000">
              <w:rPr>
                <w:sz w:val="16"/>
                <w:szCs w:val="16"/>
                <w:rtl w:val="0"/>
              </w:rPr>
              <w:t xml:space="preserve">extreme_dropout_10</w:t>
            </w:r>
          </w:p>
        </w:tc>
        <w:tc>
          <w:tcPr>
            <w:vAlign w:val="center"/>
            <w:tcW w:w="560" w:type="dxa"/>
            <w:tcMar>
              <w:left w:w="50" w:type="dxa"/>
              <w:right w:w="50" w:type="dxa"/>
            </w:tcMar>
          </w:tcPr>
          <w:p w:rsidR="00000000" w:rsidDel="00000000" w:rsidP="00000000" w:rsidRDefault="00000000" w:rsidRPr="00000000" w14:paraId="000000BC">
            <w:pPr>
              <w:ind w:firstLine="0"/>
              <w:jc w:val="left"/>
              <w:rPr>
                <w:sz w:val="18"/>
                <w:szCs w:val="18"/>
              </w:rPr>
            </w:pPr>
            <w:r w:rsidDel="00000000" w:rsidR="00000000" w:rsidRPr="00000000">
              <w:rPr>
                <w:sz w:val="16"/>
                <w:szCs w:val="16"/>
                <w:rtl w:val="0"/>
              </w:rPr>
              <w:t>0.502</w:t>
            </w:r>
          </w:p>
        </w:tc>
        <w:tc>
          <w:tcPr>
            <w:vAlign w:val="center"/>
            <w:tcW w:w="560" w:type="dxa"/>
            <w:tcMar>
              <w:left w:w="50" w:type="dxa"/>
              <w:right w:w="50" w:type="dxa"/>
            </w:tcMar>
          </w:tcPr>
          <w:p w:rsidR="00000000" w:rsidDel="00000000" w:rsidP="00000000" w:rsidRDefault="00000000" w:rsidRPr="00000000" w14:paraId="000000BD">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BE">
            <w:pPr>
              <w:ind w:firstLine="0"/>
              <w:jc w:val="left"/>
              <w:rPr>
                <w:sz w:val="18"/>
                <w:szCs w:val="18"/>
              </w:rPr>
            </w:pPr>
            <w:r w:rsidDel="00000000" w:rsidR="00000000" w:rsidRPr="00000000">
              <w:rPr>
                <w:sz w:val="16"/>
                <w:szCs w:val="16"/>
                <w:rtl w:val="0"/>
              </w:rPr>
              <w:t xml:space="preserve">0.969</w:t>
            </w:r>
          </w:p>
        </w:tc>
        <w:tc>
          <w:tcPr>
            <w:vAlign w:val="center"/>
            <w:tcW w:w="850" w:type="dxa"/>
            <w:tcMar>
              <w:left w:w="50" w:type="dxa"/>
              <w:right w:w="50" w:type="dxa"/>
            </w:tcMar>
          </w:tcPr>
          <w:p w:rsidR="00000000" w:rsidDel="00000000" w:rsidP="00000000" w:rsidRDefault="00000000" w:rsidRPr="00000000" w14:paraId="000000BF">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C0">
            <w:pPr>
              <w:ind w:firstLine="0"/>
              <w:jc w:val="left"/>
              <w:rPr>
                <w:sz w:val="18"/>
                <w:szCs w:val="18"/>
              </w:rPr>
            </w:pPr>
            <w:r w:rsidDel="00000000" w:rsidR="00000000" w:rsidRPr="00000000">
              <w:rPr>
                <w:sz w:val="16"/>
                <w:szCs w:val="16"/>
                <w:rtl w:val="0"/>
              </w:rPr>
              <w:t>0.362</w:t>
            </w:r>
          </w:p>
        </w:tc>
        <w:tc>
          <w:tcPr>
            <w:vAlign w:val="center"/>
            <w:tcW w:w="600" w:type="dxa"/>
            <w:tcMar>
              <w:left w:w="50" w:type="dxa"/>
              <w:right w:w="50" w:type="dxa"/>
            </w:tcMar>
          </w:tcPr>
          <w:p w:rsidR="00000000" w:rsidDel="00000000" w:rsidP="00000000" w:rsidRDefault="00000000" w:rsidRPr="00000000" w14:paraId="000000C1">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C2">
            <w:pPr>
              <w:ind w:firstLine="0"/>
              <w:jc w:val="left"/>
              <w:rPr>
                <w:sz w:val="18"/>
                <w:szCs w:val="18"/>
              </w:rPr>
            </w:pPr>
            <w:r w:rsidDel="00000000" w:rsidR="00000000" w:rsidRPr="00000000">
              <w:rPr>
                <w:sz w:val="16"/>
                <w:szCs w:val="16"/>
                <w:rtl w:val="0"/>
              </w:rPr>
              <w:t>2.8</w:t>
            </w:r>
          </w:p>
        </w:tc>
        <w:tc>
          <w:tcPr>
            <w:vAlign w:val="center"/>
            <w:tcW w:w="520" w:type="dxa"/>
            <w:tcMar>
              <w:left w:w="50" w:type="dxa"/>
              <w:right w:w="50" w:type="dxa"/>
            </w:tcMar>
          </w:tcPr>
          <w:p w:rsidR="00000000" w:rsidDel="00000000" w:rsidP="00000000" w:rsidRDefault="00000000" w:rsidRPr="00000000" w14:paraId="000000C3">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C4">
            <w:pPr>
              <w:ind w:firstLine="0"/>
              <w:jc w:val="left"/>
              <w:rPr>
                <w:sz w:val="18"/>
                <w:szCs w:val="18"/>
              </w:rPr>
            </w:pPr>
            <w:r w:rsidDel="00000000" w:rsidR="00000000" w:rsidRPr="00000000">
              <w:rPr>
                <w:sz w:val="16"/>
                <w:szCs w:val="16"/>
                <w:rtl w:val="0"/>
              </w:rPr>
              <w:t xml:space="preserve">extreme_dropout_30</w:t>
            </w:r>
          </w:p>
        </w:tc>
        <w:tc>
          <w:tcPr>
            <w:vAlign w:val="center"/>
            <w:tcW w:w="560" w:type="dxa"/>
            <w:tcMar>
              <w:left w:w="50" w:type="dxa"/>
              <w:right w:w="50" w:type="dxa"/>
            </w:tcMar>
          </w:tcPr>
          <w:p w:rsidR="00000000" w:rsidDel="00000000" w:rsidP="00000000" w:rsidRDefault="00000000" w:rsidRPr="00000000" w14:paraId="000000C5">
            <w:pPr>
              <w:ind w:firstLine="0"/>
              <w:jc w:val="left"/>
              <w:rPr>
                <w:sz w:val="18"/>
                <w:szCs w:val="18"/>
              </w:rPr>
            </w:pPr>
            <w:r w:rsidDel="00000000" w:rsidR="00000000" w:rsidRPr="00000000">
              <w:rPr>
                <w:sz w:val="16"/>
                <w:szCs w:val="16"/>
                <w:rtl w:val="0"/>
              </w:rPr>
              <w:t>0.511</w:t>
            </w:r>
          </w:p>
        </w:tc>
        <w:tc>
          <w:tcPr>
            <w:vAlign w:val="center"/>
            <w:tcW w:w="560" w:type="dxa"/>
            <w:tcMar>
              <w:left w:w="50" w:type="dxa"/>
              <w:right w:w="50" w:type="dxa"/>
            </w:tcMar>
          </w:tcPr>
          <w:p w:rsidR="00000000" w:rsidDel="00000000" w:rsidP="00000000" w:rsidRDefault="00000000" w:rsidRPr="00000000" w14:paraId="000000C6">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C7">
            <w:pPr>
              <w:ind w:firstLine="0"/>
              <w:jc w:val="left"/>
              <w:rPr>
                <w:sz w:val="18"/>
                <w:szCs w:val="18"/>
              </w:rPr>
            </w:pPr>
            <w:r w:rsidDel="00000000" w:rsidR="00000000" w:rsidRPr="00000000">
              <w:rPr>
                <w:sz w:val="16"/>
                <w:szCs w:val="16"/>
                <w:rtl w:val="0"/>
              </w:rPr>
              <w:t>0.981</w:t>
            </w:r>
          </w:p>
        </w:tc>
        <w:tc>
          <w:tcPr>
            <w:vAlign w:val="center"/>
            <w:tcW w:w="850" w:type="dxa"/>
            <w:tcMar>
              <w:left w:w="50" w:type="dxa"/>
              <w:right w:w="50" w:type="dxa"/>
            </w:tcMar>
          </w:tcPr>
          <w:p w:rsidR="00000000" w:rsidDel="00000000" w:rsidP="00000000" w:rsidRDefault="00000000" w:rsidRPr="00000000" w14:paraId="000000C8">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C9">
            <w:pPr>
              <w:ind w:firstLine="0"/>
              <w:jc w:val="left"/>
              <w:rPr>
                <w:sz w:val="18"/>
                <w:szCs w:val="18"/>
              </w:rPr>
            </w:pPr>
            <w:r w:rsidDel="00000000" w:rsidR="00000000" w:rsidRPr="00000000">
              <w:rPr>
                <w:sz w:val="16"/>
                <w:szCs w:val="16"/>
                <w:rtl w:val="0"/>
              </w:rPr>
              <w:t>0.369</w:t>
            </w:r>
          </w:p>
        </w:tc>
        <w:tc>
          <w:tcPr>
            <w:vAlign w:val="center"/>
            <w:tcW w:w="600" w:type="dxa"/>
            <w:tcMar>
              <w:left w:w="50" w:type="dxa"/>
              <w:right w:w="50" w:type="dxa"/>
            </w:tcMar>
          </w:tcPr>
          <w:p w:rsidR="00000000" w:rsidDel="00000000" w:rsidP="00000000" w:rsidRDefault="00000000" w:rsidRPr="00000000" w14:paraId="000000CA">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CB">
            <w:pPr>
              <w:ind w:firstLine="0"/>
              <w:jc w:val="left"/>
              <w:rPr>
                <w:sz w:val="18"/>
                <w:szCs w:val="18"/>
              </w:rPr>
            </w:pPr>
            <w:r w:rsidDel="00000000" w:rsidR="00000000" w:rsidRPr="00000000">
              <w:rPr>
                <w:sz w:val="16"/>
                <w:szCs w:val="16"/>
                <w:rtl w:val="0"/>
              </w:rPr>
              <w:t>2.5</w:t>
            </w:r>
          </w:p>
        </w:tc>
        <w:tc>
          <w:tcPr>
            <w:vAlign w:val="center"/>
            <w:tcW w:w="520" w:type="dxa"/>
            <w:tcMar>
              <w:left w:w="50" w:type="dxa"/>
              <w:right w:w="50" w:type="dxa"/>
            </w:tcMar>
          </w:tcPr>
          <w:p w:rsidR="00000000" w:rsidDel="00000000" w:rsidP="00000000" w:rsidRDefault="00000000" w:rsidRPr="00000000" w14:paraId="000000CC">
            <w:pPr>
              <w:ind w:firstLine="0"/>
              <w:jc w:val="left"/>
              <w:rPr>
                <w:sz w:val="18"/>
                <w:szCs w:val="18"/>
              </w:rPr>
            </w:pPr>
            <w:r w:rsidDel="00000000" w:rsidR="00000000" w:rsidRPr="00000000">
              <w:rPr>
                <w:sz w:val="16"/>
                <w:szCs w:val="16"/>
                <w:rtl w:val="0"/>
              </w:rPr>
              <w:t xml:space="preserve">N/A</w:t>
            </w:r>
          </w:p>
        </w:tc>
      </w:tr>
      <w:tr>
        <w:trPr>
          <w:cantSplit w:val="0"/>
          <w:trHeight w:val="677.9296875" w:hRule="atLeast"/>
          <w:tblHeader w:val="0"/>
        </w:trPr>
        <w:tc>
          <w:tcPr>
            <w:vAlign w:val="center"/>
            <w:tcW w:w="1603" w:type="dxa"/>
            <w:tcMar>
              <w:left w:w="50" w:type="dxa"/>
              <w:right w:w="50" w:type="dxa"/>
            </w:tcMar>
          </w:tcPr>
          <w:p w:rsidR="00000000" w:rsidDel="00000000" w:rsidP="00000000" w:rsidRDefault="00000000" w:rsidRPr="00000000" w14:paraId="000000CD">
            <w:pPr>
              <w:ind w:firstLine="0"/>
              <w:jc w:val="left"/>
              <w:rPr>
                <w:sz w:val="18"/>
                <w:szCs w:val="18"/>
              </w:rPr>
            </w:pPr>
            <w:r w:rsidDel="00000000" w:rsidR="00000000" w:rsidRPr="00000000">
              <w:rPr>
                <w:sz w:val="16"/>
                <w:szCs w:val="16"/>
                <w:rtl w:val="0"/>
              </w:rPr>
              <w:t xml:space="preserve">extreme_dropout_50</w:t>
            </w:r>
          </w:p>
        </w:tc>
        <w:tc>
          <w:tcPr>
            <w:vAlign w:val="center"/>
            <w:tcW w:w="560" w:type="dxa"/>
            <w:tcMar>
              <w:left w:w="50" w:type="dxa"/>
              <w:right w:w="50" w:type="dxa"/>
            </w:tcMar>
          </w:tcPr>
          <w:p w:rsidR="00000000" w:rsidDel="00000000" w:rsidP="00000000" w:rsidRDefault="00000000" w:rsidRPr="00000000" w14:paraId="000000CE">
            <w:pPr>
              <w:ind w:firstLine="0"/>
              <w:jc w:val="left"/>
              <w:rPr>
                <w:sz w:val="18"/>
                <w:szCs w:val="18"/>
              </w:rPr>
            </w:pPr>
            <w:r w:rsidDel="00000000" w:rsidR="00000000" w:rsidRPr="00000000">
              <w:rPr>
                <w:sz w:val="16"/>
                <w:szCs w:val="16"/>
                <w:rtl w:val="0"/>
              </w:rPr>
              <w:t xml:space="preserve">0.514</w:t>
            </w:r>
          </w:p>
        </w:tc>
        <w:tc>
          <w:tcPr>
            <w:vAlign w:val="center"/>
            <w:tcW w:w="560" w:type="dxa"/>
            <w:tcMar>
              <w:left w:w="50" w:type="dxa"/>
              <w:right w:w="50" w:type="dxa"/>
            </w:tcMar>
          </w:tcPr>
          <w:p w:rsidR="00000000" w:rsidDel="00000000" w:rsidP="00000000" w:rsidRDefault="00000000" w:rsidRPr="00000000" w14:paraId="000000CF">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D0">
            <w:pPr>
              <w:ind w:firstLine="0"/>
              <w:jc w:val="left"/>
              <w:rPr>
                <w:sz w:val="18"/>
                <w:szCs w:val="18"/>
              </w:rPr>
            </w:pPr>
            <w:r w:rsidDel="00000000" w:rsidR="00000000" w:rsidRPr="00000000">
              <w:rPr>
                <w:sz w:val="16"/>
                <w:szCs w:val="16"/>
                <w:rtl w:val="0"/>
              </w:rPr>
              <w:t>0.995</w:t>
            </w:r>
          </w:p>
        </w:tc>
        <w:tc>
          <w:tcPr>
            <w:vAlign w:val="center"/>
            <w:tcW w:w="850" w:type="dxa"/>
            <w:tcMar>
              <w:left w:w="50" w:type="dxa"/>
              <w:right w:w="50" w:type="dxa"/>
            </w:tcMar>
          </w:tcPr>
          <w:p w:rsidR="00000000" w:rsidDel="00000000" w:rsidP="00000000" w:rsidRDefault="00000000" w:rsidRPr="00000000" w14:paraId="000000D1">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D2">
            <w:pPr>
              <w:ind w:firstLine="0"/>
              <w:jc w:val="left"/>
              <w:rPr>
                <w:sz w:val="18"/>
                <w:szCs w:val="18"/>
              </w:rPr>
            </w:pPr>
            <w:r w:rsidDel="00000000" w:rsidR="00000000" w:rsidRPr="00000000">
              <w:rPr>
                <w:sz w:val="16"/>
                <w:szCs w:val="16"/>
                <w:rtl w:val="0"/>
              </w:rPr>
              <w:t>0.371</w:t>
            </w:r>
          </w:p>
        </w:tc>
        <w:tc>
          <w:tcPr>
            <w:vAlign w:val="center"/>
            <w:tcW w:w="600" w:type="dxa"/>
            <w:tcMar>
              <w:left w:w="50" w:type="dxa"/>
              <w:right w:w="50" w:type="dxa"/>
            </w:tcMar>
          </w:tcPr>
          <w:p w:rsidR="00000000" w:rsidDel="00000000" w:rsidP="00000000" w:rsidRDefault="00000000" w:rsidRPr="00000000" w14:paraId="000000D3">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D4">
            <w:pPr>
              <w:ind w:firstLine="0"/>
              <w:jc w:val="left"/>
              <w:rPr>
                <w:sz w:val="18"/>
                <w:szCs w:val="18"/>
              </w:rPr>
            </w:pPr>
            <w:r w:rsidDel="00000000" w:rsidR="00000000" w:rsidRPr="00000000">
              <w:rPr>
                <w:sz w:val="16"/>
                <w:szCs w:val="16"/>
                <w:rtl w:val="0"/>
              </w:rPr>
              <w:t>1.7</w:t>
            </w:r>
          </w:p>
        </w:tc>
        <w:tc>
          <w:tcPr>
            <w:vAlign w:val="center"/>
            <w:tcW w:w="520" w:type="dxa"/>
            <w:tcMar>
              <w:left w:w="50" w:type="dxa"/>
              <w:right w:w="50" w:type="dxa"/>
            </w:tcMar>
          </w:tcPr>
          <w:p w:rsidR="00000000" w:rsidDel="00000000" w:rsidP="00000000" w:rsidRDefault="00000000" w:rsidRPr="00000000" w14:paraId="000000D5">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D6">
            <w:pPr>
              <w:ind w:firstLine="0"/>
              <w:jc w:val="left"/>
              <w:rPr>
                <w:sz w:val="18"/>
                <w:szCs w:val="18"/>
              </w:rPr>
            </w:pPr>
            <w:r w:rsidDel="00000000" w:rsidR="00000000" w:rsidRPr="00000000">
              <w:rPr>
                <w:sz w:val="16"/>
                <w:szCs w:val="16"/>
                <w:rtl w:val="0"/>
              </w:rPr>
              <w:t xml:space="preserve">extreme_noisy</w:t>
            </w:r>
          </w:p>
        </w:tc>
        <w:tc>
          <w:tcPr>
            <w:vAlign w:val="center"/>
            <w:tcW w:w="560" w:type="dxa"/>
            <w:tcMar>
              <w:left w:w="50" w:type="dxa"/>
              <w:right w:w="50" w:type="dxa"/>
            </w:tcMar>
          </w:tcPr>
          <w:p w:rsidR="00000000" w:rsidDel="00000000" w:rsidP="00000000" w:rsidRDefault="00000000" w:rsidRPr="00000000" w14:paraId="000000D7">
            <w:pPr>
              <w:ind w:firstLine="0"/>
              <w:jc w:val="left"/>
              <w:rPr>
                <w:sz w:val="18"/>
                <w:szCs w:val="18"/>
              </w:rPr>
            </w:pPr>
            <w:r w:rsidDel="00000000" w:rsidR="00000000" w:rsidRPr="00000000">
              <w:rPr>
                <w:sz w:val="16"/>
                <w:szCs w:val="16"/>
                <w:rtl w:val="0"/>
              </w:rPr>
              <w:t>0.509</w:t>
            </w:r>
          </w:p>
        </w:tc>
        <w:tc>
          <w:tcPr>
            <w:vAlign w:val="center"/>
            <w:tcW w:w="560" w:type="dxa"/>
            <w:tcMar>
              <w:left w:w="50" w:type="dxa"/>
              <w:right w:w="50" w:type="dxa"/>
            </w:tcMar>
          </w:tcPr>
          <w:p w:rsidR="00000000" w:rsidDel="00000000" w:rsidP="00000000" w:rsidRDefault="00000000" w:rsidRPr="00000000" w14:paraId="000000D8">
            <w:pPr>
              <w:ind w:firstLine="0"/>
              <w:jc w:val="left"/>
              <w:rPr>
                <w:sz w:val="18"/>
                <w:szCs w:val="18"/>
              </w:rPr>
            </w:pPr>
            <w:r w:rsidDel="00000000" w:rsidR="00000000" w:rsidRPr="00000000">
              <w:rPr>
                <w:sz w:val="16"/>
                <w:szCs w:val="16"/>
                <w:rtl w:val="0"/>
              </w:rPr>
              <w:t xml:space="preserve">0.196</w:t>
            </w:r>
          </w:p>
        </w:tc>
        <w:tc>
          <w:tcPr>
            <w:vAlign w:val="center"/>
            <w:tcW w:w="850" w:type="dxa"/>
            <w:tcMar>
              <w:left w:w="50" w:type="dxa"/>
              <w:right w:w="50" w:type="dxa"/>
            </w:tcMar>
          </w:tcPr>
          <w:p w:rsidR="00000000" w:rsidDel="00000000" w:rsidP="00000000" w:rsidRDefault="00000000" w:rsidRPr="00000000" w14:paraId="000000D9">
            <w:pPr>
              <w:ind w:firstLine="0"/>
              <w:jc w:val="left"/>
              <w:rPr>
                <w:sz w:val="18"/>
                <w:szCs w:val="18"/>
              </w:rPr>
            </w:pPr>
            <w:r w:rsidDel="00000000" w:rsidR="00000000" w:rsidRPr="00000000">
              <w:rPr>
                <w:sz w:val="16"/>
                <w:szCs w:val="16"/>
                <w:rtl w:val="0"/>
              </w:rPr>
              <w:t>0.992</w:t>
            </w:r>
          </w:p>
        </w:tc>
        <w:tc>
          <w:tcPr>
            <w:vAlign w:val="center"/>
            <w:tcW w:w="850" w:type="dxa"/>
            <w:tcMar>
              <w:left w:w="50" w:type="dxa"/>
              <w:right w:w="50" w:type="dxa"/>
            </w:tcMar>
          </w:tcPr>
          <w:p w:rsidR="00000000" w:rsidDel="00000000" w:rsidP="00000000" w:rsidRDefault="00000000" w:rsidRPr="00000000" w14:paraId="000000DA">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DB">
            <w:pPr>
              <w:ind w:firstLine="0"/>
              <w:jc w:val="left"/>
              <w:rPr>
                <w:sz w:val="18"/>
                <w:szCs w:val="18"/>
              </w:rPr>
            </w:pPr>
            <w:r w:rsidDel="00000000" w:rsidR="00000000" w:rsidRPr="00000000">
              <w:rPr>
                <w:sz w:val="16"/>
                <w:szCs w:val="16"/>
                <w:rtl w:val="0"/>
              </w:rPr>
              <w:t>0.366</w:t>
            </w:r>
          </w:p>
        </w:tc>
        <w:tc>
          <w:tcPr>
            <w:vAlign w:val="center"/>
            <w:tcW w:w="600" w:type="dxa"/>
            <w:tcMar>
              <w:left w:w="50" w:type="dxa"/>
              <w:right w:w="50" w:type="dxa"/>
            </w:tcMar>
          </w:tcPr>
          <w:p w:rsidR="00000000" w:rsidDel="00000000" w:rsidP="00000000" w:rsidRDefault="00000000" w:rsidRPr="00000000" w14:paraId="000000DC">
            <w:pPr>
              <w:ind w:firstLine="0"/>
              <w:jc w:val="left"/>
              <w:rPr>
                <w:sz w:val="18"/>
                <w:szCs w:val="18"/>
              </w:rPr>
            </w:pPr>
            <w:r w:rsidDel="00000000" w:rsidR="00000000" w:rsidRPr="00000000">
              <w:rPr>
                <w:sz w:val="16"/>
                <w:szCs w:val="16"/>
                <w:rtl w:val="0"/>
              </w:rPr>
              <w:t xml:space="preserve">0.109</w:t>
            </w:r>
          </w:p>
        </w:tc>
        <w:tc>
          <w:tcPr>
            <w:vAlign w:val="center"/>
            <w:tcW w:w="775" w:type="dxa"/>
            <w:tcMar>
              <w:left w:w="50" w:type="dxa"/>
              <w:right w:w="50" w:type="dxa"/>
            </w:tcMar>
          </w:tcPr>
          <w:p w:rsidR="00000000" w:rsidDel="00000000" w:rsidP="00000000" w:rsidRDefault="00000000" w:rsidRPr="00000000" w14:paraId="000000DD">
            <w:pPr>
              <w:ind w:firstLine="0"/>
              <w:jc w:val="left"/>
              <w:rPr>
                <w:sz w:val="18"/>
                <w:szCs w:val="18"/>
              </w:rPr>
            </w:pPr>
            <w:r w:rsidDel="00000000" w:rsidR="00000000" w:rsidRPr="00000000">
              <w:rPr>
                <w:sz w:val="16"/>
                <w:szCs w:val="16"/>
                <w:rtl w:val="0"/>
              </w:rPr>
              <w:t xml:space="preserve">1.4</w:t>
            </w:r>
          </w:p>
        </w:tc>
        <w:tc>
          <w:tcPr>
            <w:vAlign w:val="center"/>
            <w:tcW w:w="520" w:type="dxa"/>
            <w:tcMar>
              <w:left w:w="50" w:type="dxa"/>
              <w:right w:w="50" w:type="dxa"/>
            </w:tcMar>
          </w:tcPr>
          <w:p w:rsidR="00000000" w:rsidDel="00000000" w:rsidP="00000000" w:rsidRDefault="00000000" w:rsidRPr="00000000" w14:paraId="000000DE">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tcBorders>
              <w:bottom w:color="000000" w:space="0" w:sz="12" w:val="single"/>
            </w:tcBorders>
            <w:vAlign w:val="center"/>
            <w:tcW w:w="1603" w:type="dxa"/>
            <w:tcMar>
              <w:left w:w="50" w:type="dxa"/>
              <w:right w:w="50" w:type="dxa"/>
            </w:tcMa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6"/>
                <w:szCs w:val="16"/>
                <w:rtl w:val="0"/>
              </w:rPr>
              <w:t>Average (6 flood scenarios)</w:t>
            </w:r>
          </w:p>
        </w:tc>
        <w:tc>
          <w:tcPr>
            <w:tcBorders>
              <w:bottom w:color="000000" w:space="0" w:sz="12" w:val="single"/>
            </w:tcBorders>
            <w:vAlign w:val="center"/>
            <w:tcW w:w="560" w:type="dxa"/>
            <w:tcMar>
              <w:left w:w="50" w:type="dxa"/>
              <w:right w:w="50" w:type="dxa"/>
            </w:tcMa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6"/>
                <w:szCs w:val="16"/>
                <w:rtl w:val="0"/>
              </w:rPr>
              <w:t>0.502</w:t>
            </w:r>
          </w:p>
        </w:tc>
        <w:tc>
          <w:tcPr>
            <w:tcBorders>
              <w:bottom w:color="000000" w:space="0" w:sz="12" w:val="single"/>
            </w:tcBorders>
            <w:vAlign w:val="center"/>
            <w:tcW w:w="560" w:type="dxa"/>
            <w:tcMar>
              <w:left w:w="50" w:type="dxa"/>
              <w:right w:w="50" w:type="dxa"/>
            </w:tcMa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6"/>
                <w:szCs w:val="16"/>
                <w:rtl w:val="0"/>
              </w:rPr>
              <w:t>0.187</w:t>
            </w:r>
          </w:p>
        </w:tc>
        <w:tc>
          <w:tcPr>
            <w:tcBorders>
              <w:bottom w:color="000000" w:space="0" w:sz="12" w:val="single"/>
            </w:tcBorders>
            <w:vAlign w:val="center"/>
            <w:tcW w:w="850" w:type="dxa"/>
            <w:tcMar>
              <w:left w:w="50" w:type="dxa"/>
              <w:right w:w="50" w:type="dxa"/>
            </w:tcMa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6"/>
                <w:szCs w:val="16"/>
                <w:rtl w:val="0"/>
              </w:rPr>
              <w:t>0.972</w:t>
            </w:r>
          </w:p>
        </w:tc>
        <w:tc>
          <w:tcPr>
            <w:tcBorders>
              <w:bottom w:color="000000" w:space="0" w:sz="12" w:val="single"/>
            </w:tcBorders>
            <w:vAlign w:val="center"/>
            <w:tcW w:w="850" w:type="dxa"/>
            <w:tcMar>
              <w:left w:w="50" w:type="dxa"/>
              <w:right w:w="50" w:type="dxa"/>
            </w:tcMa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6"/>
                <w:szCs w:val="16"/>
                <w:rtl w:val="0"/>
              </w:rPr>
              <w:t>1.000</w:t>
            </w:r>
          </w:p>
        </w:tc>
        <w:tc>
          <w:tcPr>
            <w:tcBorders>
              <w:bottom w:color="000000" w:space="0" w:sz="12" w:val="single"/>
            </w:tcBorders>
            <w:vAlign w:val="center"/>
            <w:tcW w:w="600" w:type="dxa"/>
            <w:tcMar>
              <w:left w:w="50" w:type="dxa"/>
              <w:right w:w="50" w:type="dxa"/>
            </w:tcMa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6"/>
                <w:szCs w:val="16"/>
                <w:rtl w:val="0"/>
              </w:rPr>
              <w:t>0.362</w:t>
            </w:r>
          </w:p>
        </w:tc>
        <w:tc>
          <w:tcPr>
            <w:tcBorders>
              <w:bottom w:color="000000" w:space="0" w:sz="12" w:val="single"/>
            </w:tcBorders>
            <w:vAlign w:val="center"/>
            <w:tcW w:w="600" w:type="dxa"/>
            <w:tcMar>
              <w:left w:w="50" w:type="dxa"/>
              <w:right w:w="50" w:type="dxa"/>
            </w:tcMa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6"/>
                <w:szCs w:val="16"/>
                <w:rtl w:val="0"/>
              </w:rPr>
              <w:t>0.104</w:t>
            </w:r>
          </w:p>
        </w:tc>
        <w:tc>
          <w:tcPr>
            <w:tcBorders>
              <w:bottom w:color="000000" w:space="0" w:sz="12" w:val="single"/>
            </w:tcBorders>
            <w:vAlign w:val="center"/>
            <w:tcW w:w="775" w:type="dxa"/>
            <w:tcMar>
              <w:left w:w="50" w:type="dxa"/>
              <w:right w:w="50" w:type="dxa"/>
            </w:tcMa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6"/>
                <w:szCs w:val="16"/>
                <w:rtl w:val="0"/>
              </w:rPr>
              <w:t>2.8</w:t>
            </w:r>
          </w:p>
        </w:tc>
        <w:tc>
          <w:tcPr>
            <w:tcBorders>
              <w:bottom w:color="000000" w:space="0" w:sz="12" w:val="single"/>
            </w:tcBorders>
            <w:vAlign w:val="center"/>
            <w:tcW w:w="520" w:type="dxa"/>
            <w:tcMar>
              <w:left w:w="50" w:type="dxa"/>
              <w:right w:w="50" w:type="dxa"/>
            </w:tcMa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6"/>
                <w:szCs w:val="16"/>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(~97%) for 3.5× higher recall (~36%), catching substantially more flood steps (Table 4). Across all flood scenarios (averaged over 3 repeats), baseline recall is 10.4% while FloodMAS recall is 36.2%. Both headline ratios, the 2.7× detection-F1 advantage and the 3.5× recall advantage, are computed over the six flood scenarios of Table 4; the two normal scenarios contain no flooding (detection F1 is 0.0 for both systems) and are excluded from these averages. Both headline ratios, the 2.7× detection-F1 advantage and the 3.5× recall advantage, are computed over the six flood scenarios of Table 4; the two normal scenarios contain no flooding (detection F1 is 0.0 for both systems) and are excluded from these averages.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2.8 steps (~40 minutes at 15 min/step) before flood onset. The baseline provides zero early warnings across all scenarios: it never issues an alert before the flood is already underway. Across all flood scenarios and repeats, FloodMAS zones issued 53 early warnings before flood onset in total (8.8 per scenario on average),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(2.6% false-positive zone-steps on average across the three repeats; 7.8% in the worst repeat and 0% in the other two). This demonstrates why the guardrails layer is central: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0.514, slightly higher than the no-dropout extreme_wet F1 = 0.513) with an average of 12.0 total state changes (summed across the four zones) vs. 14.0 for extreme_wet. Under dropout, the degraded-mode guardrails issue far fewer early warnings (2 across the three repeats, versus 12 in extreme_wet), and the mean lead time of those warnings falls from 3.3 to 1.7 steps: the system waits for stronger evidence before alerting and only warns once the flood signature is already well established.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FloodMAS achieves an average lead time of 2.8 steps across flood scenarios, equivalent to approximately 40 minutes of advance warning at the configured step duration of 15 minutes. Lead time varies by scenario from 1.4 steps in extreme_noisy (where rapid signal changes enable fast detection) to 4.8 steps in extreme_dry. The baseline achieves zero lead time in all scenarios: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In scenario-based evaluations across eight conditions with 3-repeat statistical averaging, FloodMAS achieves 2.7× higher detection F1 than a threshold baseline (0.50 vs. 0.19), with an average 40-minute early warning lead time where the baseline provides none. The detection-F1 advantage is what survives 50% sensor dropout: F1 holds at 0.514 against the baseline's 0.188. The degraded-mode guardrails issue only 2 early warnings across the three repeats, and the mean lead time drops to 1.7 steps (about 25 minutes),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 and (6) a scalability study of the coordinator's fusion logic on larger zone grids (e.g., 3×3 and 4×4 layouts), including a river-zone versus land-zone analysis that quantifies how recall, lead time, and global alarm stability scale with the number of zones and the fraction of river-adjacent zones.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r>
        <w:rPr>
          <w:rtl w:val="0"/>
        </w:rPr>
        <w:t>Reproducibility. The simulator, data-generation pipeline, training pipeline, evaluation harness, and figure-generation scripts are implemented in Python 3.12 and are available in the public repository at github.com/Buljic/multiagent-flood-detection. All experimental configurations (seeds, guardrail parameters, baseline thresholds, and the eight scenario definitions) are stored as versioned YAML files, and the trained model, the generated datasets, the per-run experiment logs, and the results used in Tables 2-4 are archived alongside the source code. The complete evaluation can be re-executed end-to-end with a single pipeline entry point, ensuring that every number reported in this paper can be independently regenerated.</w:t>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20 Jan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Matsuda, H., Kotani, H., Onishi, M.: Causal effects of perceived false alarm ratio on flood protective actions during heavy rain warnings in Japan: a case study of Tropical Storm Yun-Yeung in 2023. Weather, Climate, and Society 17(4), 683–698 (2025). https://doi.org/10.1175/WCAS-D-24-0106.1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Watanabe, M., Kotani, H., Yagi, R., Sawada, Y., Kawabata, T.: Emotional responses and perceptions of false alarms in flood warnings and their impact on evacuation action: an empirical analysis of the Kyushu Region, Japan. Journal of the Meteorological Society of Japan 104(1), art. 29 (2026). https://doi.org/10.1007/s44394-026-00029-0</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10 Feb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20 Jan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Rafanelli, A., Costantini, S., De Gasperis, G.: Neural-logic multi-agent system for flood event detection. Intelligenza Artificiale 17(1), 19–35 (2023). https://doi.org/10.3233/IA-230004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Avula, G., Thudumu, S., Du, H., Pedasingu, N.R., Vayira, S., Fisher, J.: Flood Watch: A Multi-Agent System for Smarter Disaster Response. In: Proceedings of the 2025 IEEE International Conference on eScience (eScience), pp. 349–350 (2025). https://doi.org/10.1109/eScience65000.2025.00065</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10 Feb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1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Tamascelli, N., Paltrinieri, N., Cozzani, V.: Predicting chattering alarms: a machine learning approach. Computers &amp; Chemical Engineering 143, 107122 (2020). https://doi.org/10.1016/j.compchemeng.2020.107122</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11 Jan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10 Jan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10 Feb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20 Dec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20 Jan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