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A7" w:rsidRDefault="009A44A7" w:rsidP="00A44435">
      <w:pPr>
        <w:pStyle w:val="BodyText2"/>
        <w:spacing w:line="480" w:lineRule="auto"/>
      </w:pPr>
      <w:bookmarkStart w:id="0" w:name="_GoBack"/>
      <w:bookmarkEnd w:id="0"/>
    </w:p>
    <w:p w:rsidR="008939B9" w:rsidRDefault="009B27C0" w:rsidP="00A44435">
      <w:pPr>
        <w:pStyle w:val="BodyText2"/>
        <w:spacing w:line="480" w:lineRule="auto"/>
      </w:pPr>
      <w:r>
        <w:t>NATURAL</w:t>
      </w:r>
      <w:r w:rsidR="008939B9">
        <w:t xml:space="preserve"> CONVECTION FLOW </w:t>
      </w:r>
      <w:r w:rsidR="003B67E1">
        <w:t>UNDER A MAGNETIC FIELD IN AN INCLIN</w:t>
      </w:r>
      <w:r w:rsidR="006D25DE">
        <w:t>ED SQUARE ENCLOSURE DIFFERENTIAL</w:t>
      </w:r>
      <w:r w:rsidR="003B67E1">
        <w:t>Y HEATED ON ADJACENT WALLS</w:t>
      </w:r>
    </w:p>
    <w:p w:rsidR="008939B9" w:rsidRPr="006A7F61" w:rsidRDefault="008939B9" w:rsidP="00A44435">
      <w:pPr>
        <w:spacing w:line="480" w:lineRule="auto"/>
        <w:jc w:val="center"/>
        <w:rPr>
          <w:szCs w:val="24"/>
        </w:rPr>
      </w:pPr>
    </w:p>
    <w:p w:rsidR="008939B9" w:rsidRDefault="008939B9" w:rsidP="00A44435">
      <w:pPr>
        <w:spacing w:line="480" w:lineRule="auto"/>
        <w:jc w:val="center"/>
      </w:pPr>
      <w:r>
        <w:rPr>
          <w:sz w:val="20"/>
        </w:rPr>
        <w:t>M</w:t>
      </w:r>
      <w:r>
        <w:t>ehmet Cem Ece</w:t>
      </w:r>
      <w:r w:rsidR="003B67E1">
        <w:t xml:space="preserve"> &amp; Elif Büyük</w:t>
      </w:r>
    </w:p>
    <w:p w:rsidR="008939B9" w:rsidRDefault="008939B9" w:rsidP="00A44435">
      <w:pPr>
        <w:pStyle w:val="authorinfo"/>
        <w:spacing w:before="0" w:after="0" w:line="480" w:lineRule="auto"/>
        <w:jc w:val="center"/>
        <w:rPr>
          <w:i w:val="0"/>
          <w:iCs/>
          <w:sz w:val="20"/>
        </w:rPr>
      </w:pPr>
      <w:r>
        <w:rPr>
          <w:i w:val="0"/>
          <w:iCs/>
          <w:sz w:val="20"/>
        </w:rPr>
        <w:t>Department of Mechanical Engineering</w:t>
      </w:r>
    </w:p>
    <w:p w:rsidR="008939B9" w:rsidRDefault="008939B9" w:rsidP="00A44435">
      <w:pPr>
        <w:pStyle w:val="authorinfo"/>
        <w:spacing w:before="0" w:after="0" w:line="480" w:lineRule="auto"/>
        <w:jc w:val="center"/>
        <w:rPr>
          <w:i w:val="0"/>
          <w:iCs/>
          <w:sz w:val="20"/>
        </w:rPr>
      </w:pPr>
      <w:r>
        <w:rPr>
          <w:i w:val="0"/>
          <w:iCs/>
          <w:sz w:val="20"/>
        </w:rPr>
        <w:t>Trakya University</w:t>
      </w:r>
    </w:p>
    <w:p w:rsidR="008939B9" w:rsidRDefault="008939B9" w:rsidP="00A44435">
      <w:pPr>
        <w:pStyle w:val="authorinfo"/>
        <w:spacing w:before="0" w:after="0" w:line="480" w:lineRule="auto"/>
        <w:jc w:val="center"/>
        <w:rPr>
          <w:i w:val="0"/>
          <w:iCs/>
          <w:sz w:val="20"/>
        </w:rPr>
      </w:pPr>
      <w:r>
        <w:rPr>
          <w:i w:val="0"/>
          <w:iCs/>
          <w:sz w:val="20"/>
        </w:rPr>
        <w:t>22030 Edirne, Turkey.</w:t>
      </w:r>
    </w:p>
    <w:p w:rsidR="008939B9" w:rsidRPr="008C2569" w:rsidRDefault="008939B9" w:rsidP="00A44435">
      <w:pPr>
        <w:pStyle w:val="email"/>
        <w:spacing w:before="0" w:line="480" w:lineRule="auto"/>
        <w:rPr>
          <w:b/>
          <w:color w:val="000000"/>
        </w:rPr>
      </w:pPr>
    </w:p>
    <w:p w:rsidR="00AA1BFA" w:rsidRPr="0082509D" w:rsidRDefault="008939B9" w:rsidP="00A44435">
      <w:pPr>
        <w:spacing w:line="480" w:lineRule="auto"/>
        <w:rPr>
          <w:color w:val="000000"/>
          <w:sz w:val="20"/>
        </w:rPr>
      </w:pPr>
      <w:r w:rsidRPr="0082509D">
        <w:rPr>
          <w:b/>
          <w:bCs/>
          <w:color w:val="000000"/>
          <w:sz w:val="20"/>
        </w:rPr>
        <w:t>Abstract:</w:t>
      </w:r>
      <w:r w:rsidRPr="0082509D">
        <w:rPr>
          <w:color w:val="000000"/>
          <w:sz w:val="20"/>
        </w:rPr>
        <w:t xml:space="preserve"> </w:t>
      </w:r>
      <w:r w:rsidR="00D02012" w:rsidRPr="0082509D">
        <w:rPr>
          <w:color w:val="000000"/>
          <w:sz w:val="20"/>
        </w:rPr>
        <w:t>Steady, laminar, natural-convection flow in the presence of a magnetic field in an inclined square enclosure differentially heated along the bottom and left vertical walls while the other walls are kept isothermal was considered. The governing equations were solved numerically for the stream function, vorticity and temperature ratio using the differential quadrature method</w:t>
      </w:r>
      <w:r w:rsidR="00F40310" w:rsidRPr="0082509D">
        <w:rPr>
          <w:color w:val="000000"/>
          <w:sz w:val="20"/>
        </w:rPr>
        <w:t xml:space="preserve"> for various Grashof and </w:t>
      </w:r>
      <w:r w:rsidR="00130394" w:rsidRPr="0082509D">
        <w:rPr>
          <w:color w:val="000000"/>
          <w:sz w:val="20"/>
        </w:rPr>
        <w:t>Hartmann</w:t>
      </w:r>
      <w:r w:rsidR="00F40310" w:rsidRPr="0082509D">
        <w:rPr>
          <w:color w:val="000000"/>
          <w:sz w:val="20"/>
        </w:rPr>
        <w:t xml:space="preserve"> numbers, inclination angle of the enclosure and direction of the magnetic field. </w:t>
      </w:r>
      <w:r w:rsidR="00AA1BFA" w:rsidRPr="0082509D">
        <w:rPr>
          <w:color w:val="000000"/>
          <w:sz w:val="20"/>
        </w:rPr>
        <w:t xml:space="preserve">The </w:t>
      </w:r>
      <w:r w:rsidR="00BC00B4" w:rsidRPr="0082509D">
        <w:rPr>
          <w:color w:val="000000"/>
          <w:sz w:val="20"/>
        </w:rPr>
        <w:t>orientation of the enclosure changes the temperature gradient inside and</w:t>
      </w:r>
      <w:r w:rsidR="00AA1BFA" w:rsidRPr="0082509D">
        <w:rPr>
          <w:color w:val="000000"/>
          <w:sz w:val="20"/>
        </w:rPr>
        <w:t xml:space="preserve"> has a significant effect on the flow pattern</w:t>
      </w:r>
      <w:r w:rsidR="00BC00B4" w:rsidRPr="0082509D">
        <w:rPr>
          <w:color w:val="000000"/>
          <w:sz w:val="20"/>
        </w:rPr>
        <w:t>.</w:t>
      </w:r>
      <w:r w:rsidR="00AA1BFA" w:rsidRPr="0082509D">
        <w:rPr>
          <w:color w:val="000000"/>
          <w:sz w:val="20"/>
        </w:rPr>
        <w:t xml:space="preserve"> </w:t>
      </w:r>
      <w:r w:rsidR="00F97395" w:rsidRPr="0082509D">
        <w:rPr>
          <w:color w:val="000000"/>
          <w:sz w:val="20"/>
        </w:rPr>
        <w:t xml:space="preserve">Magnetic field suppresses the convective flow and its direction also influences the flow pattern, </w:t>
      </w:r>
      <w:r w:rsidR="00FA4903" w:rsidRPr="0082509D">
        <w:rPr>
          <w:color w:val="000000"/>
          <w:sz w:val="20"/>
        </w:rPr>
        <w:t>caus</w:t>
      </w:r>
      <w:r w:rsidR="00F97395" w:rsidRPr="0082509D">
        <w:rPr>
          <w:color w:val="000000"/>
          <w:sz w:val="20"/>
        </w:rPr>
        <w:t>ing</w:t>
      </w:r>
      <w:r w:rsidR="00FA4903" w:rsidRPr="0082509D">
        <w:rPr>
          <w:color w:val="000000"/>
          <w:sz w:val="20"/>
        </w:rPr>
        <w:t xml:space="preserve"> the appearance of inner loops and multiple eddies. </w:t>
      </w:r>
      <w:r w:rsidR="0082509D" w:rsidRPr="0082509D">
        <w:rPr>
          <w:color w:val="000000"/>
          <w:sz w:val="20"/>
        </w:rPr>
        <w:t>The surface heat flux along the bottom wall is slightly increased by clockwise inclination and reduced by half by the counterclockwise inclination. The surface heat flux along the upper portion of the left side wall is reversed by the rise of warmer fluids due to the convection currents for no inclination and clockwise inclination of the enclosure</w:t>
      </w:r>
      <w:r w:rsidR="00AA1BFA" w:rsidRPr="0082509D">
        <w:rPr>
          <w:color w:val="000000"/>
          <w:sz w:val="20"/>
        </w:rPr>
        <w:t>.</w:t>
      </w:r>
    </w:p>
    <w:p w:rsidR="00AA1BFA" w:rsidRPr="00A251DB" w:rsidRDefault="00AA1BFA" w:rsidP="00A44435">
      <w:pPr>
        <w:spacing w:line="480" w:lineRule="auto"/>
        <w:rPr>
          <w:sz w:val="20"/>
        </w:rPr>
      </w:pPr>
    </w:p>
    <w:p w:rsidR="00AA1BFA" w:rsidRPr="00A251DB" w:rsidRDefault="00AA1BFA" w:rsidP="00A44435">
      <w:pPr>
        <w:pStyle w:val="keywords"/>
        <w:spacing w:before="0" w:line="480" w:lineRule="auto"/>
        <w:rPr>
          <w:i w:val="0"/>
          <w:iCs/>
          <w:sz w:val="20"/>
        </w:rPr>
      </w:pPr>
      <w:r w:rsidRPr="00A251DB">
        <w:rPr>
          <w:b/>
          <w:bCs/>
          <w:i w:val="0"/>
          <w:iCs/>
          <w:sz w:val="20"/>
        </w:rPr>
        <w:t>Keywords:</w:t>
      </w:r>
      <w:r w:rsidRPr="00A251DB">
        <w:rPr>
          <w:i w:val="0"/>
          <w:iCs/>
          <w:sz w:val="20"/>
        </w:rPr>
        <w:t xml:space="preserve"> Natural convection, magnetic field, </w:t>
      </w:r>
      <w:r w:rsidR="006A7F61" w:rsidRPr="00A251DB">
        <w:rPr>
          <w:i w:val="0"/>
          <w:iCs/>
          <w:sz w:val="20"/>
        </w:rPr>
        <w:t>inclined enclosure.</w:t>
      </w:r>
    </w:p>
    <w:p w:rsidR="00AA1BFA" w:rsidRDefault="00AA1BFA" w:rsidP="00A44435">
      <w:pPr>
        <w:spacing w:line="480" w:lineRule="auto"/>
      </w:pPr>
    </w:p>
    <w:p w:rsidR="008939B9" w:rsidRDefault="008939B9" w:rsidP="00A44435">
      <w:pPr>
        <w:pStyle w:val="abbreviations"/>
        <w:spacing w:line="480" w:lineRule="auto"/>
        <w:ind w:left="0"/>
        <w:rPr>
          <w:b/>
          <w:bCs/>
          <w:sz w:val="20"/>
        </w:rPr>
      </w:pPr>
      <w:r>
        <w:rPr>
          <w:b/>
          <w:bCs/>
          <w:sz w:val="20"/>
        </w:rPr>
        <w:t xml:space="preserve">                                                                    Nomenclature</w:t>
      </w:r>
    </w:p>
    <w:tbl>
      <w:tblPr>
        <w:tblW w:w="0" w:type="auto"/>
        <w:tblCellMar>
          <w:left w:w="70" w:type="dxa"/>
          <w:right w:w="70" w:type="dxa"/>
        </w:tblCellMar>
        <w:tblLook w:val="0000" w:firstRow="0" w:lastRow="0" w:firstColumn="0" w:lastColumn="0" w:noHBand="0" w:noVBand="0"/>
      </w:tblPr>
      <w:tblGrid>
        <w:gridCol w:w="586"/>
        <w:gridCol w:w="8059"/>
      </w:tblGrid>
      <w:tr w:rsidR="00AA1BFA">
        <w:tblPrEx>
          <w:tblCellMar>
            <w:top w:w="0" w:type="dxa"/>
            <w:bottom w:w="0" w:type="dxa"/>
          </w:tblCellMar>
        </w:tblPrEx>
        <w:tc>
          <w:tcPr>
            <w:tcW w:w="586" w:type="dxa"/>
          </w:tcPr>
          <w:p w:rsidR="00AA1BFA" w:rsidRPr="00455F4F" w:rsidRDefault="001155CD" w:rsidP="00A44435">
            <w:pPr>
              <w:pStyle w:val="abbreviations"/>
              <w:spacing w:line="480" w:lineRule="auto"/>
              <w:rPr>
                <w:sz w:val="20"/>
                <w:vertAlign w:val="subscript"/>
              </w:rPr>
            </w:pPr>
            <w:r>
              <w:rPr>
                <w:sz w:val="20"/>
              </w:rPr>
              <w:t>a</w:t>
            </w:r>
          </w:p>
        </w:tc>
        <w:tc>
          <w:tcPr>
            <w:tcW w:w="8059" w:type="dxa"/>
          </w:tcPr>
          <w:p w:rsidR="00AA1BFA" w:rsidRDefault="00AA1BFA" w:rsidP="00A44435">
            <w:pPr>
              <w:pStyle w:val="abbreviations"/>
              <w:spacing w:line="480" w:lineRule="auto"/>
              <w:rPr>
                <w:sz w:val="20"/>
              </w:rPr>
            </w:pPr>
            <w:r>
              <w:rPr>
                <w:sz w:val="20"/>
              </w:rPr>
              <w:t>Weight</w:t>
            </w:r>
            <w:r w:rsidR="001155CD">
              <w:rPr>
                <w:sz w:val="20"/>
              </w:rPr>
              <w:t xml:space="preserve"> function</w:t>
            </w:r>
            <w:r>
              <w:rPr>
                <w:sz w:val="20"/>
              </w:rPr>
              <w:t xml:space="preserve">s </w:t>
            </w:r>
            <w:r w:rsidR="001155CD">
              <w:rPr>
                <w:sz w:val="20"/>
              </w:rPr>
              <w:t xml:space="preserve">of the </w:t>
            </w:r>
            <w:r>
              <w:rPr>
                <w:sz w:val="20"/>
              </w:rPr>
              <w:t>first order derivative</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B</w:t>
            </w:r>
          </w:p>
        </w:tc>
        <w:tc>
          <w:tcPr>
            <w:tcW w:w="8059" w:type="dxa"/>
          </w:tcPr>
          <w:p w:rsidR="001D105E" w:rsidRDefault="001D105E" w:rsidP="00A44435">
            <w:pPr>
              <w:pStyle w:val="abbreviations"/>
              <w:spacing w:line="480" w:lineRule="auto"/>
              <w:rPr>
                <w:sz w:val="20"/>
              </w:rPr>
            </w:pPr>
            <w:r>
              <w:rPr>
                <w:sz w:val="20"/>
              </w:rPr>
              <w:t>Magnetic field strength</w:t>
            </w:r>
          </w:p>
        </w:tc>
      </w:tr>
      <w:tr w:rsidR="001D105E">
        <w:tblPrEx>
          <w:tblCellMar>
            <w:top w:w="0" w:type="dxa"/>
            <w:bottom w:w="0" w:type="dxa"/>
          </w:tblCellMar>
        </w:tblPrEx>
        <w:tc>
          <w:tcPr>
            <w:tcW w:w="586" w:type="dxa"/>
          </w:tcPr>
          <w:p w:rsidR="001D105E" w:rsidRPr="00455F4F" w:rsidRDefault="001D105E" w:rsidP="00A44435">
            <w:pPr>
              <w:pStyle w:val="abbreviations"/>
              <w:spacing w:line="480" w:lineRule="auto"/>
              <w:rPr>
                <w:sz w:val="20"/>
                <w:vertAlign w:val="subscript"/>
              </w:rPr>
            </w:pPr>
            <w:r>
              <w:rPr>
                <w:sz w:val="20"/>
              </w:rPr>
              <w:t>b</w:t>
            </w:r>
          </w:p>
        </w:tc>
        <w:tc>
          <w:tcPr>
            <w:tcW w:w="8059" w:type="dxa"/>
          </w:tcPr>
          <w:p w:rsidR="001D105E" w:rsidRDefault="001D105E" w:rsidP="00A44435">
            <w:pPr>
              <w:pStyle w:val="abbreviations"/>
              <w:spacing w:line="480" w:lineRule="auto"/>
              <w:rPr>
                <w:sz w:val="20"/>
              </w:rPr>
            </w:pPr>
            <w:r>
              <w:rPr>
                <w:sz w:val="20"/>
              </w:rPr>
              <w:t>Weight functions of the second order derivative</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Gr</w:t>
            </w:r>
          </w:p>
        </w:tc>
        <w:tc>
          <w:tcPr>
            <w:tcW w:w="8059" w:type="dxa"/>
          </w:tcPr>
          <w:p w:rsidR="001D105E" w:rsidRDefault="001D105E" w:rsidP="00A44435">
            <w:pPr>
              <w:pStyle w:val="abbreviations"/>
              <w:spacing w:line="480" w:lineRule="auto"/>
              <w:rPr>
                <w:sz w:val="20"/>
              </w:rPr>
            </w:pPr>
            <w:r>
              <w:rPr>
                <w:sz w:val="20"/>
              </w:rPr>
              <w:t>Grashof number</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g</w:t>
            </w:r>
          </w:p>
        </w:tc>
        <w:tc>
          <w:tcPr>
            <w:tcW w:w="8059" w:type="dxa"/>
          </w:tcPr>
          <w:p w:rsidR="001D105E" w:rsidRDefault="001D105E" w:rsidP="00A44435">
            <w:pPr>
              <w:pStyle w:val="abbreviations"/>
              <w:spacing w:line="480" w:lineRule="auto"/>
              <w:rPr>
                <w:sz w:val="20"/>
              </w:rPr>
            </w:pPr>
            <w:r>
              <w:rPr>
                <w:sz w:val="20"/>
              </w:rPr>
              <w:t>Gravitational acceleration</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Ha</w:t>
            </w:r>
          </w:p>
        </w:tc>
        <w:tc>
          <w:tcPr>
            <w:tcW w:w="8059" w:type="dxa"/>
          </w:tcPr>
          <w:p w:rsidR="001D105E" w:rsidRDefault="001D105E" w:rsidP="00A44435">
            <w:pPr>
              <w:pStyle w:val="abbreviations"/>
              <w:spacing w:line="480" w:lineRule="auto"/>
              <w:rPr>
                <w:sz w:val="20"/>
              </w:rPr>
            </w:pPr>
            <w:r>
              <w:rPr>
                <w:sz w:val="20"/>
              </w:rPr>
              <w:t>Hartmann number</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L</w:t>
            </w:r>
          </w:p>
        </w:tc>
        <w:tc>
          <w:tcPr>
            <w:tcW w:w="8059" w:type="dxa"/>
          </w:tcPr>
          <w:p w:rsidR="001D105E" w:rsidRDefault="001D105E" w:rsidP="00A44435">
            <w:pPr>
              <w:pStyle w:val="abbreviations"/>
              <w:spacing w:line="480" w:lineRule="auto"/>
              <w:rPr>
                <w:sz w:val="20"/>
              </w:rPr>
            </w:pPr>
            <w:r>
              <w:rPr>
                <w:sz w:val="20"/>
              </w:rPr>
              <w:t>Characteristic length</w:t>
            </w:r>
          </w:p>
        </w:tc>
      </w:tr>
      <w:tr w:rsidR="00973347">
        <w:tblPrEx>
          <w:tblCellMar>
            <w:top w:w="0" w:type="dxa"/>
            <w:bottom w:w="0" w:type="dxa"/>
          </w:tblCellMar>
        </w:tblPrEx>
        <w:tc>
          <w:tcPr>
            <w:tcW w:w="586" w:type="dxa"/>
          </w:tcPr>
          <w:p w:rsidR="00973347" w:rsidRPr="00DD1C8F" w:rsidRDefault="00973347" w:rsidP="00A44435">
            <w:pPr>
              <w:pStyle w:val="abbreviations"/>
              <w:spacing w:line="480" w:lineRule="auto"/>
              <w:rPr>
                <w:color w:val="000000"/>
                <w:sz w:val="20"/>
              </w:rPr>
            </w:pPr>
            <w:r w:rsidRPr="00DD1C8F">
              <w:rPr>
                <w:color w:val="000000"/>
                <w:sz w:val="20"/>
              </w:rPr>
              <w:t>Nu</w:t>
            </w:r>
          </w:p>
        </w:tc>
        <w:tc>
          <w:tcPr>
            <w:tcW w:w="8059" w:type="dxa"/>
          </w:tcPr>
          <w:p w:rsidR="00973347" w:rsidRPr="00DD1C8F" w:rsidRDefault="00973347" w:rsidP="00A44435">
            <w:pPr>
              <w:pStyle w:val="abbreviations"/>
              <w:spacing w:line="480" w:lineRule="auto"/>
              <w:rPr>
                <w:color w:val="000000"/>
                <w:sz w:val="20"/>
              </w:rPr>
            </w:pPr>
            <w:r w:rsidRPr="00DD1C8F">
              <w:rPr>
                <w:color w:val="000000"/>
                <w:sz w:val="20"/>
              </w:rPr>
              <w:t>Nusselt number</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lastRenderedPageBreak/>
              <w:t>Pr</w:t>
            </w:r>
          </w:p>
        </w:tc>
        <w:tc>
          <w:tcPr>
            <w:tcW w:w="8059" w:type="dxa"/>
          </w:tcPr>
          <w:p w:rsidR="001D105E" w:rsidRDefault="001D105E" w:rsidP="00A44435">
            <w:pPr>
              <w:pStyle w:val="abbreviations"/>
              <w:spacing w:line="480" w:lineRule="auto"/>
              <w:rPr>
                <w:sz w:val="20"/>
              </w:rPr>
            </w:pPr>
            <w:r>
              <w:rPr>
                <w:sz w:val="20"/>
              </w:rPr>
              <w:t>Prandtl number</w:t>
            </w:r>
          </w:p>
        </w:tc>
      </w:tr>
      <w:tr w:rsidR="001D105E">
        <w:tblPrEx>
          <w:tblCellMar>
            <w:top w:w="0" w:type="dxa"/>
            <w:bottom w:w="0" w:type="dxa"/>
          </w:tblCellMar>
        </w:tblPrEx>
        <w:trPr>
          <w:trHeight w:val="408"/>
        </w:trPr>
        <w:tc>
          <w:tcPr>
            <w:tcW w:w="586" w:type="dxa"/>
          </w:tcPr>
          <w:p w:rsidR="001D105E" w:rsidRDefault="001D105E" w:rsidP="00A44435">
            <w:pPr>
              <w:pStyle w:val="abbreviations"/>
              <w:spacing w:line="480" w:lineRule="auto"/>
              <w:rPr>
                <w:sz w:val="20"/>
              </w:rPr>
            </w:pPr>
            <w:r>
              <w:rPr>
                <w:sz w:val="20"/>
              </w:rPr>
              <w:t>p</w:t>
            </w:r>
          </w:p>
        </w:tc>
        <w:tc>
          <w:tcPr>
            <w:tcW w:w="8059" w:type="dxa"/>
          </w:tcPr>
          <w:p w:rsidR="001D105E" w:rsidRDefault="001D105E" w:rsidP="00A44435">
            <w:pPr>
              <w:pStyle w:val="abbreviations"/>
              <w:spacing w:line="480" w:lineRule="auto"/>
              <w:rPr>
                <w:sz w:val="20"/>
              </w:rPr>
            </w:pPr>
            <w:r>
              <w:rPr>
                <w:sz w:val="20"/>
              </w:rPr>
              <w:t>Pressure</w:t>
            </w:r>
          </w:p>
        </w:tc>
      </w:tr>
      <w:tr w:rsidR="00973347">
        <w:tblPrEx>
          <w:tblCellMar>
            <w:top w:w="0" w:type="dxa"/>
            <w:bottom w:w="0" w:type="dxa"/>
          </w:tblCellMar>
        </w:tblPrEx>
        <w:trPr>
          <w:trHeight w:val="408"/>
        </w:trPr>
        <w:tc>
          <w:tcPr>
            <w:tcW w:w="586" w:type="dxa"/>
          </w:tcPr>
          <w:p w:rsidR="00973347" w:rsidRPr="00DD1C8F" w:rsidRDefault="00973347" w:rsidP="00A44435">
            <w:pPr>
              <w:pStyle w:val="abbreviations"/>
              <w:spacing w:line="480" w:lineRule="auto"/>
              <w:rPr>
                <w:color w:val="000000"/>
                <w:sz w:val="20"/>
              </w:rPr>
            </w:pPr>
            <w:r w:rsidRPr="00DD1C8F">
              <w:rPr>
                <w:color w:val="000000"/>
                <w:sz w:val="20"/>
              </w:rPr>
              <w:t>Ra</w:t>
            </w:r>
          </w:p>
        </w:tc>
        <w:tc>
          <w:tcPr>
            <w:tcW w:w="8059" w:type="dxa"/>
          </w:tcPr>
          <w:p w:rsidR="00973347" w:rsidRPr="00DD1C8F" w:rsidRDefault="00973347" w:rsidP="00A44435">
            <w:pPr>
              <w:pStyle w:val="abbreviations"/>
              <w:spacing w:line="480" w:lineRule="auto"/>
              <w:rPr>
                <w:color w:val="000000"/>
                <w:sz w:val="20"/>
              </w:rPr>
            </w:pPr>
            <w:r w:rsidRPr="00DD1C8F">
              <w:rPr>
                <w:color w:val="000000"/>
                <w:sz w:val="20"/>
              </w:rPr>
              <w:t>Rayleigh number</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T</w:t>
            </w:r>
          </w:p>
        </w:tc>
        <w:tc>
          <w:tcPr>
            <w:tcW w:w="8059" w:type="dxa"/>
          </w:tcPr>
          <w:p w:rsidR="001D105E" w:rsidRDefault="001D105E" w:rsidP="00A44435">
            <w:pPr>
              <w:pStyle w:val="abbreviations"/>
              <w:spacing w:line="480" w:lineRule="auto"/>
              <w:rPr>
                <w:sz w:val="20"/>
              </w:rPr>
            </w:pPr>
            <w:r>
              <w:rPr>
                <w:sz w:val="20"/>
              </w:rPr>
              <w:t>Temperature</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u</w:t>
            </w:r>
          </w:p>
        </w:tc>
        <w:tc>
          <w:tcPr>
            <w:tcW w:w="8059" w:type="dxa"/>
          </w:tcPr>
          <w:p w:rsidR="001D105E" w:rsidRDefault="001D105E" w:rsidP="00A44435">
            <w:pPr>
              <w:pStyle w:val="abbreviations"/>
              <w:spacing w:line="480" w:lineRule="auto"/>
              <w:rPr>
                <w:sz w:val="20"/>
              </w:rPr>
            </w:pPr>
            <w:r>
              <w:rPr>
                <w:sz w:val="20"/>
              </w:rPr>
              <w:t>Velocity component in the x direction</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v</w:t>
            </w:r>
          </w:p>
        </w:tc>
        <w:tc>
          <w:tcPr>
            <w:tcW w:w="8059" w:type="dxa"/>
          </w:tcPr>
          <w:p w:rsidR="001D105E" w:rsidRDefault="001D105E" w:rsidP="00A44435">
            <w:pPr>
              <w:pStyle w:val="abbreviations"/>
              <w:spacing w:line="480" w:lineRule="auto"/>
              <w:rPr>
                <w:sz w:val="20"/>
              </w:rPr>
            </w:pPr>
            <w:r>
              <w:rPr>
                <w:sz w:val="20"/>
              </w:rPr>
              <w:t>Velocity component in the y direction</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x</w:t>
            </w:r>
          </w:p>
        </w:tc>
        <w:tc>
          <w:tcPr>
            <w:tcW w:w="8059" w:type="dxa"/>
          </w:tcPr>
          <w:p w:rsidR="001D105E" w:rsidRDefault="001D105E" w:rsidP="00A44435">
            <w:pPr>
              <w:pStyle w:val="abbreviations"/>
              <w:spacing w:line="480" w:lineRule="auto"/>
              <w:rPr>
                <w:sz w:val="20"/>
              </w:rPr>
            </w:pPr>
            <w:r>
              <w:rPr>
                <w:sz w:val="20"/>
              </w:rPr>
              <w:t>Cartesian coordinates</w:t>
            </w:r>
          </w:p>
        </w:tc>
      </w:tr>
      <w:tr w:rsidR="001D105E">
        <w:tblPrEx>
          <w:tblCellMar>
            <w:top w:w="0" w:type="dxa"/>
            <w:bottom w:w="0" w:type="dxa"/>
          </w:tblCellMar>
        </w:tblPrEx>
        <w:tc>
          <w:tcPr>
            <w:tcW w:w="586" w:type="dxa"/>
          </w:tcPr>
          <w:p w:rsidR="001D105E" w:rsidRDefault="001D105E" w:rsidP="00A44435">
            <w:pPr>
              <w:pStyle w:val="abbreviations"/>
              <w:spacing w:line="480" w:lineRule="auto"/>
              <w:rPr>
                <w:sz w:val="20"/>
              </w:rPr>
            </w:pPr>
            <w:r>
              <w:rPr>
                <w:sz w:val="20"/>
              </w:rPr>
              <w:t>y</w:t>
            </w:r>
          </w:p>
        </w:tc>
        <w:tc>
          <w:tcPr>
            <w:tcW w:w="8059" w:type="dxa"/>
          </w:tcPr>
          <w:p w:rsidR="001D105E" w:rsidRDefault="001D105E" w:rsidP="00A44435">
            <w:pPr>
              <w:pStyle w:val="abbreviations"/>
              <w:spacing w:line="480" w:lineRule="auto"/>
              <w:rPr>
                <w:sz w:val="20"/>
              </w:rPr>
            </w:pPr>
            <w:r>
              <w:rPr>
                <w:sz w:val="20"/>
              </w:rPr>
              <w:t xml:space="preserve">Cartesian coordinates </w:t>
            </w:r>
          </w:p>
        </w:tc>
      </w:tr>
    </w:tbl>
    <w:p w:rsidR="00A251DB" w:rsidRDefault="00A251DB" w:rsidP="00A44435">
      <w:pPr>
        <w:pStyle w:val="abbreviations"/>
        <w:spacing w:line="480" w:lineRule="auto"/>
        <w:ind w:left="0"/>
        <w:rPr>
          <w:sz w:val="20"/>
        </w:rPr>
      </w:pPr>
    </w:p>
    <w:p w:rsidR="00AA1BFA" w:rsidRDefault="00AA1BFA" w:rsidP="00A44435">
      <w:pPr>
        <w:pStyle w:val="abbreviations"/>
        <w:spacing w:line="480" w:lineRule="auto"/>
        <w:ind w:left="0"/>
        <w:rPr>
          <w:sz w:val="20"/>
        </w:rPr>
      </w:pPr>
      <w:r>
        <w:rPr>
          <w:sz w:val="20"/>
        </w:rPr>
        <w:t xml:space="preserve">                                                                   Greek</w:t>
      </w:r>
    </w:p>
    <w:tbl>
      <w:tblPr>
        <w:tblW w:w="8717" w:type="dxa"/>
        <w:tblCellMar>
          <w:left w:w="70" w:type="dxa"/>
          <w:right w:w="70" w:type="dxa"/>
        </w:tblCellMar>
        <w:tblLook w:val="0000" w:firstRow="0" w:lastRow="0" w:firstColumn="0" w:lastColumn="0" w:noHBand="0" w:noVBand="0"/>
      </w:tblPr>
      <w:tblGrid>
        <w:gridCol w:w="543"/>
        <w:gridCol w:w="8174"/>
      </w:tblGrid>
      <w:tr w:rsidR="00AA1BFA">
        <w:tblPrEx>
          <w:tblCellMar>
            <w:top w:w="0" w:type="dxa"/>
            <w:bottom w:w="0" w:type="dxa"/>
          </w:tblCellMar>
        </w:tblPrEx>
        <w:tc>
          <w:tcPr>
            <w:tcW w:w="543" w:type="dxa"/>
          </w:tcPr>
          <w:p w:rsidR="00AA1BFA" w:rsidRDefault="00AA1BFA" w:rsidP="00A44435">
            <w:pPr>
              <w:pStyle w:val="abbreviations"/>
              <w:spacing w:line="480" w:lineRule="auto"/>
              <w:rPr>
                <w:rFonts w:ascii="Arial" w:hAnsi="Arial" w:cs="Arial"/>
                <w:sz w:val="20"/>
              </w:rPr>
            </w:pPr>
            <w:r>
              <w:rPr>
                <w:rFonts w:ascii="Arial" w:hAnsi="Arial" w:cs="Arial"/>
                <w:sz w:val="20"/>
              </w:rPr>
              <w:sym w:font="Symbol" w:char="F061"/>
            </w:r>
          </w:p>
        </w:tc>
        <w:tc>
          <w:tcPr>
            <w:tcW w:w="8174" w:type="dxa"/>
          </w:tcPr>
          <w:p w:rsidR="00AA1BFA" w:rsidRDefault="00AA1BFA" w:rsidP="00A44435">
            <w:pPr>
              <w:pStyle w:val="abbreviations"/>
              <w:spacing w:line="480" w:lineRule="auto"/>
              <w:rPr>
                <w:sz w:val="20"/>
              </w:rPr>
            </w:pPr>
            <w:r>
              <w:rPr>
                <w:sz w:val="20"/>
              </w:rPr>
              <w:t>Thermal diffusivity of the fluid</w:t>
            </w:r>
          </w:p>
        </w:tc>
      </w:tr>
      <w:tr w:rsidR="00AA1BFA">
        <w:tblPrEx>
          <w:tblCellMar>
            <w:top w:w="0" w:type="dxa"/>
            <w:bottom w:w="0" w:type="dxa"/>
          </w:tblCellMar>
        </w:tblPrEx>
        <w:tc>
          <w:tcPr>
            <w:tcW w:w="543" w:type="dxa"/>
          </w:tcPr>
          <w:p w:rsidR="00AA1BFA" w:rsidRDefault="00AA1BFA" w:rsidP="00A44435">
            <w:pPr>
              <w:pStyle w:val="abbreviations"/>
              <w:spacing w:line="480" w:lineRule="auto"/>
              <w:rPr>
                <w:rFonts w:ascii="Arial" w:hAnsi="Arial" w:cs="Arial"/>
                <w:sz w:val="20"/>
              </w:rPr>
            </w:pPr>
            <w:r>
              <w:rPr>
                <w:rFonts w:ascii="Arial" w:hAnsi="Arial" w:cs="Arial"/>
                <w:sz w:val="20"/>
              </w:rPr>
              <w:sym w:font="Symbol" w:char="F062"/>
            </w:r>
          </w:p>
        </w:tc>
        <w:tc>
          <w:tcPr>
            <w:tcW w:w="8174" w:type="dxa"/>
          </w:tcPr>
          <w:p w:rsidR="00AA1BFA" w:rsidRDefault="00AA1BFA" w:rsidP="00A44435">
            <w:pPr>
              <w:pStyle w:val="abbreviations"/>
              <w:spacing w:line="480" w:lineRule="auto"/>
              <w:rPr>
                <w:sz w:val="20"/>
              </w:rPr>
            </w:pPr>
            <w:r>
              <w:rPr>
                <w:sz w:val="20"/>
              </w:rPr>
              <w:t>Coefficient of thermal expansion of the fluid</w:t>
            </w:r>
          </w:p>
        </w:tc>
      </w:tr>
      <w:tr w:rsidR="001D105E">
        <w:tblPrEx>
          <w:tblCellMar>
            <w:top w:w="0" w:type="dxa"/>
            <w:bottom w:w="0" w:type="dxa"/>
          </w:tblCellMar>
        </w:tblPrEx>
        <w:tc>
          <w:tcPr>
            <w:tcW w:w="543" w:type="dxa"/>
          </w:tcPr>
          <w:p w:rsidR="001D105E" w:rsidRDefault="001D105E" w:rsidP="00A44435">
            <w:pPr>
              <w:pStyle w:val="abbreviations"/>
              <w:spacing w:line="480" w:lineRule="auto"/>
              <w:rPr>
                <w:rFonts w:ascii="Arial" w:hAnsi="Arial" w:cs="Arial"/>
                <w:sz w:val="20"/>
              </w:rPr>
            </w:pPr>
            <w:r>
              <w:rPr>
                <w:rFonts w:ascii="Arial" w:hAnsi="Arial" w:cs="Arial"/>
                <w:sz w:val="20"/>
              </w:rPr>
              <w:sym w:font="Symbol" w:char="F068"/>
            </w:r>
          </w:p>
        </w:tc>
        <w:tc>
          <w:tcPr>
            <w:tcW w:w="8174" w:type="dxa"/>
          </w:tcPr>
          <w:p w:rsidR="001D105E" w:rsidRDefault="001D105E" w:rsidP="00A44435">
            <w:pPr>
              <w:pStyle w:val="abbreviations"/>
              <w:spacing w:line="480" w:lineRule="auto"/>
              <w:rPr>
                <w:sz w:val="20"/>
              </w:rPr>
            </w:pPr>
            <w:r>
              <w:rPr>
                <w:sz w:val="20"/>
              </w:rPr>
              <w:t>Dimensionless coordinate normal to the enclosure wall</w:t>
            </w:r>
          </w:p>
        </w:tc>
      </w:tr>
      <w:tr w:rsidR="001D105E">
        <w:tblPrEx>
          <w:tblCellMar>
            <w:top w:w="0" w:type="dxa"/>
            <w:bottom w:w="0" w:type="dxa"/>
          </w:tblCellMar>
        </w:tblPrEx>
        <w:tc>
          <w:tcPr>
            <w:tcW w:w="543" w:type="dxa"/>
          </w:tcPr>
          <w:p w:rsidR="001D105E" w:rsidRDefault="001D105E" w:rsidP="00A44435">
            <w:pPr>
              <w:pStyle w:val="abbreviations"/>
              <w:spacing w:line="480" w:lineRule="auto"/>
              <w:rPr>
                <w:rFonts w:ascii="Arial" w:hAnsi="Arial" w:cs="Arial"/>
                <w:sz w:val="20"/>
              </w:rPr>
            </w:pPr>
            <w:r>
              <w:rPr>
                <w:rFonts w:ascii="Arial" w:hAnsi="Arial" w:cs="Arial"/>
                <w:sz w:val="20"/>
              </w:rPr>
              <w:sym w:font="Symbol" w:char="F071"/>
            </w:r>
          </w:p>
        </w:tc>
        <w:tc>
          <w:tcPr>
            <w:tcW w:w="8174" w:type="dxa"/>
          </w:tcPr>
          <w:p w:rsidR="001D105E" w:rsidRDefault="001D105E" w:rsidP="00A44435">
            <w:pPr>
              <w:pStyle w:val="abbreviations"/>
              <w:spacing w:line="480" w:lineRule="auto"/>
              <w:rPr>
                <w:sz w:val="20"/>
              </w:rPr>
            </w:pPr>
            <w:r>
              <w:rPr>
                <w:sz w:val="20"/>
              </w:rPr>
              <w:t>Dimensionless temperature ratio</w:t>
            </w:r>
          </w:p>
        </w:tc>
      </w:tr>
      <w:tr w:rsidR="00B327DA">
        <w:tblPrEx>
          <w:tblCellMar>
            <w:top w:w="0" w:type="dxa"/>
            <w:bottom w:w="0" w:type="dxa"/>
          </w:tblCellMar>
        </w:tblPrEx>
        <w:tc>
          <w:tcPr>
            <w:tcW w:w="543" w:type="dxa"/>
          </w:tcPr>
          <w:p w:rsidR="00B327DA" w:rsidRDefault="00B327DA" w:rsidP="00A44435">
            <w:pPr>
              <w:pStyle w:val="abbreviations"/>
              <w:spacing w:line="480" w:lineRule="auto"/>
              <w:rPr>
                <w:rFonts w:ascii="Arial" w:hAnsi="Arial" w:cs="Arial"/>
                <w:sz w:val="20"/>
              </w:rPr>
            </w:pPr>
            <w:r>
              <w:rPr>
                <w:rFonts w:ascii="Arial" w:hAnsi="Arial" w:cs="Arial"/>
                <w:sz w:val="20"/>
              </w:rPr>
              <w:sym w:font="Symbol" w:char="F06D"/>
            </w:r>
          </w:p>
        </w:tc>
        <w:tc>
          <w:tcPr>
            <w:tcW w:w="8174" w:type="dxa"/>
          </w:tcPr>
          <w:p w:rsidR="00B327DA" w:rsidRPr="00141FFB" w:rsidRDefault="00B327DA" w:rsidP="00A44435">
            <w:pPr>
              <w:pStyle w:val="abbreviations"/>
              <w:spacing w:line="480" w:lineRule="auto"/>
              <w:rPr>
                <w:sz w:val="20"/>
              </w:rPr>
            </w:pPr>
            <w:r w:rsidRPr="00141FFB">
              <w:rPr>
                <w:sz w:val="20"/>
              </w:rPr>
              <w:t>Viscosity</w:t>
            </w:r>
          </w:p>
        </w:tc>
      </w:tr>
      <w:tr w:rsidR="00B327DA">
        <w:tblPrEx>
          <w:tblCellMar>
            <w:top w:w="0" w:type="dxa"/>
            <w:bottom w:w="0" w:type="dxa"/>
          </w:tblCellMar>
        </w:tblPrEx>
        <w:tc>
          <w:tcPr>
            <w:tcW w:w="543" w:type="dxa"/>
          </w:tcPr>
          <w:p w:rsidR="00B327DA" w:rsidRDefault="00B327DA" w:rsidP="00A44435">
            <w:pPr>
              <w:pStyle w:val="abbreviations"/>
              <w:spacing w:line="480" w:lineRule="auto"/>
              <w:rPr>
                <w:rFonts w:ascii="Arial" w:hAnsi="Arial" w:cs="Arial"/>
                <w:sz w:val="20"/>
              </w:rPr>
            </w:pPr>
            <w:r>
              <w:rPr>
                <w:rFonts w:ascii="Arial" w:hAnsi="Arial" w:cs="Arial"/>
                <w:sz w:val="20"/>
              </w:rPr>
              <w:sym w:font="Symbol" w:char="F072"/>
            </w:r>
          </w:p>
        </w:tc>
        <w:tc>
          <w:tcPr>
            <w:tcW w:w="8174" w:type="dxa"/>
          </w:tcPr>
          <w:p w:rsidR="00B327DA" w:rsidRDefault="00B327DA" w:rsidP="00A44435">
            <w:pPr>
              <w:pStyle w:val="abbreviations"/>
              <w:spacing w:line="480" w:lineRule="auto"/>
              <w:rPr>
                <w:sz w:val="20"/>
              </w:rPr>
            </w:pPr>
            <w:r>
              <w:rPr>
                <w:sz w:val="20"/>
              </w:rPr>
              <w:t>Density of the fluid</w:t>
            </w:r>
          </w:p>
        </w:tc>
      </w:tr>
      <w:tr w:rsidR="00B327DA">
        <w:tblPrEx>
          <w:tblCellMar>
            <w:top w:w="0" w:type="dxa"/>
            <w:bottom w:w="0" w:type="dxa"/>
          </w:tblCellMar>
        </w:tblPrEx>
        <w:tc>
          <w:tcPr>
            <w:tcW w:w="543" w:type="dxa"/>
          </w:tcPr>
          <w:p w:rsidR="00B327DA" w:rsidRDefault="00B327DA" w:rsidP="00A44435">
            <w:pPr>
              <w:pStyle w:val="abbreviations"/>
              <w:spacing w:line="480" w:lineRule="auto"/>
              <w:rPr>
                <w:rFonts w:ascii="Arial" w:hAnsi="Arial" w:cs="Arial"/>
                <w:sz w:val="20"/>
              </w:rPr>
            </w:pPr>
            <w:r>
              <w:rPr>
                <w:rFonts w:ascii="Arial" w:hAnsi="Arial" w:cs="Arial"/>
                <w:sz w:val="20"/>
              </w:rPr>
              <w:sym w:font="Symbol" w:char="F073"/>
            </w:r>
          </w:p>
        </w:tc>
        <w:tc>
          <w:tcPr>
            <w:tcW w:w="8174" w:type="dxa"/>
          </w:tcPr>
          <w:p w:rsidR="00B327DA" w:rsidRDefault="00B327DA" w:rsidP="00A44435">
            <w:pPr>
              <w:pStyle w:val="abbreviations"/>
              <w:spacing w:line="480" w:lineRule="auto"/>
              <w:rPr>
                <w:sz w:val="20"/>
              </w:rPr>
            </w:pPr>
            <w:r>
              <w:rPr>
                <w:sz w:val="20"/>
              </w:rPr>
              <w:t>Electrical conductivity of the fluid</w:t>
            </w:r>
          </w:p>
        </w:tc>
      </w:tr>
      <w:tr w:rsidR="00B327DA">
        <w:tblPrEx>
          <w:tblCellMar>
            <w:top w:w="0" w:type="dxa"/>
            <w:bottom w:w="0" w:type="dxa"/>
          </w:tblCellMar>
        </w:tblPrEx>
        <w:tc>
          <w:tcPr>
            <w:tcW w:w="543" w:type="dxa"/>
          </w:tcPr>
          <w:p w:rsidR="00B327DA" w:rsidRDefault="00B327DA" w:rsidP="00A44435">
            <w:pPr>
              <w:pStyle w:val="abbreviations"/>
              <w:spacing w:line="480" w:lineRule="auto"/>
              <w:rPr>
                <w:rFonts w:ascii="Arial" w:hAnsi="Arial" w:cs="Arial"/>
                <w:sz w:val="20"/>
              </w:rPr>
            </w:pPr>
            <w:r>
              <w:rPr>
                <w:rFonts w:ascii="Arial" w:hAnsi="Arial" w:cs="Arial"/>
                <w:sz w:val="20"/>
              </w:rPr>
              <w:sym w:font="Symbol" w:char="F066"/>
            </w:r>
          </w:p>
        </w:tc>
        <w:tc>
          <w:tcPr>
            <w:tcW w:w="8174" w:type="dxa"/>
          </w:tcPr>
          <w:p w:rsidR="00B327DA" w:rsidRDefault="00B327DA" w:rsidP="00A44435">
            <w:pPr>
              <w:pStyle w:val="abbreviations"/>
              <w:spacing w:line="480" w:lineRule="auto"/>
              <w:rPr>
                <w:sz w:val="20"/>
              </w:rPr>
            </w:pPr>
            <w:r>
              <w:rPr>
                <w:sz w:val="20"/>
              </w:rPr>
              <w:t>Angle of inclination of the enclosure</w:t>
            </w:r>
          </w:p>
        </w:tc>
      </w:tr>
      <w:tr w:rsidR="00547C37">
        <w:tblPrEx>
          <w:tblCellMar>
            <w:top w:w="0" w:type="dxa"/>
            <w:bottom w:w="0" w:type="dxa"/>
          </w:tblCellMar>
        </w:tblPrEx>
        <w:tc>
          <w:tcPr>
            <w:tcW w:w="543" w:type="dxa"/>
          </w:tcPr>
          <w:p w:rsidR="00547C37" w:rsidRDefault="00547C37" w:rsidP="00A44435">
            <w:pPr>
              <w:pStyle w:val="abbreviations"/>
              <w:spacing w:line="480" w:lineRule="auto"/>
              <w:rPr>
                <w:rFonts w:ascii="Arial" w:hAnsi="Arial" w:cs="Arial"/>
                <w:sz w:val="20"/>
              </w:rPr>
            </w:pPr>
            <w:r>
              <w:rPr>
                <w:rFonts w:ascii="Arial" w:hAnsi="Arial" w:cs="Arial"/>
                <w:sz w:val="20"/>
              </w:rPr>
              <w:sym w:font="Symbol" w:char="F06A"/>
            </w:r>
          </w:p>
        </w:tc>
        <w:tc>
          <w:tcPr>
            <w:tcW w:w="8174" w:type="dxa"/>
          </w:tcPr>
          <w:p w:rsidR="00547C37" w:rsidRDefault="00547C37" w:rsidP="00A44435">
            <w:pPr>
              <w:pStyle w:val="abbreviations"/>
              <w:spacing w:line="480" w:lineRule="auto"/>
              <w:rPr>
                <w:sz w:val="20"/>
              </w:rPr>
            </w:pPr>
            <w:r>
              <w:rPr>
                <w:sz w:val="20"/>
              </w:rPr>
              <w:t>Angle of direction of the magnetic field with respect to the coordinate system</w:t>
            </w:r>
          </w:p>
        </w:tc>
      </w:tr>
      <w:tr w:rsidR="00547C37">
        <w:tblPrEx>
          <w:tblCellMar>
            <w:top w:w="0" w:type="dxa"/>
            <w:bottom w:w="0" w:type="dxa"/>
          </w:tblCellMar>
        </w:tblPrEx>
        <w:tc>
          <w:tcPr>
            <w:tcW w:w="543" w:type="dxa"/>
          </w:tcPr>
          <w:p w:rsidR="00547C37" w:rsidRDefault="00547C37" w:rsidP="00A44435">
            <w:pPr>
              <w:pStyle w:val="abbreviations"/>
              <w:spacing w:line="480" w:lineRule="auto"/>
              <w:rPr>
                <w:rFonts w:ascii="Arial" w:hAnsi="Arial" w:cs="Arial"/>
                <w:sz w:val="20"/>
              </w:rPr>
            </w:pPr>
            <w:r>
              <w:rPr>
                <w:rFonts w:ascii="Arial" w:hAnsi="Arial" w:cs="Arial"/>
                <w:sz w:val="20"/>
              </w:rPr>
              <w:sym w:font="Symbol" w:char="F079"/>
            </w:r>
          </w:p>
        </w:tc>
        <w:tc>
          <w:tcPr>
            <w:tcW w:w="8174" w:type="dxa"/>
          </w:tcPr>
          <w:p w:rsidR="00547C37" w:rsidRDefault="00547C37" w:rsidP="00A44435">
            <w:pPr>
              <w:pStyle w:val="abbreviations"/>
              <w:spacing w:line="480" w:lineRule="auto"/>
              <w:rPr>
                <w:sz w:val="20"/>
              </w:rPr>
            </w:pPr>
            <w:r>
              <w:rPr>
                <w:sz w:val="20"/>
              </w:rPr>
              <w:t>Dimensionless stream function</w:t>
            </w:r>
          </w:p>
        </w:tc>
      </w:tr>
      <w:tr w:rsidR="00547C37">
        <w:tblPrEx>
          <w:tblCellMar>
            <w:top w:w="0" w:type="dxa"/>
            <w:bottom w:w="0" w:type="dxa"/>
          </w:tblCellMar>
        </w:tblPrEx>
        <w:tc>
          <w:tcPr>
            <w:tcW w:w="543" w:type="dxa"/>
          </w:tcPr>
          <w:p w:rsidR="00547C37" w:rsidRDefault="00547C37" w:rsidP="00A44435">
            <w:pPr>
              <w:pStyle w:val="abbreviations"/>
              <w:spacing w:line="480" w:lineRule="auto"/>
              <w:rPr>
                <w:rFonts w:ascii="Arial" w:hAnsi="Arial" w:cs="Arial"/>
                <w:sz w:val="20"/>
              </w:rPr>
            </w:pPr>
            <w:r>
              <w:rPr>
                <w:rFonts w:ascii="Arial" w:hAnsi="Arial" w:cs="Arial"/>
                <w:sz w:val="20"/>
              </w:rPr>
              <w:sym w:font="Symbol" w:char="F077"/>
            </w:r>
          </w:p>
        </w:tc>
        <w:tc>
          <w:tcPr>
            <w:tcW w:w="8174" w:type="dxa"/>
          </w:tcPr>
          <w:p w:rsidR="00547C37" w:rsidRPr="00141FFB" w:rsidRDefault="00547C37" w:rsidP="00A44435">
            <w:pPr>
              <w:pStyle w:val="abbreviations"/>
              <w:spacing w:line="480" w:lineRule="auto"/>
              <w:rPr>
                <w:sz w:val="20"/>
              </w:rPr>
            </w:pPr>
            <w:r w:rsidRPr="00141FFB">
              <w:rPr>
                <w:sz w:val="20"/>
              </w:rPr>
              <w:t xml:space="preserve">Vorticity </w:t>
            </w:r>
          </w:p>
        </w:tc>
      </w:tr>
    </w:tbl>
    <w:p w:rsidR="00AA1BFA" w:rsidRDefault="00AA1BFA" w:rsidP="00A44435">
      <w:pPr>
        <w:pStyle w:val="abbreviations"/>
        <w:spacing w:line="480" w:lineRule="auto"/>
        <w:rPr>
          <w:sz w:val="20"/>
        </w:rPr>
      </w:pPr>
    </w:p>
    <w:p w:rsidR="00AA1BFA" w:rsidRDefault="00AA1BFA" w:rsidP="00A44435">
      <w:pPr>
        <w:pStyle w:val="abbreviations"/>
        <w:spacing w:line="480" w:lineRule="auto"/>
        <w:rPr>
          <w:sz w:val="20"/>
          <w:lang w:val="fr-FR"/>
        </w:rPr>
      </w:pPr>
      <w:r>
        <w:rPr>
          <w:sz w:val="20"/>
          <w:lang w:val="fr-FR"/>
        </w:rPr>
        <w:t>Superscripts</w:t>
      </w:r>
    </w:p>
    <w:tbl>
      <w:tblPr>
        <w:tblW w:w="0" w:type="auto"/>
        <w:tblCellMar>
          <w:left w:w="70" w:type="dxa"/>
          <w:right w:w="70" w:type="dxa"/>
        </w:tblCellMar>
        <w:tblLook w:val="0000" w:firstRow="0" w:lastRow="0" w:firstColumn="0" w:lastColumn="0" w:noHBand="0" w:noVBand="0"/>
      </w:tblPr>
      <w:tblGrid>
        <w:gridCol w:w="560"/>
        <w:gridCol w:w="8085"/>
      </w:tblGrid>
      <w:tr w:rsidR="00AA1BFA">
        <w:tblPrEx>
          <w:tblCellMar>
            <w:top w:w="0" w:type="dxa"/>
            <w:bottom w:w="0" w:type="dxa"/>
          </w:tblCellMar>
        </w:tblPrEx>
        <w:tc>
          <w:tcPr>
            <w:tcW w:w="560" w:type="dxa"/>
          </w:tcPr>
          <w:p w:rsidR="00AA1BFA" w:rsidRDefault="00AA1BFA" w:rsidP="00A44435">
            <w:pPr>
              <w:pStyle w:val="abbreviations"/>
              <w:spacing w:line="480" w:lineRule="auto"/>
              <w:rPr>
                <w:sz w:val="20"/>
                <w:lang w:val="fr-FR"/>
              </w:rPr>
            </w:pPr>
            <w:r>
              <w:rPr>
                <w:sz w:val="20"/>
                <w:lang w:val="fr-FR"/>
              </w:rPr>
              <w:t>*</w:t>
            </w:r>
          </w:p>
        </w:tc>
        <w:tc>
          <w:tcPr>
            <w:tcW w:w="8085" w:type="dxa"/>
          </w:tcPr>
          <w:p w:rsidR="00AA1BFA" w:rsidRDefault="00AA1BFA" w:rsidP="00A44435">
            <w:pPr>
              <w:pStyle w:val="abbreviations"/>
              <w:spacing w:line="480" w:lineRule="auto"/>
              <w:rPr>
                <w:sz w:val="20"/>
                <w:lang w:val="fr-FR"/>
              </w:rPr>
            </w:pPr>
            <w:r>
              <w:rPr>
                <w:sz w:val="20"/>
                <w:lang w:val="fr-FR"/>
              </w:rPr>
              <w:t>Dimensional variable</w:t>
            </w:r>
          </w:p>
        </w:tc>
      </w:tr>
    </w:tbl>
    <w:p w:rsidR="00AA1BFA" w:rsidRDefault="00AA1BFA" w:rsidP="00A44435">
      <w:pPr>
        <w:pStyle w:val="abbreviations"/>
        <w:spacing w:line="480" w:lineRule="auto"/>
        <w:rPr>
          <w:sz w:val="20"/>
          <w:lang w:val="fr-FR"/>
        </w:rPr>
      </w:pPr>
    </w:p>
    <w:p w:rsidR="00AA1BFA" w:rsidRDefault="00AA1BFA" w:rsidP="00A44435">
      <w:pPr>
        <w:pStyle w:val="abbreviations"/>
        <w:spacing w:line="480" w:lineRule="auto"/>
        <w:rPr>
          <w:sz w:val="20"/>
        </w:rPr>
      </w:pPr>
      <w:r>
        <w:rPr>
          <w:sz w:val="20"/>
        </w:rPr>
        <w:t>Subscripts</w:t>
      </w:r>
    </w:p>
    <w:tbl>
      <w:tblPr>
        <w:tblW w:w="0" w:type="auto"/>
        <w:tblCellMar>
          <w:left w:w="70" w:type="dxa"/>
          <w:right w:w="70" w:type="dxa"/>
        </w:tblCellMar>
        <w:tblLook w:val="0000" w:firstRow="0" w:lastRow="0" w:firstColumn="0" w:lastColumn="0" w:noHBand="0" w:noVBand="0"/>
      </w:tblPr>
      <w:tblGrid>
        <w:gridCol w:w="567"/>
        <w:gridCol w:w="8078"/>
      </w:tblGrid>
      <w:tr w:rsidR="00AA1BFA">
        <w:tblPrEx>
          <w:tblCellMar>
            <w:top w:w="0" w:type="dxa"/>
            <w:bottom w:w="0" w:type="dxa"/>
          </w:tblCellMar>
        </w:tblPrEx>
        <w:tc>
          <w:tcPr>
            <w:tcW w:w="567" w:type="dxa"/>
          </w:tcPr>
          <w:p w:rsidR="00AA1BFA" w:rsidRDefault="005A6CCC" w:rsidP="00A44435">
            <w:pPr>
              <w:pStyle w:val="abbreviations"/>
              <w:spacing w:line="480" w:lineRule="auto"/>
              <w:rPr>
                <w:sz w:val="20"/>
              </w:rPr>
            </w:pPr>
            <w:r>
              <w:rPr>
                <w:sz w:val="20"/>
              </w:rPr>
              <w:t>0</w:t>
            </w:r>
          </w:p>
        </w:tc>
        <w:tc>
          <w:tcPr>
            <w:tcW w:w="8078" w:type="dxa"/>
          </w:tcPr>
          <w:p w:rsidR="00AA1BFA" w:rsidRDefault="00AA1BFA" w:rsidP="00A44435">
            <w:pPr>
              <w:pStyle w:val="abbreviations"/>
              <w:spacing w:line="480" w:lineRule="auto"/>
              <w:rPr>
                <w:sz w:val="20"/>
              </w:rPr>
            </w:pPr>
            <w:r>
              <w:rPr>
                <w:sz w:val="20"/>
              </w:rPr>
              <w:t>Ambient value</w:t>
            </w:r>
          </w:p>
        </w:tc>
      </w:tr>
    </w:tbl>
    <w:p w:rsidR="008E6B6C" w:rsidRPr="008E6B6C" w:rsidRDefault="008E6B6C" w:rsidP="00A44435">
      <w:pPr>
        <w:spacing w:line="480" w:lineRule="auto"/>
      </w:pPr>
    </w:p>
    <w:p w:rsidR="008939B9" w:rsidRDefault="008939B9" w:rsidP="00A44435">
      <w:pPr>
        <w:pStyle w:val="heading10"/>
        <w:spacing w:before="0" w:after="0" w:line="480" w:lineRule="auto"/>
        <w:ind w:firstLine="708"/>
        <w:rPr>
          <w:rFonts w:ascii="Times New Roman" w:hAnsi="Times New Roman"/>
          <w:sz w:val="20"/>
        </w:rPr>
      </w:pPr>
      <w:r>
        <w:rPr>
          <w:rFonts w:ascii="Times New Roman" w:hAnsi="Times New Roman"/>
          <w:sz w:val="20"/>
        </w:rPr>
        <w:t>Introduction</w:t>
      </w:r>
    </w:p>
    <w:p w:rsidR="008939B9" w:rsidRDefault="008939B9" w:rsidP="00A44435">
      <w:pPr>
        <w:spacing w:line="480" w:lineRule="auto"/>
        <w:ind w:firstLine="708"/>
        <w:rPr>
          <w:sz w:val="20"/>
        </w:rPr>
      </w:pPr>
      <w:r>
        <w:rPr>
          <w:sz w:val="20"/>
        </w:rPr>
        <w:t xml:space="preserve">Laminar </w:t>
      </w:r>
      <w:r w:rsidR="009B27C0">
        <w:rPr>
          <w:sz w:val="20"/>
        </w:rPr>
        <w:t>natural</w:t>
      </w:r>
      <w:r>
        <w:rPr>
          <w:sz w:val="20"/>
        </w:rPr>
        <w:t>-convection flow</w:t>
      </w:r>
      <w:r w:rsidR="00D33E2C">
        <w:rPr>
          <w:sz w:val="20"/>
        </w:rPr>
        <w:t>s</w:t>
      </w:r>
      <w:r>
        <w:rPr>
          <w:sz w:val="20"/>
        </w:rPr>
        <w:t xml:space="preserve"> </w:t>
      </w:r>
      <w:r w:rsidR="00D33E2C">
        <w:rPr>
          <w:sz w:val="20"/>
        </w:rPr>
        <w:t>in enclosures are</w:t>
      </w:r>
      <w:r>
        <w:rPr>
          <w:sz w:val="20"/>
        </w:rPr>
        <w:t xml:space="preserve"> encountered in variety of engineering applications </w:t>
      </w:r>
      <w:r w:rsidR="008A331F">
        <w:rPr>
          <w:sz w:val="20"/>
        </w:rPr>
        <w:t xml:space="preserve">including </w:t>
      </w:r>
      <w:r w:rsidR="00D33E2C">
        <w:rPr>
          <w:sz w:val="20"/>
        </w:rPr>
        <w:t xml:space="preserve">cooling of electronic equipment, nuclear reactor insulation, </w:t>
      </w:r>
      <w:r w:rsidR="001F4160">
        <w:rPr>
          <w:sz w:val="20"/>
        </w:rPr>
        <w:t xml:space="preserve">solar energy collection, </w:t>
      </w:r>
      <w:r w:rsidR="008A331F">
        <w:rPr>
          <w:sz w:val="20"/>
        </w:rPr>
        <w:t xml:space="preserve">and </w:t>
      </w:r>
      <w:r w:rsidR="001F4160">
        <w:rPr>
          <w:sz w:val="20"/>
        </w:rPr>
        <w:t xml:space="preserve">crystal growth in </w:t>
      </w:r>
      <w:r w:rsidR="001F4160">
        <w:rPr>
          <w:sz w:val="20"/>
        </w:rPr>
        <w:lastRenderedPageBreak/>
        <w:t>liquids</w:t>
      </w:r>
      <w:r w:rsidR="008A331F">
        <w:rPr>
          <w:sz w:val="20"/>
        </w:rPr>
        <w:t xml:space="preserve"> </w:t>
      </w:r>
      <w:r>
        <w:rPr>
          <w:sz w:val="20"/>
        </w:rPr>
        <w:t xml:space="preserve">and </w:t>
      </w:r>
      <w:r w:rsidR="00274F60">
        <w:rPr>
          <w:sz w:val="20"/>
        </w:rPr>
        <w:t>a large number of investigations have focused on the subject [</w:t>
      </w:r>
      <w:r w:rsidR="003D7347">
        <w:rPr>
          <w:sz w:val="20"/>
        </w:rPr>
        <w:t xml:space="preserve">3, </w:t>
      </w:r>
      <w:r w:rsidR="002457C3">
        <w:rPr>
          <w:sz w:val="20"/>
        </w:rPr>
        <w:t>5</w:t>
      </w:r>
      <w:r w:rsidR="003D7347">
        <w:rPr>
          <w:sz w:val="20"/>
        </w:rPr>
        <w:t xml:space="preserve">, </w:t>
      </w:r>
      <w:r w:rsidR="002457C3">
        <w:rPr>
          <w:sz w:val="20"/>
        </w:rPr>
        <w:t>1</w:t>
      </w:r>
      <w:r w:rsidR="00712F9B">
        <w:rPr>
          <w:sz w:val="20"/>
        </w:rPr>
        <w:t>1</w:t>
      </w:r>
      <w:r w:rsidR="003D7347">
        <w:rPr>
          <w:sz w:val="20"/>
        </w:rPr>
        <w:t xml:space="preserve">, </w:t>
      </w:r>
      <w:r w:rsidR="00712F9B">
        <w:rPr>
          <w:sz w:val="20"/>
        </w:rPr>
        <w:t xml:space="preserve">15, 16, </w:t>
      </w:r>
      <w:r w:rsidR="003D7347">
        <w:rPr>
          <w:sz w:val="20"/>
        </w:rPr>
        <w:t>1</w:t>
      </w:r>
      <w:r w:rsidR="00712F9B">
        <w:rPr>
          <w:sz w:val="20"/>
        </w:rPr>
        <w:t>8</w:t>
      </w:r>
      <w:r w:rsidR="00274F60">
        <w:rPr>
          <w:sz w:val="20"/>
        </w:rPr>
        <w:t>-</w:t>
      </w:r>
      <w:r w:rsidR="00712F9B">
        <w:rPr>
          <w:sz w:val="20"/>
        </w:rPr>
        <w:t>20</w:t>
      </w:r>
      <w:r w:rsidR="003D7347">
        <w:rPr>
          <w:sz w:val="20"/>
        </w:rPr>
        <w:t xml:space="preserve">, </w:t>
      </w:r>
      <w:r w:rsidR="008C2E5F">
        <w:rPr>
          <w:sz w:val="20"/>
        </w:rPr>
        <w:t>2</w:t>
      </w:r>
      <w:r w:rsidR="00712F9B">
        <w:rPr>
          <w:sz w:val="20"/>
        </w:rPr>
        <w:t>3</w:t>
      </w:r>
      <w:r w:rsidR="003D7347">
        <w:rPr>
          <w:sz w:val="20"/>
        </w:rPr>
        <w:t>-2</w:t>
      </w:r>
      <w:r w:rsidR="00712F9B">
        <w:rPr>
          <w:sz w:val="20"/>
        </w:rPr>
        <w:t>5</w:t>
      </w:r>
      <w:r w:rsidR="00274F60">
        <w:rPr>
          <w:sz w:val="20"/>
        </w:rPr>
        <w:t>]. C</w:t>
      </w:r>
      <w:r w:rsidR="00011DBD">
        <w:rPr>
          <w:sz w:val="20"/>
        </w:rPr>
        <w:t>omprehensive review</w:t>
      </w:r>
      <w:r w:rsidR="005F0DD7">
        <w:rPr>
          <w:sz w:val="20"/>
        </w:rPr>
        <w:t>s</w:t>
      </w:r>
      <w:r w:rsidR="00011DBD">
        <w:rPr>
          <w:sz w:val="20"/>
        </w:rPr>
        <w:t xml:space="preserve"> of the </w:t>
      </w:r>
      <w:r>
        <w:rPr>
          <w:sz w:val="20"/>
        </w:rPr>
        <w:t>investigations on the subject</w:t>
      </w:r>
      <w:r w:rsidR="00011DBD">
        <w:rPr>
          <w:sz w:val="20"/>
        </w:rPr>
        <w:t xml:space="preserve"> are </w:t>
      </w:r>
      <w:r w:rsidR="00274F60">
        <w:rPr>
          <w:sz w:val="20"/>
        </w:rPr>
        <w:t xml:space="preserve">also </w:t>
      </w:r>
      <w:r w:rsidR="00011DBD">
        <w:rPr>
          <w:sz w:val="20"/>
        </w:rPr>
        <w:t xml:space="preserve">given by </w:t>
      </w:r>
      <w:r>
        <w:rPr>
          <w:sz w:val="20"/>
        </w:rPr>
        <w:t>.</w:t>
      </w:r>
      <w:r w:rsidR="00011DBD">
        <w:rPr>
          <w:sz w:val="20"/>
        </w:rPr>
        <w:t xml:space="preserve">Catton </w:t>
      </w:r>
      <w:r w:rsidR="003D7347">
        <w:rPr>
          <w:sz w:val="20"/>
        </w:rPr>
        <w:t>[</w:t>
      </w:r>
      <w:r w:rsidR="008C2E5F">
        <w:rPr>
          <w:sz w:val="20"/>
        </w:rPr>
        <w:t>8</w:t>
      </w:r>
      <w:r w:rsidR="003D7347">
        <w:rPr>
          <w:sz w:val="20"/>
        </w:rPr>
        <w:t>]</w:t>
      </w:r>
      <w:r w:rsidR="00011DBD">
        <w:rPr>
          <w:sz w:val="20"/>
        </w:rPr>
        <w:t xml:space="preserve">, Yang </w:t>
      </w:r>
      <w:r w:rsidR="00712F9B">
        <w:rPr>
          <w:sz w:val="20"/>
        </w:rPr>
        <w:t>[30</w:t>
      </w:r>
      <w:r w:rsidR="003D7347">
        <w:rPr>
          <w:sz w:val="20"/>
        </w:rPr>
        <w:t>]</w:t>
      </w:r>
      <w:r w:rsidR="00C341E9">
        <w:rPr>
          <w:sz w:val="20"/>
        </w:rPr>
        <w:t>,</w:t>
      </w:r>
      <w:r w:rsidR="00011DBD">
        <w:rPr>
          <w:sz w:val="20"/>
        </w:rPr>
        <w:t xml:space="preserve"> </w:t>
      </w:r>
      <w:r w:rsidR="00C341E9">
        <w:rPr>
          <w:bCs/>
          <w:sz w:val="20"/>
          <w:lang w:val="tr-TR"/>
        </w:rPr>
        <w:t>Fusegi and</w:t>
      </w:r>
      <w:r w:rsidR="00C341E9" w:rsidRPr="00EE4484">
        <w:rPr>
          <w:sz w:val="20"/>
          <w:lang w:val="tr-TR"/>
        </w:rPr>
        <w:t xml:space="preserve"> </w:t>
      </w:r>
      <w:r w:rsidR="00C341E9">
        <w:rPr>
          <w:sz w:val="20"/>
          <w:lang w:val="tr-TR"/>
        </w:rPr>
        <w:t>H</w:t>
      </w:r>
      <w:r w:rsidR="00C341E9" w:rsidRPr="00EE4484">
        <w:rPr>
          <w:sz w:val="20"/>
          <w:lang w:val="tr-TR"/>
        </w:rPr>
        <w:t xml:space="preserve">yun </w:t>
      </w:r>
      <w:r w:rsidR="003D7347">
        <w:rPr>
          <w:sz w:val="20"/>
          <w:lang w:val="tr-TR"/>
        </w:rPr>
        <w:t>[</w:t>
      </w:r>
      <w:r w:rsidR="00712F9B">
        <w:rPr>
          <w:sz w:val="20"/>
          <w:lang w:val="tr-TR"/>
        </w:rPr>
        <w:t>13</w:t>
      </w:r>
      <w:r w:rsidR="003D7347">
        <w:rPr>
          <w:sz w:val="20"/>
          <w:lang w:val="tr-TR"/>
        </w:rPr>
        <w:t>]</w:t>
      </w:r>
      <w:r w:rsidR="00AA14A6">
        <w:rPr>
          <w:sz w:val="20"/>
          <w:lang w:val="tr-TR"/>
        </w:rPr>
        <w:t xml:space="preserve"> and </w:t>
      </w:r>
      <w:r w:rsidR="00AA14A6" w:rsidRPr="008C2E5F">
        <w:rPr>
          <w:sz w:val="20"/>
        </w:rPr>
        <w:t>Bejan [</w:t>
      </w:r>
      <w:r w:rsidR="008C2E5F" w:rsidRPr="008C2E5F">
        <w:rPr>
          <w:sz w:val="20"/>
        </w:rPr>
        <w:t>4</w:t>
      </w:r>
      <w:r w:rsidR="00AA14A6" w:rsidRPr="008C2E5F">
        <w:rPr>
          <w:sz w:val="20"/>
        </w:rPr>
        <w:t>]</w:t>
      </w:r>
      <w:r w:rsidR="00011DBD">
        <w:rPr>
          <w:sz w:val="20"/>
        </w:rPr>
        <w:t xml:space="preserve">. </w:t>
      </w:r>
      <w:r>
        <w:rPr>
          <w:sz w:val="20"/>
        </w:rPr>
        <w:t>The Lorentz force is also active and interacts with the buoyancy force in governing the flow and temperature fields when the fluid is electrically conducting and a</w:t>
      </w:r>
      <w:r w:rsidR="007A78A0">
        <w:rPr>
          <w:sz w:val="20"/>
        </w:rPr>
        <w:t xml:space="preserve">lso exposed to a magnetic field. </w:t>
      </w:r>
      <w:r w:rsidR="000B2165">
        <w:rPr>
          <w:sz w:val="20"/>
        </w:rPr>
        <w:t xml:space="preserve">Effect of the Lorentz force is known to reduce the velocities and therefore suppress the </w:t>
      </w:r>
      <w:r w:rsidR="00062E5E">
        <w:rPr>
          <w:sz w:val="20"/>
        </w:rPr>
        <w:t>convection currents and it has increasing applications in material manufacturing industry</w:t>
      </w:r>
      <w:r w:rsidR="006D25DE">
        <w:rPr>
          <w:sz w:val="20"/>
        </w:rPr>
        <w:t xml:space="preserve"> as a control mechanism</w:t>
      </w:r>
      <w:r w:rsidR="00062E5E">
        <w:rPr>
          <w:sz w:val="20"/>
        </w:rPr>
        <w:t>. Study and thorough understanding of the momentum and heat transfer in such a process is important for the better control and quality of the manufactured product.</w:t>
      </w:r>
    </w:p>
    <w:p w:rsidR="007C49C2" w:rsidRDefault="00B07805" w:rsidP="00A44435">
      <w:pPr>
        <w:spacing w:line="480" w:lineRule="auto"/>
        <w:ind w:firstLine="708"/>
        <w:rPr>
          <w:sz w:val="20"/>
        </w:rPr>
      </w:pPr>
      <w:r>
        <w:rPr>
          <w:sz w:val="20"/>
        </w:rPr>
        <w:t xml:space="preserve">The study of Oreper and Szekely </w:t>
      </w:r>
      <w:r w:rsidR="00712F9B">
        <w:rPr>
          <w:sz w:val="20"/>
        </w:rPr>
        <w:t>[21</w:t>
      </w:r>
      <w:r w:rsidR="003D7347">
        <w:rPr>
          <w:sz w:val="20"/>
        </w:rPr>
        <w:t>]</w:t>
      </w:r>
      <w:r>
        <w:rPr>
          <w:sz w:val="20"/>
        </w:rPr>
        <w:t xml:space="preserve"> shows that the magnetic field suppresses </w:t>
      </w:r>
      <w:r w:rsidR="000B78F3">
        <w:rPr>
          <w:sz w:val="20"/>
        </w:rPr>
        <w:t xml:space="preserve">the natural convection currents and the magnetic field strength is one of the most important factors for crystal formation. </w:t>
      </w:r>
      <w:r w:rsidR="00BF25A4">
        <w:rPr>
          <w:sz w:val="20"/>
        </w:rPr>
        <w:t xml:space="preserve">Ozoe and Maruo </w:t>
      </w:r>
      <w:r w:rsidR="003D7347">
        <w:rPr>
          <w:sz w:val="20"/>
        </w:rPr>
        <w:t>[</w:t>
      </w:r>
      <w:r w:rsidR="00712F9B">
        <w:rPr>
          <w:sz w:val="20"/>
        </w:rPr>
        <w:t>22</w:t>
      </w:r>
      <w:r w:rsidR="003D7347">
        <w:rPr>
          <w:sz w:val="20"/>
        </w:rPr>
        <w:t>]</w:t>
      </w:r>
      <w:r w:rsidR="00BF25A4">
        <w:rPr>
          <w:sz w:val="20"/>
        </w:rPr>
        <w:t xml:space="preserve"> numerically investigated the natural convection of a low Prandtl number fluid in the presence of a magnetic field and obtained correlations for the Nusselt number in terms of Rayleigh, Prandtl and </w:t>
      </w:r>
      <w:r w:rsidR="00130394">
        <w:rPr>
          <w:sz w:val="20"/>
        </w:rPr>
        <w:t>Hartman</w:t>
      </w:r>
      <w:r w:rsidR="00BF25A4">
        <w:rPr>
          <w:sz w:val="20"/>
        </w:rPr>
        <w:t>n numbers. Garandet et al</w:t>
      </w:r>
      <w:r w:rsidR="003D7347">
        <w:rPr>
          <w:sz w:val="20"/>
        </w:rPr>
        <w:t>.</w:t>
      </w:r>
      <w:r w:rsidR="00BF25A4">
        <w:rPr>
          <w:sz w:val="20"/>
        </w:rPr>
        <w:t xml:space="preserve"> </w:t>
      </w:r>
      <w:r w:rsidR="003D7347">
        <w:rPr>
          <w:sz w:val="20"/>
        </w:rPr>
        <w:t>[1</w:t>
      </w:r>
      <w:r w:rsidR="00712F9B">
        <w:rPr>
          <w:sz w:val="20"/>
        </w:rPr>
        <w:t>4</w:t>
      </w:r>
      <w:r w:rsidR="003D7347">
        <w:rPr>
          <w:sz w:val="20"/>
        </w:rPr>
        <w:t>]</w:t>
      </w:r>
      <w:r w:rsidR="00BF25A4">
        <w:rPr>
          <w:sz w:val="20"/>
        </w:rPr>
        <w:t xml:space="preserve"> proposed an analytical solution to the governing equations of magnetohydrodynamics to be used to model the effect of a transverse magnetic field on natural convection in a two-dimensional cavity. </w:t>
      </w:r>
      <w:r w:rsidR="00A85623">
        <w:rPr>
          <w:sz w:val="20"/>
        </w:rPr>
        <w:t xml:space="preserve">Rudraiah et al. </w:t>
      </w:r>
      <w:r w:rsidR="003D7347">
        <w:rPr>
          <w:sz w:val="20"/>
        </w:rPr>
        <w:t>[2</w:t>
      </w:r>
      <w:r w:rsidR="00712F9B">
        <w:rPr>
          <w:sz w:val="20"/>
        </w:rPr>
        <w:t>6</w:t>
      </w:r>
      <w:r w:rsidR="003D7347">
        <w:rPr>
          <w:sz w:val="20"/>
        </w:rPr>
        <w:t>]</w:t>
      </w:r>
      <w:r w:rsidR="00A85623">
        <w:rPr>
          <w:sz w:val="20"/>
        </w:rPr>
        <w:t xml:space="preserve"> numerically investigated the effect of a transverse magnetic field on natural-convection flow inside a rectangular enclosure with isothermal vertical walls and adiabatic horizontal walls and found out that a circulating flow is formed with a relatively weak magnetic field and that the convection is suppressed and the rate of convective heat transfer is decreased when the magnetic field strength increases. </w:t>
      </w:r>
      <w:r w:rsidR="009B27C0">
        <w:rPr>
          <w:sz w:val="20"/>
        </w:rPr>
        <w:t xml:space="preserve">Alchaar et al. </w:t>
      </w:r>
      <w:r w:rsidR="003D7347">
        <w:rPr>
          <w:sz w:val="20"/>
        </w:rPr>
        <w:t>[1]</w:t>
      </w:r>
      <w:r w:rsidR="009B27C0">
        <w:rPr>
          <w:sz w:val="20"/>
        </w:rPr>
        <w:t xml:space="preserve"> numerically investigated the natural convection in a shallow cavity heated from below in the presence of an inclined magnetic field and showed that the convection modes inside the cavity strongly depend on both the strength and orientation of the magnetic field and that horizontally applied magnetic field is the most effective in suppressing the convection currents.</w:t>
      </w:r>
      <w:r w:rsidR="00A85623">
        <w:rPr>
          <w:sz w:val="20"/>
        </w:rPr>
        <w:t xml:space="preserve"> </w:t>
      </w:r>
      <w:r w:rsidR="007C49C2">
        <w:rPr>
          <w:sz w:val="20"/>
        </w:rPr>
        <w:t xml:space="preserve">Al-Najem et al. </w:t>
      </w:r>
      <w:r w:rsidR="003D7347">
        <w:rPr>
          <w:sz w:val="20"/>
        </w:rPr>
        <w:t>[2]</w:t>
      </w:r>
      <w:r w:rsidR="007C49C2">
        <w:rPr>
          <w:sz w:val="20"/>
        </w:rPr>
        <w:t xml:space="preserve"> used the power law control volume approach to determine the flow and temperature fields under a transverse magnetic field in a tilted square enclosure with isothermal vertical walls and adiabatic horizontal walls at Prandtl number of 0.71 and showed that the suppression effect of the magnetic field on convection currents and heat transfer is more significant for low inclination angles and high Grashof numbers.</w:t>
      </w:r>
    </w:p>
    <w:p w:rsidR="008939B9" w:rsidRPr="00015D2E" w:rsidRDefault="008939B9" w:rsidP="00A44435">
      <w:pPr>
        <w:pStyle w:val="email"/>
        <w:spacing w:before="0" w:line="480" w:lineRule="auto"/>
        <w:ind w:firstLine="708"/>
        <w:rPr>
          <w:color w:val="000000"/>
        </w:rPr>
      </w:pPr>
      <w:r w:rsidRPr="00015D2E">
        <w:rPr>
          <w:color w:val="000000"/>
        </w:rPr>
        <w:t xml:space="preserve">The previous studies of the </w:t>
      </w:r>
      <w:r w:rsidR="001F2C64" w:rsidRPr="00015D2E">
        <w:rPr>
          <w:color w:val="000000"/>
        </w:rPr>
        <w:t xml:space="preserve">laminar natural-convection flows in the presence of a magnetic field in enclosures </w:t>
      </w:r>
      <w:r w:rsidRPr="00015D2E">
        <w:rPr>
          <w:color w:val="000000"/>
        </w:rPr>
        <w:t xml:space="preserve">have dealt with </w:t>
      </w:r>
      <w:r w:rsidR="00026047" w:rsidRPr="00015D2E">
        <w:rPr>
          <w:color w:val="000000"/>
        </w:rPr>
        <w:t xml:space="preserve">thermal boundary conditions involving </w:t>
      </w:r>
      <w:r w:rsidR="00545672" w:rsidRPr="00015D2E">
        <w:rPr>
          <w:color w:val="000000"/>
        </w:rPr>
        <w:t xml:space="preserve">mostly isothermal vertical walls and adiabatic horizontal walls and a transverse magnetic field. </w:t>
      </w:r>
      <w:r w:rsidRPr="00015D2E">
        <w:rPr>
          <w:color w:val="000000"/>
        </w:rPr>
        <w:t xml:space="preserve">The present study considers </w:t>
      </w:r>
      <w:r w:rsidR="00545672" w:rsidRPr="00015D2E">
        <w:rPr>
          <w:color w:val="000000"/>
        </w:rPr>
        <w:t xml:space="preserve">laminar natural-convection flows in the presence of a magnetic field </w:t>
      </w:r>
      <w:r w:rsidR="00CE3FD6" w:rsidRPr="00015D2E">
        <w:rPr>
          <w:color w:val="000000"/>
        </w:rPr>
        <w:t xml:space="preserve">of an arbitrary direction </w:t>
      </w:r>
      <w:r w:rsidR="00545672" w:rsidRPr="00015D2E">
        <w:rPr>
          <w:color w:val="000000"/>
        </w:rPr>
        <w:t xml:space="preserve">in an inclined square enclosure </w:t>
      </w:r>
      <w:r w:rsidR="00976206" w:rsidRPr="00015D2E">
        <w:rPr>
          <w:color w:val="000000"/>
        </w:rPr>
        <w:t xml:space="preserve">where the temperatures of the </w:t>
      </w:r>
      <w:r w:rsidR="00545672" w:rsidRPr="00015D2E">
        <w:rPr>
          <w:color w:val="000000"/>
        </w:rPr>
        <w:t xml:space="preserve">heated bottom and left vertical walls </w:t>
      </w:r>
      <w:r w:rsidR="00C67436" w:rsidRPr="00015D2E">
        <w:rPr>
          <w:color w:val="000000"/>
        </w:rPr>
        <w:t xml:space="preserve">vary </w:t>
      </w:r>
      <w:r w:rsidR="00976206" w:rsidRPr="00015D2E">
        <w:rPr>
          <w:color w:val="000000"/>
        </w:rPr>
        <w:t xml:space="preserve">linearly </w:t>
      </w:r>
      <w:r w:rsidR="00777B8E" w:rsidRPr="00015D2E">
        <w:rPr>
          <w:color w:val="000000"/>
        </w:rPr>
        <w:t>from a high value at the intersection point to a low value at the corners of the isothermal cold walls.</w:t>
      </w:r>
      <w:r w:rsidR="00545672" w:rsidRPr="00015D2E">
        <w:rPr>
          <w:color w:val="000000"/>
        </w:rPr>
        <w:t xml:space="preserve"> </w:t>
      </w:r>
      <w:r w:rsidR="00866B52">
        <w:rPr>
          <w:color w:val="000000"/>
        </w:rPr>
        <w:t xml:space="preserve">The complex interaction of the flow and temperature fields in a finite-size inclined enclosure is an </w:t>
      </w:r>
      <w:r w:rsidR="00866B52" w:rsidRPr="009A5DDF">
        <w:rPr>
          <w:color w:val="000000"/>
        </w:rPr>
        <w:t>intriguing</w:t>
      </w:r>
      <w:r w:rsidR="00866B52">
        <w:rPr>
          <w:color w:val="000000"/>
        </w:rPr>
        <w:t xml:space="preserve"> subject faced by engineers. </w:t>
      </w:r>
      <w:r w:rsidR="00D938A2" w:rsidRPr="00015D2E">
        <w:rPr>
          <w:color w:val="000000"/>
        </w:rPr>
        <w:t xml:space="preserve">The boundary conditions considered have </w:t>
      </w:r>
      <w:r w:rsidR="00DC0A25" w:rsidRPr="00015D2E">
        <w:rPr>
          <w:color w:val="000000"/>
        </w:rPr>
        <w:t xml:space="preserve">a </w:t>
      </w:r>
      <w:r w:rsidR="00D938A2" w:rsidRPr="00015D2E">
        <w:rPr>
          <w:color w:val="000000"/>
        </w:rPr>
        <w:t xml:space="preserve">practical </w:t>
      </w:r>
      <w:r w:rsidR="00DC0A25" w:rsidRPr="00015D2E">
        <w:rPr>
          <w:color w:val="000000"/>
        </w:rPr>
        <w:t xml:space="preserve">importance in </w:t>
      </w:r>
      <w:r w:rsidR="00D938A2" w:rsidRPr="00015D2E">
        <w:rPr>
          <w:color w:val="000000"/>
        </w:rPr>
        <w:t xml:space="preserve">applications </w:t>
      </w:r>
      <w:r w:rsidR="00DC0A25" w:rsidRPr="00015D2E">
        <w:rPr>
          <w:color w:val="000000"/>
        </w:rPr>
        <w:t xml:space="preserve">involving differentially heated </w:t>
      </w:r>
      <w:r w:rsidR="00D03595" w:rsidRPr="00015D2E">
        <w:rPr>
          <w:color w:val="000000"/>
        </w:rPr>
        <w:t xml:space="preserve">non-isothermal </w:t>
      </w:r>
      <w:r w:rsidR="00DC0A25" w:rsidRPr="00015D2E">
        <w:rPr>
          <w:color w:val="000000"/>
        </w:rPr>
        <w:t xml:space="preserve">walls. </w:t>
      </w:r>
      <w:r w:rsidR="00A14391" w:rsidRPr="00015D2E">
        <w:rPr>
          <w:color w:val="000000"/>
        </w:rPr>
        <w:t>The strong convection</w:t>
      </w:r>
      <w:r w:rsidR="00DC0A25" w:rsidRPr="00015D2E">
        <w:rPr>
          <w:color w:val="000000"/>
        </w:rPr>
        <w:t xml:space="preserve"> </w:t>
      </w:r>
      <w:r w:rsidR="00A14391" w:rsidRPr="00015D2E">
        <w:rPr>
          <w:color w:val="000000"/>
        </w:rPr>
        <w:t xml:space="preserve">currents </w:t>
      </w:r>
      <w:r w:rsidR="00225D3D" w:rsidRPr="00015D2E">
        <w:rPr>
          <w:color w:val="000000"/>
        </w:rPr>
        <w:t xml:space="preserve">may alter </w:t>
      </w:r>
      <w:r w:rsidR="00F0792A" w:rsidRPr="00015D2E">
        <w:rPr>
          <w:color w:val="000000"/>
        </w:rPr>
        <w:t xml:space="preserve">the </w:t>
      </w:r>
      <w:r w:rsidR="00225D3D" w:rsidRPr="00015D2E">
        <w:rPr>
          <w:color w:val="000000"/>
        </w:rPr>
        <w:t xml:space="preserve">magnitude and direction of the </w:t>
      </w:r>
      <w:r w:rsidR="00925591" w:rsidRPr="00015D2E">
        <w:rPr>
          <w:color w:val="000000"/>
        </w:rPr>
        <w:lastRenderedPageBreak/>
        <w:t xml:space="preserve">wall </w:t>
      </w:r>
      <w:r w:rsidR="00225D3D" w:rsidRPr="00015D2E">
        <w:rPr>
          <w:color w:val="000000"/>
        </w:rPr>
        <w:t xml:space="preserve">heat flux, carrying warmer fluid particles to </w:t>
      </w:r>
      <w:r w:rsidR="00925591" w:rsidRPr="00015D2E">
        <w:rPr>
          <w:color w:val="000000"/>
        </w:rPr>
        <w:t>the regions near the relatively colder parts of the heated wall.</w:t>
      </w:r>
      <w:r w:rsidR="00225D3D" w:rsidRPr="00015D2E">
        <w:rPr>
          <w:color w:val="000000"/>
        </w:rPr>
        <w:t xml:space="preserve"> </w:t>
      </w:r>
      <w:r w:rsidRPr="00015D2E">
        <w:rPr>
          <w:color w:val="000000"/>
        </w:rPr>
        <w:t xml:space="preserve">The object of the study is to obtain </w:t>
      </w:r>
      <w:r w:rsidR="00545672" w:rsidRPr="00015D2E">
        <w:rPr>
          <w:color w:val="000000"/>
        </w:rPr>
        <w:t xml:space="preserve">numerical solutions for the velocity and temperature fields inside the enclosure and to determine the effects of </w:t>
      </w:r>
      <w:r w:rsidR="002332CD" w:rsidRPr="00015D2E">
        <w:rPr>
          <w:color w:val="000000"/>
        </w:rPr>
        <w:t>the strength and orientation of the magnetic field and the inclination of the enclosure on the transport phenomena.</w:t>
      </w:r>
    </w:p>
    <w:p w:rsidR="008939B9" w:rsidRDefault="008939B9" w:rsidP="00A44435">
      <w:pPr>
        <w:pStyle w:val="telephone"/>
        <w:spacing w:line="480" w:lineRule="auto"/>
      </w:pPr>
    </w:p>
    <w:p w:rsidR="008939B9" w:rsidRDefault="008939B9" w:rsidP="00A44435">
      <w:pPr>
        <w:pStyle w:val="heading10"/>
        <w:spacing w:before="0" w:after="0" w:line="480" w:lineRule="auto"/>
        <w:ind w:firstLine="708"/>
        <w:rPr>
          <w:rFonts w:ascii="Times New Roman" w:hAnsi="Times New Roman"/>
          <w:sz w:val="20"/>
        </w:rPr>
      </w:pPr>
      <w:r>
        <w:rPr>
          <w:rFonts w:ascii="Times New Roman" w:hAnsi="Times New Roman"/>
          <w:sz w:val="20"/>
        </w:rPr>
        <w:t>Basic equations</w:t>
      </w:r>
    </w:p>
    <w:p w:rsidR="003251BB" w:rsidRDefault="008939B9" w:rsidP="00A44435">
      <w:pPr>
        <w:spacing w:line="480" w:lineRule="auto"/>
        <w:ind w:firstLine="708"/>
        <w:rPr>
          <w:sz w:val="20"/>
        </w:rPr>
      </w:pPr>
      <w:r>
        <w:rPr>
          <w:sz w:val="20"/>
        </w:rPr>
        <w:t xml:space="preserve">Steady, laminar, </w:t>
      </w:r>
      <w:r w:rsidR="00423FB7">
        <w:rPr>
          <w:sz w:val="20"/>
        </w:rPr>
        <w:t>natural</w:t>
      </w:r>
      <w:r>
        <w:rPr>
          <w:sz w:val="20"/>
        </w:rPr>
        <w:t xml:space="preserve">-convection flow </w:t>
      </w:r>
      <w:r w:rsidR="00423FB7">
        <w:rPr>
          <w:sz w:val="20"/>
        </w:rPr>
        <w:t xml:space="preserve">in the presence of a magnetic field in an inclined square enclosure </w:t>
      </w:r>
      <w:r>
        <w:rPr>
          <w:sz w:val="20"/>
        </w:rPr>
        <w:t xml:space="preserve">was considered. Dimensional coordinates with the x*-axis measuring along the </w:t>
      </w:r>
      <w:r w:rsidR="00423FB7">
        <w:rPr>
          <w:sz w:val="20"/>
        </w:rPr>
        <w:t xml:space="preserve">bottom wall </w:t>
      </w:r>
      <w:r>
        <w:rPr>
          <w:sz w:val="20"/>
        </w:rPr>
        <w:t xml:space="preserve">and y*-axis being normal to it </w:t>
      </w:r>
      <w:r w:rsidR="00423FB7">
        <w:rPr>
          <w:sz w:val="20"/>
        </w:rPr>
        <w:t xml:space="preserve">along the left wall </w:t>
      </w:r>
      <w:r>
        <w:rPr>
          <w:sz w:val="20"/>
        </w:rPr>
        <w:t xml:space="preserve">were used. </w:t>
      </w:r>
      <w:r w:rsidR="000C578E">
        <w:rPr>
          <w:sz w:val="20"/>
        </w:rPr>
        <w:t xml:space="preserve">The geometry and the coordinate system are schematically shown in Fig.1. </w:t>
      </w:r>
      <w:r w:rsidR="00110606">
        <w:rPr>
          <w:sz w:val="20"/>
        </w:rPr>
        <w:t xml:space="preserve">The angle of inclination of the enclosure from horizontal in the counterclockwise direction is denoted by </w:t>
      </w:r>
      <w:r w:rsidR="00110606">
        <w:rPr>
          <w:sz w:val="20"/>
        </w:rPr>
        <w:sym w:font="Symbol" w:char="F066"/>
      </w:r>
      <w:r w:rsidR="00110606">
        <w:rPr>
          <w:sz w:val="20"/>
        </w:rPr>
        <w:t>.</w:t>
      </w:r>
      <w:r w:rsidR="007415F2">
        <w:rPr>
          <w:sz w:val="20"/>
        </w:rPr>
        <w:t xml:space="preserve"> Magnetic field of strength B is applied at an angle </w:t>
      </w:r>
      <w:r w:rsidR="007415F2">
        <w:rPr>
          <w:sz w:val="20"/>
        </w:rPr>
        <w:sym w:font="Symbol" w:char="F06A"/>
      </w:r>
      <w:r w:rsidR="007415F2">
        <w:rPr>
          <w:sz w:val="20"/>
        </w:rPr>
        <w:t xml:space="preserve"> with respect to the coordinate system.</w:t>
      </w:r>
      <w:r w:rsidR="00EA4817">
        <w:rPr>
          <w:sz w:val="20"/>
        </w:rPr>
        <w:t xml:space="preserve"> The top and right vertical walls are kept at a constant temperature T</w:t>
      </w:r>
      <w:r w:rsidR="00E47E29">
        <w:rPr>
          <w:sz w:val="20"/>
          <w:vertAlign w:val="subscript"/>
        </w:rPr>
        <w:t>0</w:t>
      </w:r>
      <w:r w:rsidR="00EA4817">
        <w:rPr>
          <w:sz w:val="20"/>
        </w:rPr>
        <w:t xml:space="preserve"> while the temperature along the bottom and left vertical walls </w:t>
      </w:r>
      <w:r w:rsidR="00E47E29">
        <w:rPr>
          <w:sz w:val="20"/>
        </w:rPr>
        <w:t xml:space="preserve">varies </w:t>
      </w:r>
      <w:r w:rsidR="00EA4817">
        <w:rPr>
          <w:sz w:val="20"/>
        </w:rPr>
        <w:t xml:space="preserve">linearly </w:t>
      </w:r>
      <w:r w:rsidR="00E47E29">
        <w:rPr>
          <w:sz w:val="20"/>
        </w:rPr>
        <w:t>from T</w:t>
      </w:r>
      <w:r w:rsidR="00E47E29">
        <w:rPr>
          <w:sz w:val="20"/>
          <w:vertAlign w:val="subscript"/>
        </w:rPr>
        <w:t>0</w:t>
      </w:r>
      <w:r w:rsidR="00E47E29">
        <w:rPr>
          <w:sz w:val="20"/>
        </w:rPr>
        <w:t xml:space="preserve"> at one end to T</w:t>
      </w:r>
      <w:r w:rsidR="00E47E29">
        <w:rPr>
          <w:sz w:val="20"/>
          <w:vertAlign w:val="subscript"/>
        </w:rPr>
        <w:t>1</w:t>
      </w:r>
      <w:r w:rsidR="00E47E29">
        <w:rPr>
          <w:sz w:val="20"/>
        </w:rPr>
        <w:t xml:space="preserve"> </w:t>
      </w:r>
      <w:r w:rsidR="003251BB">
        <w:rPr>
          <w:sz w:val="20"/>
        </w:rPr>
        <w:t>at the lower left corner where they meet.</w:t>
      </w:r>
    </w:p>
    <w:p w:rsidR="008939B9" w:rsidRDefault="008939B9" w:rsidP="00A44435">
      <w:pPr>
        <w:spacing w:line="480" w:lineRule="auto"/>
        <w:ind w:firstLine="708"/>
        <w:rPr>
          <w:sz w:val="20"/>
        </w:rPr>
      </w:pPr>
      <w:r>
        <w:rPr>
          <w:sz w:val="20"/>
        </w:rPr>
        <w:t>Dimensionless variables used in the analysis were defined according to,</w:t>
      </w:r>
    </w:p>
    <w:p w:rsidR="008939B9" w:rsidRDefault="00DE22B4" w:rsidP="00A44435">
      <w:pPr>
        <w:pStyle w:val="equation"/>
        <w:spacing w:before="0" w:after="0" w:line="480" w:lineRule="auto"/>
        <w:jc w:val="left"/>
        <w:rPr>
          <w:sz w:val="20"/>
        </w:rPr>
      </w:pPr>
      <w:r w:rsidRPr="00DE22B4">
        <w:rPr>
          <w:position w:val="-20"/>
          <w:sz w:val="20"/>
        </w:rPr>
        <w:object w:dxaOrig="16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26pt" o:ole="">
            <v:imagedata r:id="rId8" o:title=""/>
          </v:shape>
          <o:OLEObject Type="Embed" ProgID="Equation.3" ShapeID="_x0000_i1025" DrawAspect="Content" ObjectID="_1428071808" r:id="rId9"/>
        </w:object>
      </w:r>
      <w:r w:rsidR="008939B9">
        <w:rPr>
          <w:sz w:val="20"/>
        </w:rPr>
        <w:t xml:space="preserve">     ,                   </w:t>
      </w:r>
      <w:r w:rsidR="003251BB">
        <w:rPr>
          <w:sz w:val="20"/>
        </w:rPr>
        <w:t xml:space="preserve">                     </w:t>
      </w:r>
      <w:r w:rsidR="008939B9">
        <w:rPr>
          <w:sz w:val="20"/>
        </w:rPr>
        <w:t xml:space="preserve">                              </w:t>
      </w:r>
      <w:r>
        <w:rPr>
          <w:sz w:val="20"/>
        </w:rPr>
        <w:t xml:space="preserve">     </w:t>
      </w:r>
      <w:r w:rsidR="008939B9">
        <w:rPr>
          <w:sz w:val="20"/>
        </w:rPr>
        <w:t xml:space="preserve">                                          </w:t>
      </w:r>
      <w:r w:rsidR="00420A20">
        <w:rPr>
          <w:sz w:val="20"/>
        </w:rPr>
        <w:t xml:space="preserve">                       </w:t>
      </w:r>
      <w:r w:rsidR="008939B9">
        <w:rPr>
          <w:sz w:val="20"/>
        </w:rPr>
        <w:t xml:space="preserve">          (</w:t>
      </w:r>
      <w:r w:rsidR="003251BB">
        <w:rPr>
          <w:sz w:val="20"/>
        </w:rPr>
        <w:t>1</w:t>
      </w:r>
      <w:r w:rsidR="008939B9">
        <w:rPr>
          <w:sz w:val="20"/>
        </w:rPr>
        <w:t>)</w:t>
      </w:r>
    </w:p>
    <w:p w:rsidR="008939B9" w:rsidRDefault="001D360B" w:rsidP="00A44435">
      <w:pPr>
        <w:pStyle w:val="equation"/>
        <w:spacing w:before="0" w:after="0" w:line="480" w:lineRule="auto"/>
        <w:jc w:val="left"/>
        <w:rPr>
          <w:sz w:val="20"/>
        </w:rPr>
      </w:pPr>
      <w:r w:rsidRPr="00BD6F8C">
        <w:rPr>
          <w:position w:val="-30"/>
          <w:sz w:val="20"/>
        </w:rPr>
        <w:object w:dxaOrig="6660" w:dyaOrig="700">
          <v:shape id="_x0000_i1026" type="#_x0000_t75" style="width:333pt;height:35pt" o:ole="">
            <v:imagedata r:id="rId10" o:title=""/>
          </v:shape>
          <o:OLEObject Type="Embed" ProgID="Equation.3" ShapeID="_x0000_i1026" DrawAspect="Content" ObjectID="_1428071809" r:id="rId11"/>
        </w:object>
      </w:r>
      <w:r w:rsidR="003251BB">
        <w:rPr>
          <w:sz w:val="20"/>
        </w:rPr>
        <w:t xml:space="preserve">     </w:t>
      </w:r>
      <w:r w:rsidR="00233C43">
        <w:rPr>
          <w:sz w:val="20"/>
        </w:rPr>
        <w:t>.</w:t>
      </w:r>
      <w:r w:rsidR="003251BB">
        <w:rPr>
          <w:sz w:val="20"/>
        </w:rPr>
        <w:t xml:space="preserve">  </w:t>
      </w:r>
      <w:r w:rsidR="008939B9">
        <w:rPr>
          <w:sz w:val="20"/>
        </w:rPr>
        <w:t xml:space="preserve">     </w:t>
      </w:r>
      <w:r w:rsidR="00BD6F8C">
        <w:rPr>
          <w:sz w:val="20"/>
        </w:rPr>
        <w:t xml:space="preserve">      </w:t>
      </w:r>
      <w:r w:rsidR="00DE22B4">
        <w:rPr>
          <w:sz w:val="20"/>
        </w:rPr>
        <w:t xml:space="preserve">         </w:t>
      </w:r>
      <w:r w:rsidR="008939B9">
        <w:rPr>
          <w:sz w:val="20"/>
        </w:rPr>
        <w:t xml:space="preserve">   </w:t>
      </w:r>
      <w:r w:rsidR="00420A20">
        <w:rPr>
          <w:sz w:val="20"/>
        </w:rPr>
        <w:t xml:space="preserve">                      </w:t>
      </w:r>
      <w:r w:rsidR="008939B9">
        <w:rPr>
          <w:sz w:val="20"/>
        </w:rPr>
        <w:t xml:space="preserve"> (</w:t>
      </w:r>
      <w:r w:rsidR="003251BB">
        <w:rPr>
          <w:sz w:val="20"/>
        </w:rPr>
        <w:t>2</w:t>
      </w:r>
      <w:r w:rsidR="008939B9">
        <w:rPr>
          <w:sz w:val="20"/>
        </w:rPr>
        <w:t>)</w:t>
      </w:r>
    </w:p>
    <w:p w:rsidR="008939B9" w:rsidRDefault="008939B9" w:rsidP="00A44435">
      <w:pPr>
        <w:spacing w:line="480" w:lineRule="auto"/>
        <w:rPr>
          <w:sz w:val="20"/>
        </w:rPr>
      </w:pPr>
      <w:r>
        <w:rPr>
          <w:sz w:val="20"/>
        </w:rPr>
        <w:t xml:space="preserve">Here </w:t>
      </w:r>
      <w:r w:rsidR="002923F3">
        <w:rPr>
          <w:sz w:val="20"/>
        </w:rPr>
        <w:t>L is the dimensional length of the square enclosure,</w:t>
      </w:r>
      <w:r>
        <w:rPr>
          <w:sz w:val="20"/>
        </w:rPr>
        <w:t xml:space="preserve"> u* and v* are the dimensional velocity components in the x* and y* directions respectively, </w:t>
      </w:r>
      <w:r w:rsidR="002923F3">
        <w:rPr>
          <w:sz w:val="20"/>
        </w:rPr>
        <w:t>p*</w:t>
      </w:r>
      <w:r>
        <w:rPr>
          <w:sz w:val="20"/>
        </w:rPr>
        <w:t xml:space="preserve"> is the </w:t>
      </w:r>
      <w:r w:rsidR="002923F3">
        <w:rPr>
          <w:sz w:val="20"/>
        </w:rPr>
        <w:t xml:space="preserve">dimensional pressure, </w:t>
      </w:r>
      <w:r w:rsidR="002923F3">
        <w:rPr>
          <w:sz w:val="20"/>
        </w:rPr>
        <w:sym w:font="Symbol" w:char="F072"/>
      </w:r>
      <w:r w:rsidR="002923F3">
        <w:rPr>
          <w:sz w:val="20"/>
          <w:vertAlign w:val="subscript"/>
        </w:rPr>
        <w:t>0</w:t>
      </w:r>
      <w:r w:rsidR="002923F3">
        <w:rPr>
          <w:sz w:val="20"/>
        </w:rPr>
        <w:t xml:space="preserve"> is the density of the fluid at temperature </w:t>
      </w:r>
      <w:r>
        <w:rPr>
          <w:sz w:val="20"/>
        </w:rPr>
        <w:t>T</w:t>
      </w:r>
      <w:r w:rsidR="002923F3">
        <w:rPr>
          <w:sz w:val="20"/>
          <w:vertAlign w:val="subscript"/>
        </w:rPr>
        <w:t>0</w:t>
      </w:r>
      <w:r>
        <w:rPr>
          <w:sz w:val="20"/>
        </w:rPr>
        <w:t xml:space="preserve"> </w:t>
      </w:r>
      <w:r w:rsidR="002923F3">
        <w:rPr>
          <w:sz w:val="20"/>
        </w:rPr>
        <w:t xml:space="preserve">and </w:t>
      </w:r>
      <w:r>
        <w:rPr>
          <w:sz w:val="20"/>
        </w:rPr>
        <w:sym w:font="Symbol" w:char="F061"/>
      </w:r>
      <w:r>
        <w:rPr>
          <w:sz w:val="20"/>
        </w:rPr>
        <w:t xml:space="preserve"> is the thermal diffusivity of the fluid</w:t>
      </w:r>
      <w:r w:rsidR="002923F3">
        <w:rPr>
          <w:sz w:val="20"/>
        </w:rPr>
        <w:t>.</w:t>
      </w:r>
      <w:r>
        <w:rPr>
          <w:sz w:val="20"/>
        </w:rPr>
        <w:t xml:space="preserve"> The magnetic Reynolds number was assumed to be small and the induced magnetic field due to the motion of the electrically conducting fluid was neglected. The Joule heating of the fluid and the effect of viscous dissipation were also considered to be negligible.</w:t>
      </w:r>
    </w:p>
    <w:p w:rsidR="00262024" w:rsidRDefault="00262024" w:rsidP="00A44435">
      <w:pPr>
        <w:spacing w:line="480" w:lineRule="auto"/>
        <w:ind w:firstLine="708"/>
        <w:rPr>
          <w:sz w:val="20"/>
        </w:rPr>
      </w:pPr>
      <w:r>
        <w:rPr>
          <w:sz w:val="20"/>
        </w:rPr>
        <w:t>A dimensionless stream function and vorticity were defined as follows,</w:t>
      </w:r>
    </w:p>
    <w:p w:rsidR="00262024" w:rsidRDefault="00262024" w:rsidP="00A44435">
      <w:pPr>
        <w:pStyle w:val="equation"/>
        <w:spacing w:before="0" w:after="0" w:line="480" w:lineRule="auto"/>
        <w:jc w:val="left"/>
        <w:rPr>
          <w:sz w:val="20"/>
        </w:rPr>
      </w:pPr>
      <w:r w:rsidRPr="00C36B9C">
        <w:rPr>
          <w:position w:val="-26"/>
          <w:sz w:val="20"/>
        </w:rPr>
        <w:object w:dxaOrig="1780" w:dyaOrig="600">
          <v:shape id="_x0000_i1027" type="#_x0000_t75" style="width:89pt;height:30pt" o:ole="">
            <v:imagedata r:id="rId12" o:title=""/>
          </v:shape>
          <o:OLEObject Type="Embed" ProgID="Equation.3" ShapeID="_x0000_i1027" DrawAspect="Content" ObjectID="_1428071810" r:id="rId13"/>
        </w:object>
      </w:r>
      <w:r>
        <w:rPr>
          <w:sz w:val="20"/>
        </w:rPr>
        <w:t xml:space="preserve">     ,                                                                                                           </w:t>
      </w:r>
      <w:r w:rsidR="00420A20">
        <w:rPr>
          <w:sz w:val="20"/>
        </w:rPr>
        <w:t xml:space="preserve">                       </w:t>
      </w:r>
      <w:r>
        <w:rPr>
          <w:sz w:val="20"/>
        </w:rPr>
        <w:t xml:space="preserve">                (3)</w:t>
      </w:r>
    </w:p>
    <w:p w:rsidR="00262024" w:rsidRPr="00C36B9C" w:rsidRDefault="00262024" w:rsidP="00A44435">
      <w:pPr>
        <w:spacing w:line="480" w:lineRule="auto"/>
        <w:rPr>
          <w:sz w:val="20"/>
        </w:rPr>
      </w:pPr>
      <w:r w:rsidRPr="00C36B9C">
        <w:rPr>
          <w:position w:val="-26"/>
        </w:rPr>
        <w:object w:dxaOrig="1080" w:dyaOrig="600">
          <v:shape id="_x0000_i1028" type="#_x0000_t75" style="width:54pt;height:30pt" o:ole="">
            <v:imagedata r:id="rId14" o:title=""/>
          </v:shape>
          <o:OLEObject Type="Embed" ProgID="Equation.3" ShapeID="_x0000_i1028" DrawAspect="Content" ObjectID="_1428071811" r:id="rId15"/>
        </w:object>
      </w:r>
      <w:r w:rsidRPr="00C36B9C">
        <w:rPr>
          <w:sz w:val="20"/>
        </w:rPr>
        <w:t xml:space="preserve">     .         </w:t>
      </w:r>
      <w:r>
        <w:rPr>
          <w:sz w:val="20"/>
        </w:rPr>
        <w:t xml:space="preserve">                                                                                                        </w:t>
      </w:r>
      <w:r w:rsidRPr="00C36B9C">
        <w:rPr>
          <w:sz w:val="20"/>
        </w:rPr>
        <w:t xml:space="preserve">      </w:t>
      </w:r>
      <w:r w:rsidR="00420A20">
        <w:rPr>
          <w:sz w:val="20"/>
        </w:rPr>
        <w:t xml:space="preserve">                       </w:t>
      </w:r>
      <w:r w:rsidRPr="00C36B9C">
        <w:rPr>
          <w:sz w:val="20"/>
        </w:rPr>
        <w:t xml:space="preserve">                </w:t>
      </w:r>
      <w:r>
        <w:rPr>
          <w:sz w:val="20"/>
        </w:rPr>
        <w:t xml:space="preserve"> </w:t>
      </w:r>
      <w:r w:rsidRPr="00C36B9C">
        <w:rPr>
          <w:sz w:val="20"/>
        </w:rPr>
        <w:t xml:space="preserve"> (</w:t>
      </w:r>
      <w:r>
        <w:rPr>
          <w:sz w:val="20"/>
        </w:rPr>
        <w:t>4</w:t>
      </w:r>
      <w:r w:rsidRPr="00C36B9C">
        <w:rPr>
          <w:sz w:val="20"/>
        </w:rPr>
        <w:t>)</w:t>
      </w:r>
    </w:p>
    <w:p w:rsidR="00262024" w:rsidRDefault="00262024" w:rsidP="00A44435">
      <w:pPr>
        <w:spacing w:line="480" w:lineRule="auto"/>
        <w:ind w:firstLine="708"/>
        <w:rPr>
          <w:sz w:val="20"/>
        </w:rPr>
      </w:pPr>
    </w:p>
    <w:p w:rsidR="008939B9" w:rsidRDefault="008939B9" w:rsidP="00A44435">
      <w:pPr>
        <w:spacing w:line="480" w:lineRule="auto"/>
        <w:rPr>
          <w:sz w:val="20"/>
        </w:rPr>
      </w:pPr>
      <w:r>
        <w:rPr>
          <w:sz w:val="20"/>
        </w:rPr>
        <w:t xml:space="preserve">The </w:t>
      </w:r>
      <w:r w:rsidR="00B97996">
        <w:rPr>
          <w:sz w:val="20"/>
        </w:rPr>
        <w:t xml:space="preserve">governing equations </w:t>
      </w:r>
      <w:r>
        <w:rPr>
          <w:sz w:val="20"/>
        </w:rPr>
        <w:t xml:space="preserve">under Boussinesq approximation </w:t>
      </w:r>
      <w:r w:rsidR="00B97996">
        <w:rPr>
          <w:sz w:val="20"/>
        </w:rPr>
        <w:t xml:space="preserve">in terms of the dimensionless variables </w:t>
      </w:r>
      <w:r>
        <w:rPr>
          <w:sz w:val="20"/>
        </w:rPr>
        <w:t xml:space="preserve">may </w:t>
      </w:r>
      <w:r w:rsidR="00262024">
        <w:rPr>
          <w:sz w:val="20"/>
        </w:rPr>
        <w:t xml:space="preserve">then </w:t>
      </w:r>
      <w:r>
        <w:rPr>
          <w:sz w:val="20"/>
        </w:rPr>
        <w:t>be written as</w:t>
      </w:r>
    </w:p>
    <w:p w:rsidR="008939B9" w:rsidRDefault="00E168D2" w:rsidP="00A44435">
      <w:pPr>
        <w:pStyle w:val="equation"/>
        <w:spacing w:line="480" w:lineRule="auto"/>
        <w:jc w:val="left"/>
      </w:pPr>
      <w:r w:rsidRPr="00E168D2">
        <w:rPr>
          <w:position w:val="-8"/>
        </w:rPr>
        <w:object w:dxaOrig="920" w:dyaOrig="320">
          <v:shape id="_x0000_i1029" type="#_x0000_t75" style="width:46pt;height:16pt" o:ole="">
            <v:imagedata r:id="rId16" o:title=""/>
          </v:shape>
          <o:OLEObject Type="Embed" ProgID="Equation.3" ShapeID="_x0000_i1029" DrawAspect="Content" ObjectID="_1428071812" r:id="rId17"/>
        </w:object>
      </w:r>
      <w:r w:rsidR="008939B9" w:rsidRPr="00E04ADD">
        <w:rPr>
          <w:sz w:val="20"/>
        </w:rPr>
        <w:t xml:space="preserve">     ,       </w:t>
      </w:r>
      <w:r w:rsidR="00E04ADD">
        <w:rPr>
          <w:sz w:val="20"/>
        </w:rPr>
        <w:t xml:space="preserve">    </w:t>
      </w:r>
      <w:r w:rsidR="00262024">
        <w:rPr>
          <w:sz w:val="20"/>
        </w:rPr>
        <w:t xml:space="preserve">    </w:t>
      </w:r>
      <w:r w:rsidR="00E04ADD">
        <w:rPr>
          <w:sz w:val="20"/>
        </w:rPr>
        <w:t xml:space="preserve">                  </w:t>
      </w:r>
      <w:r w:rsidR="008939B9" w:rsidRPr="00E04ADD">
        <w:rPr>
          <w:sz w:val="20"/>
        </w:rPr>
        <w:t xml:space="preserve">       </w:t>
      </w:r>
      <w:r w:rsidR="00C36B9C">
        <w:rPr>
          <w:sz w:val="20"/>
        </w:rPr>
        <w:t xml:space="preserve">   </w:t>
      </w:r>
      <w:r w:rsidR="008939B9" w:rsidRPr="00E04ADD">
        <w:rPr>
          <w:sz w:val="20"/>
        </w:rPr>
        <w:t xml:space="preserve">                   </w:t>
      </w:r>
      <w:r w:rsidR="00C36B9C">
        <w:rPr>
          <w:sz w:val="20"/>
        </w:rPr>
        <w:t xml:space="preserve">     </w:t>
      </w:r>
      <w:r w:rsidR="008939B9" w:rsidRPr="00E04ADD">
        <w:rPr>
          <w:sz w:val="20"/>
        </w:rPr>
        <w:t xml:space="preserve">                                                 </w:t>
      </w:r>
      <w:r w:rsidR="00420A20">
        <w:rPr>
          <w:sz w:val="20"/>
        </w:rPr>
        <w:t xml:space="preserve">                      </w:t>
      </w:r>
      <w:r w:rsidR="008939B9" w:rsidRPr="00E04ADD">
        <w:rPr>
          <w:sz w:val="20"/>
        </w:rPr>
        <w:t xml:space="preserve">                         </w:t>
      </w:r>
      <w:r w:rsidR="008939B9">
        <w:rPr>
          <w:sz w:val="20"/>
        </w:rPr>
        <w:t>(</w:t>
      </w:r>
      <w:r w:rsidR="00262024">
        <w:rPr>
          <w:sz w:val="20"/>
        </w:rPr>
        <w:t>5</w:t>
      </w:r>
      <w:r w:rsidR="008939B9">
        <w:rPr>
          <w:sz w:val="20"/>
        </w:rPr>
        <w:t>)</w:t>
      </w:r>
    </w:p>
    <w:p w:rsidR="008939B9" w:rsidRPr="00A44435" w:rsidRDefault="00E168D2" w:rsidP="00A44435">
      <w:pPr>
        <w:pStyle w:val="equation"/>
        <w:spacing w:line="480" w:lineRule="auto"/>
        <w:jc w:val="left"/>
        <w:rPr>
          <w:sz w:val="20"/>
        </w:rPr>
      </w:pPr>
      <w:r w:rsidRPr="00E168D2">
        <w:rPr>
          <w:position w:val="-64"/>
          <w:sz w:val="20"/>
        </w:rPr>
        <w:object w:dxaOrig="6259" w:dyaOrig="1380">
          <v:shape id="_x0000_i1030" type="#_x0000_t75" style="width:313pt;height:69pt" o:ole="">
            <v:imagedata r:id="rId18" o:title=""/>
          </v:shape>
          <o:OLEObject Type="Embed" ProgID="Equation.3" ShapeID="_x0000_i1030" DrawAspect="Content" ObjectID="_1428071813" r:id="rId19"/>
        </w:object>
      </w:r>
      <w:r w:rsidR="00E04ADD" w:rsidRPr="00E04ADD">
        <w:rPr>
          <w:sz w:val="20"/>
        </w:rPr>
        <w:t xml:space="preserve">    ,    </w:t>
      </w:r>
      <w:r w:rsidR="00E04ADD">
        <w:rPr>
          <w:sz w:val="20"/>
        </w:rPr>
        <w:t xml:space="preserve">          </w:t>
      </w:r>
      <w:r w:rsidR="0012517B">
        <w:rPr>
          <w:sz w:val="20"/>
        </w:rPr>
        <w:t xml:space="preserve"> </w:t>
      </w:r>
      <w:r w:rsidR="008939B9">
        <w:rPr>
          <w:sz w:val="20"/>
        </w:rPr>
        <w:t xml:space="preserve">     </w:t>
      </w:r>
      <w:r w:rsidR="008939B9" w:rsidRPr="00A44435">
        <w:rPr>
          <w:sz w:val="20"/>
        </w:rPr>
        <w:t xml:space="preserve">   </w:t>
      </w:r>
      <w:r w:rsidR="00420A20">
        <w:rPr>
          <w:sz w:val="20"/>
        </w:rPr>
        <w:t xml:space="preserve">                      </w:t>
      </w:r>
      <w:r w:rsidRPr="00A44435">
        <w:rPr>
          <w:sz w:val="20"/>
        </w:rPr>
        <w:t xml:space="preserve">       </w:t>
      </w:r>
      <w:r w:rsidR="008939B9" w:rsidRPr="00A44435">
        <w:rPr>
          <w:sz w:val="20"/>
        </w:rPr>
        <w:t xml:space="preserve">     (</w:t>
      </w:r>
      <w:r w:rsidR="0012517B" w:rsidRPr="00A44435">
        <w:rPr>
          <w:sz w:val="20"/>
        </w:rPr>
        <w:t>6</w:t>
      </w:r>
      <w:r w:rsidR="008939B9" w:rsidRPr="00A44435">
        <w:rPr>
          <w:sz w:val="20"/>
        </w:rPr>
        <w:t>)</w:t>
      </w:r>
    </w:p>
    <w:p w:rsidR="008939B9" w:rsidRDefault="00E04ADD" w:rsidP="00A44435">
      <w:pPr>
        <w:pStyle w:val="equation"/>
        <w:spacing w:line="480" w:lineRule="auto"/>
        <w:jc w:val="left"/>
      </w:pPr>
      <w:r w:rsidRPr="00E04ADD">
        <w:rPr>
          <w:position w:val="-30"/>
        </w:rPr>
        <w:object w:dxaOrig="2120" w:dyaOrig="680">
          <v:shape id="_x0000_i1031" type="#_x0000_t75" style="width:106pt;height:34pt" o:ole="">
            <v:imagedata r:id="rId20" o:title=""/>
          </v:shape>
          <o:OLEObject Type="Embed" ProgID="Equation.3" ShapeID="_x0000_i1031" DrawAspect="Content" ObjectID="_1428071814" r:id="rId21"/>
        </w:object>
      </w:r>
      <w:r w:rsidR="008939B9">
        <w:rPr>
          <w:sz w:val="20"/>
        </w:rPr>
        <w:t xml:space="preserve">    </w:t>
      </w:r>
      <w:r w:rsidR="007415F2">
        <w:rPr>
          <w:sz w:val="20"/>
        </w:rPr>
        <w:t>.</w:t>
      </w:r>
      <w:r w:rsidR="008939B9">
        <w:rPr>
          <w:sz w:val="20"/>
        </w:rPr>
        <w:t xml:space="preserve">                                                                                                    </w:t>
      </w:r>
      <w:r w:rsidR="00420A20">
        <w:rPr>
          <w:sz w:val="20"/>
        </w:rPr>
        <w:t xml:space="preserve">                      </w:t>
      </w:r>
      <w:r w:rsidR="008939B9">
        <w:rPr>
          <w:sz w:val="20"/>
        </w:rPr>
        <w:t xml:space="preserve">               </w:t>
      </w:r>
      <w:r>
        <w:rPr>
          <w:sz w:val="20"/>
        </w:rPr>
        <w:t xml:space="preserve">  </w:t>
      </w:r>
      <w:r w:rsidR="008939B9">
        <w:rPr>
          <w:sz w:val="20"/>
        </w:rPr>
        <w:t xml:space="preserve"> (</w:t>
      </w:r>
      <w:r w:rsidR="001D360B">
        <w:rPr>
          <w:sz w:val="20"/>
        </w:rPr>
        <w:t>7</w:t>
      </w:r>
      <w:r w:rsidR="008939B9">
        <w:rPr>
          <w:sz w:val="20"/>
        </w:rPr>
        <w:t>)</w:t>
      </w:r>
    </w:p>
    <w:p w:rsidR="00E04ADD" w:rsidRDefault="007415F2" w:rsidP="00A44435">
      <w:pPr>
        <w:spacing w:line="480" w:lineRule="auto"/>
        <w:jc w:val="both"/>
        <w:rPr>
          <w:sz w:val="20"/>
        </w:rPr>
      </w:pPr>
      <w:r>
        <w:rPr>
          <w:sz w:val="20"/>
        </w:rPr>
        <w:t>H</w:t>
      </w:r>
      <w:r w:rsidR="008939B9">
        <w:rPr>
          <w:sz w:val="20"/>
        </w:rPr>
        <w:t xml:space="preserve">ere the </w:t>
      </w:r>
      <w:r w:rsidR="00E04ADD">
        <w:rPr>
          <w:sz w:val="20"/>
        </w:rPr>
        <w:t xml:space="preserve">Prandtl, Grashof and </w:t>
      </w:r>
      <w:r w:rsidR="00130394">
        <w:rPr>
          <w:sz w:val="20"/>
        </w:rPr>
        <w:t>Hartmann</w:t>
      </w:r>
      <w:r w:rsidR="00E04ADD">
        <w:rPr>
          <w:sz w:val="20"/>
        </w:rPr>
        <w:t xml:space="preserve"> numbers are defined</w:t>
      </w:r>
      <w:r>
        <w:rPr>
          <w:sz w:val="20"/>
        </w:rPr>
        <w:t xml:space="preserve"> as follows</w:t>
      </w:r>
    </w:p>
    <w:p w:rsidR="008939B9" w:rsidRDefault="007415F2" w:rsidP="00A44435">
      <w:pPr>
        <w:spacing w:line="480" w:lineRule="auto"/>
        <w:jc w:val="both"/>
        <w:rPr>
          <w:sz w:val="20"/>
        </w:rPr>
      </w:pPr>
      <w:r w:rsidRPr="00E04ADD">
        <w:rPr>
          <w:position w:val="-30"/>
          <w:sz w:val="20"/>
        </w:rPr>
        <w:object w:dxaOrig="4720" w:dyaOrig="700">
          <v:shape id="_x0000_i1032" type="#_x0000_t75" style="width:236pt;height:35pt" o:ole="">
            <v:imagedata r:id="rId22" o:title=""/>
          </v:shape>
          <o:OLEObject Type="Embed" ProgID="Equation.3" ShapeID="_x0000_i1032" DrawAspect="Content" ObjectID="_1428071815" r:id="rId23"/>
        </w:object>
      </w:r>
      <w:r w:rsidR="00E04ADD">
        <w:rPr>
          <w:sz w:val="20"/>
        </w:rPr>
        <w:t xml:space="preserve">   </w:t>
      </w:r>
      <w:r>
        <w:rPr>
          <w:sz w:val="20"/>
        </w:rPr>
        <w:t>,</w:t>
      </w:r>
      <w:r w:rsidR="00E04ADD">
        <w:rPr>
          <w:sz w:val="20"/>
        </w:rPr>
        <w:t xml:space="preserve">           </w:t>
      </w:r>
      <w:r w:rsidR="008939B9">
        <w:rPr>
          <w:sz w:val="20"/>
        </w:rPr>
        <w:t xml:space="preserve">                               </w:t>
      </w:r>
      <w:r w:rsidR="00420A20">
        <w:rPr>
          <w:sz w:val="20"/>
        </w:rPr>
        <w:t xml:space="preserve">                      </w:t>
      </w:r>
      <w:r w:rsidR="008939B9">
        <w:rPr>
          <w:sz w:val="20"/>
        </w:rPr>
        <w:t xml:space="preserve">              </w:t>
      </w:r>
      <w:r>
        <w:rPr>
          <w:sz w:val="20"/>
        </w:rPr>
        <w:t xml:space="preserve">   </w:t>
      </w:r>
      <w:r w:rsidR="008939B9">
        <w:rPr>
          <w:sz w:val="20"/>
        </w:rPr>
        <w:t xml:space="preserve">        (</w:t>
      </w:r>
      <w:r w:rsidR="001D360B">
        <w:rPr>
          <w:sz w:val="20"/>
        </w:rPr>
        <w:t>8</w:t>
      </w:r>
      <w:r w:rsidR="008939B9">
        <w:rPr>
          <w:sz w:val="20"/>
        </w:rPr>
        <w:t>)</w:t>
      </w:r>
    </w:p>
    <w:p w:rsidR="008939B9" w:rsidRDefault="008939B9" w:rsidP="00A44435">
      <w:pPr>
        <w:pStyle w:val="email"/>
        <w:spacing w:before="0" w:line="480" w:lineRule="auto"/>
      </w:pPr>
      <w:r>
        <w:t xml:space="preserve">where </w:t>
      </w:r>
      <w:r w:rsidR="00DE22B4">
        <w:sym w:font="Symbol" w:char="F06D"/>
      </w:r>
      <w:r w:rsidR="00DE22B4">
        <w:t xml:space="preserve"> is the viscosity, </w:t>
      </w:r>
      <w:r w:rsidR="00DE22B4">
        <w:sym w:font="Symbol" w:char="F062"/>
      </w:r>
      <w:r w:rsidR="00DE22B4">
        <w:t xml:space="preserve"> is the coefficient of thermal expansion and </w:t>
      </w:r>
      <w:r>
        <w:sym w:font="Symbol" w:char="F073"/>
      </w:r>
      <w:r>
        <w:t xml:space="preserve"> is the electrical conductivity of the fluid respectively. Boundary conditions are</w:t>
      </w:r>
    </w:p>
    <w:p w:rsidR="008939B9" w:rsidRDefault="00562020" w:rsidP="00A44435">
      <w:pPr>
        <w:pStyle w:val="equation"/>
        <w:spacing w:line="480" w:lineRule="auto"/>
        <w:jc w:val="left"/>
        <w:rPr>
          <w:sz w:val="20"/>
        </w:rPr>
      </w:pPr>
      <w:r w:rsidRPr="00562020">
        <w:rPr>
          <w:position w:val="-10"/>
          <w:sz w:val="20"/>
        </w:rPr>
        <w:object w:dxaOrig="4180" w:dyaOrig="279">
          <v:shape id="_x0000_i1033" type="#_x0000_t75" style="width:209pt;height:14pt" o:ole="">
            <v:imagedata r:id="rId24" o:title=""/>
          </v:shape>
          <o:OLEObject Type="Embed" ProgID="Equation.3" ShapeID="_x0000_i1033" DrawAspect="Content" ObjectID="_1428071816" r:id="rId25"/>
        </w:object>
      </w:r>
      <w:r w:rsidR="008939B9">
        <w:rPr>
          <w:sz w:val="20"/>
        </w:rPr>
        <w:t xml:space="preserve">    ,       </w:t>
      </w:r>
      <w:r>
        <w:rPr>
          <w:sz w:val="20"/>
        </w:rPr>
        <w:t xml:space="preserve">                                           </w:t>
      </w:r>
      <w:r w:rsidR="00420A20">
        <w:rPr>
          <w:sz w:val="20"/>
        </w:rPr>
        <w:t xml:space="preserve">                       </w:t>
      </w:r>
      <w:r>
        <w:rPr>
          <w:sz w:val="20"/>
        </w:rPr>
        <w:t xml:space="preserve">       </w:t>
      </w:r>
      <w:r w:rsidR="008939B9">
        <w:rPr>
          <w:sz w:val="20"/>
        </w:rPr>
        <w:t xml:space="preserve">            </w:t>
      </w:r>
      <w:r>
        <w:rPr>
          <w:sz w:val="20"/>
        </w:rPr>
        <w:t xml:space="preserve">  </w:t>
      </w:r>
      <w:r w:rsidR="008939B9">
        <w:rPr>
          <w:sz w:val="20"/>
        </w:rPr>
        <w:t xml:space="preserve">     (</w:t>
      </w:r>
      <w:r w:rsidR="001D360B">
        <w:rPr>
          <w:sz w:val="20"/>
        </w:rPr>
        <w:t>9</w:t>
      </w:r>
      <w:r w:rsidR="008939B9">
        <w:rPr>
          <w:sz w:val="20"/>
        </w:rPr>
        <w:t>)</w:t>
      </w:r>
    </w:p>
    <w:p w:rsidR="00562020" w:rsidRPr="00C36B9C" w:rsidRDefault="00562020" w:rsidP="00A44435">
      <w:pPr>
        <w:pStyle w:val="equation"/>
        <w:spacing w:line="480" w:lineRule="auto"/>
        <w:jc w:val="left"/>
        <w:rPr>
          <w:sz w:val="20"/>
        </w:rPr>
      </w:pPr>
      <w:r w:rsidRPr="00562020">
        <w:rPr>
          <w:position w:val="-10"/>
          <w:sz w:val="20"/>
        </w:rPr>
        <w:object w:dxaOrig="4220" w:dyaOrig="300">
          <v:shape id="_x0000_i1034" type="#_x0000_t75" style="width:211pt;height:15pt" o:ole="">
            <v:imagedata r:id="rId26" o:title=""/>
          </v:shape>
          <o:OLEObject Type="Embed" ProgID="Equation.3" ShapeID="_x0000_i1034" DrawAspect="Content" ObjectID="_1428071817" r:id="rId27"/>
        </w:object>
      </w:r>
      <w:r w:rsidR="001D360B">
        <w:rPr>
          <w:sz w:val="20"/>
        </w:rPr>
        <w:t xml:space="preserve">    ,             </w:t>
      </w:r>
      <w:r>
        <w:rPr>
          <w:sz w:val="20"/>
        </w:rPr>
        <w:t xml:space="preserve">                         </w:t>
      </w:r>
      <w:r w:rsidR="00420A20">
        <w:rPr>
          <w:sz w:val="20"/>
        </w:rPr>
        <w:t xml:space="preserve">                      </w:t>
      </w:r>
      <w:r>
        <w:rPr>
          <w:sz w:val="20"/>
        </w:rPr>
        <w:t xml:space="preserve">                                    (</w:t>
      </w:r>
      <w:r w:rsidR="001D360B">
        <w:rPr>
          <w:sz w:val="20"/>
        </w:rPr>
        <w:t>10</w:t>
      </w:r>
      <w:r>
        <w:rPr>
          <w:sz w:val="20"/>
        </w:rPr>
        <w:t>)</w:t>
      </w:r>
    </w:p>
    <w:p w:rsidR="00562020" w:rsidRDefault="00C36B9C" w:rsidP="00A44435">
      <w:pPr>
        <w:pStyle w:val="equation"/>
        <w:spacing w:line="480" w:lineRule="auto"/>
        <w:jc w:val="left"/>
        <w:rPr>
          <w:sz w:val="20"/>
        </w:rPr>
      </w:pPr>
      <w:r w:rsidRPr="00562020">
        <w:rPr>
          <w:position w:val="-10"/>
          <w:sz w:val="20"/>
        </w:rPr>
        <w:object w:dxaOrig="4660" w:dyaOrig="300">
          <v:shape id="_x0000_i1035" type="#_x0000_t75" style="width:233pt;height:15pt" o:ole="">
            <v:imagedata r:id="rId28" o:title=""/>
          </v:shape>
          <o:OLEObject Type="Embed" ProgID="Equation.3" ShapeID="_x0000_i1035" DrawAspect="Content" ObjectID="_1428071818" r:id="rId29"/>
        </w:object>
      </w:r>
      <w:r w:rsidR="00562020">
        <w:rPr>
          <w:sz w:val="20"/>
        </w:rPr>
        <w:t xml:space="preserve">    </w:t>
      </w:r>
      <w:r>
        <w:rPr>
          <w:sz w:val="20"/>
        </w:rPr>
        <w:t>.</w:t>
      </w:r>
      <w:r w:rsidR="00562020">
        <w:rPr>
          <w:sz w:val="20"/>
        </w:rPr>
        <w:t xml:space="preserve">                        </w:t>
      </w:r>
      <w:r w:rsidR="00420A20">
        <w:rPr>
          <w:sz w:val="20"/>
        </w:rPr>
        <w:t xml:space="preserve">                      </w:t>
      </w:r>
      <w:r w:rsidR="00562020">
        <w:rPr>
          <w:sz w:val="20"/>
        </w:rPr>
        <w:t xml:space="preserve">                                         (1</w:t>
      </w:r>
      <w:r w:rsidR="001D360B">
        <w:rPr>
          <w:sz w:val="20"/>
        </w:rPr>
        <w:t>1</w:t>
      </w:r>
      <w:r w:rsidR="00562020">
        <w:rPr>
          <w:sz w:val="20"/>
        </w:rPr>
        <w:t>)</w:t>
      </w:r>
    </w:p>
    <w:p w:rsidR="008939B9" w:rsidRDefault="008939B9" w:rsidP="00A44435">
      <w:pPr>
        <w:spacing w:line="480" w:lineRule="auto"/>
        <w:rPr>
          <w:sz w:val="20"/>
        </w:rPr>
      </w:pPr>
      <w:r>
        <w:rPr>
          <w:sz w:val="20"/>
        </w:rPr>
        <w:t>The boundary</w:t>
      </w:r>
      <w:r w:rsidR="00F6032D">
        <w:rPr>
          <w:sz w:val="20"/>
        </w:rPr>
        <w:t xml:space="preserve"> condition given by Eqs. (</w:t>
      </w:r>
      <w:r w:rsidR="00F071AD">
        <w:rPr>
          <w:sz w:val="20"/>
        </w:rPr>
        <w:t>9</w:t>
      </w:r>
      <w:r w:rsidR="00F6032D">
        <w:rPr>
          <w:sz w:val="20"/>
        </w:rPr>
        <w:t>) and (</w:t>
      </w:r>
      <w:r w:rsidR="00F071AD">
        <w:rPr>
          <w:sz w:val="20"/>
        </w:rPr>
        <w:t>10</w:t>
      </w:r>
      <w:r w:rsidR="00F6032D">
        <w:rPr>
          <w:sz w:val="20"/>
        </w:rPr>
        <w:t>) may also be expressed in terms of the stream function.</w:t>
      </w:r>
    </w:p>
    <w:p w:rsidR="00F6032D" w:rsidRPr="00A44435" w:rsidRDefault="00E168D2" w:rsidP="00A44435">
      <w:pPr>
        <w:pStyle w:val="equation"/>
        <w:spacing w:line="480" w:lineRule="auto"/>
        <w:jc w:val="left"/>
        <w:rPr>
          <w:sz w:val="20"/>
        </w:rPr>
      </w:pPr>
      <w:r w:rsidRPr="00562020">
        <w:rPr>
          <w:position w:val="-10"/>
          <w:sz w:val="20"/>
        </w:rPr>
        <w:object w:dxaOrig="4300" w:dyaOrig="300">
          <v:shape id="_x0000_i1036" type="#_x0000_t75" style="width:215pt;height:15pt" o:ole="">
            <v:imagedata r:id="rId30" o:title=""/>
          </v:shape>
          <o:OLEObject Type="Embed" ProgID="Equation.3" ShapeID="_x0000_i1036" DrawAspect="Content" ObjectID="_1428071819" r:id="rId31"/>
        </w:object>
      </w:r>
      <w:r w:rsidR="00F6032D">
        <w:rPr>
          <w:sz w:val="20"/>
        </w:rPr>
        <w:t xml:space="preserve"> </w:t>
      </w:r>
      <w:r w:rsidR="00F6032D" w:rsidRPr="00A44435">
        <w:rPr>
          <w:sz w:val="20"/>
        </w:rPr>
        <w:t xml:space="preserve">   ,                             </w:t>
      </w:r>
      <w:r w:rsidR="00420A20">
        <w:rPr>
          <w:sz w:val="20"/>
        </w:rPr>
        <w:t xml:space="preserve">                       </w:t>
      </w:r>
      <w:r w:rsidR="00F6032D" w:rsidRPr="00A44435">
        <w:rPr>
          <w:sz w:val="20"/>
        </w:rPr>
        <w:t xml:space="preserve">                                           (1</w:t>
      </w:r>
      <w:r w:rsidR="001D360B" w:rsidRPr="00A44435">
        <w:rPr>
          <w:sz w:val="20"/>
        </w:rPr>
        <w:t>2</w:t>
      </w:r>
      <w:r w:rsidR="00F6032D" w:rsidRPr="00A44435">
        <w:rPr>
          <w:sz w:val="20"/>
        </w:rPr>
        <w:t>)</w:t>
      </w:r>
    </w:p>
    <w:p w:rsidR="00F6032D" w:rsidRDefault="001C6276" w:rsidP="00A44435">
      <w:pPr>
        <w:pStyle w:val="equation"/>
        <w:spacing w:line="480" w:lineRule="auto"/>
        <w:jc w:val="left"/>
        <w:rPr>
          <w:sz w:val="20"/>
        </w:rPr>
      </w:pPr>
      <w:r w:rsidRPr="00F6032D">
        <w:rPr>
          <w:position w:val="-32"/>
          <w:sz w:val="20"/>
        </w:rPr>
        <w:object w:dxaOrig="4640" w:dyaOrig="700">
          <v:shape id="_x0000_i1037" type="#_x0000_t75" style="width:232pt;height:35pt" o:ole="">
            <v:imagedata r:id="rId32" o:title=""/>
          </v:shape>
          <o:OLEObject Type="Embed" ProgID="Equation.3" ShapeID="_x0000_i1037" DrawAspect="Content" ObjectID="_1428071820" r:id="rId33"/>
        </w:object>
      </w:r>
      <w:r w:rsidR="00F6032D">
        <w:rPr>
          <w:sz w:val="20"/>
        </w:rPr>
        <w:t xml:space="preserve">    </w:t>
      </w:r>
      <w:r w:rsidR="00B7749D">
        <w:rPr>
          <w:sz w:val="20"/>
        </w:rPr>
        <w:t>.</w:t>
      </w:r>
      <w:r w:rsidR="00F6032D">
        <w:rPr>
          <w:sz w:val="20"/>
        </w:rPr>
        <w:t xml:space="preserve">                              </w:t>
      </w:r>
      <w:r w:rsidR="00420A20">
        <w:rPr>
          <w:sz w:val="20"/>
        </w:rPr>
        <w:t xml:space="preserve">                       </w:t>
      </w:r>
      <w:r w:rsidR="00F6032D">
        <w:rPr>
          <w:sz w:val="20"/>
        </w:rPr>
        <w:t xml:space="preserve">                                   (1</w:t>
      </w:r>
      <w:r w:rsidR="001D360B">
        <w:rPr>
          <w:sz w:val="20"/>
        </w:rPr>
        <w:t>3</w:t>
      </w:r>
      <w:r w:rsidR="00F6032D">
        <w:rPr>
          <w:sz w:val="20"/>
        </w:rPr>
        <w:t>)</w:t>
      </w:r>
    </w:p>
    <w:p w:rsidR="001C6276" w:rsidRPr="001C6276" w:rsidRDefault="001C6276" w:rsidP="00A44435">
      <w:pPr>
        <w:spacing w:line="480" w:lineRule="auto"/>
      </w:pPr>
    </w:p>
    <w:p w:rsidR="00B7749D" w:rsidRDefault="00B7749D" w:rsidP="00A44435">
      <w:pPr>
        <w:pStyle w:val="heading10"/>
        <w:spacing w:before="0" w:after="0" w:line="480" w:lineRule="auto"/>
        <w:ind w:firstLine="708"/>
        <w:rPr>
          <w:rFonts w:ascii="Times New Roman" w:hAnsi="Times New Roman"/>
          <w:sz w:val="20"/>
        </w:rPr>
      </w:pPr>
      <w:r>
        <w:rPr>
          <w:rFonts w:ascii="Times New Roman" w:hAnsi="Times New Roman"/>
          <w:sz w:val="20"/>
        </w:rPr>
        <w:t>Numerical scheme</w:t>
      </w:r>
    </w:p>
    <w:p w:rsidR="009104B0" w:rsidRDefault="00F071AD" w:rsidP="00A44435">
      <w:pPr>
        <w:spacing w:line="480" w:lineRule="auto"/>
        <w:ind w:firstLine="708"/>
        <w:rPr>
          <w:sz w:val="20"/>
        </w:rPr>
      </w:pPr>
      <w:r>
        <w:rPr>
          <w:sz w:val="20"/>
        </w:rPr>
        <w:t xml:space="preserve">The dimensionless governing equations were solved </w:t>
      </w:r>
      <w:r w:rsidR="005408EC">
        <w:rPr>
          <w:sz w:val="20"/>
        </w:rPr>
        <w:t xml:space="preserve">for stream function, vorticity and temperature ratio </w:t>
      </w:r>
      <w:r>
        <w:rPr>
          <w:sz w:val="20"/>
        </w:rPr>
        <w:t>using the differential quadrature method originally proposed by Bellman et al. [</w:t>
      </w:r>
      <w:r w:rsidR="008C2E5F">
        <w:rPr>
          <w:sz w:val="20"/>
        </w:rPr>
        <w:t>6</w:t>
      </w:r>
      <w:r w:rsidR="00C341E9">
        <w:rPr>
          <w:sz w:val="20"/>
        </w:rPr>
        <w:t>,</w:t>
      </w:r>
      <w:r w:rsidR="001D4FC6">
        <w:rPr>
          <w:sz w:val="20"/>
        </w:rPr>
        <w:t xml:space="preserve"> </w:t>
      </w:r>
      <w:r w:rsidR="008C2E5F">
        <w:rPr>
          <w:sz w:val="20"/>
        </w:rPr>
        <w:t>7</w:t>
      </w:r>
      <w:r>
        <w:rPr>
          <w:sz w:val="20"/>
        </w:rPr>
        <w:t>]</w:t>
      </w:r>
      <w:r w:rsidR="00046EF2">
        <w:rPr>
          <w:sz w:val="20"/>
        </w:rPr>
        <w:t xml:space="preserve">. </w:t>
      </w:r>
      <w:r w:rsidR="005408EC">
        <w:rPr>
          <w:sz w:val="20"/>
        </w:rPr>
        <w:t xml:space="preserve">The basis of the method is to </w:t>
      </w:r>
      <w:r w:rsidR="009104B0">
        <w:rPr>
          <w:sz w:val="20"/>
        </w:rPr>
        <w:t>assume that the unknown functions can be locally approximated as polynomials. The first and second order partial derivatives of a two-variable function F(x,y) at a point (x</w:t>
      </w:r>
      <w:r w:rsidR="009104B0" w:rsidRPr="009104B0">
        <w:rPr>
          <w:sz w:val="20"/>
          <w:vertAlign w:val="subscript"/>
        </w:rPr>
        <w:t>i</w:t>
      </w:r>
      <w:r w:rsidR="009104B0">
        <w:rPr>
          <w:sz w:val="20"/>
        </w:rPr>
        <w:t>,y</w:t>
      </w:r>
      <w:r w:rsidR="009104B0" w:rsidRPr="009104B0">
        <w:rPr>
          <w:sz w:val="20"/>
          <w:vertAlign w:val="subscript"/>
        </w:rPr>
        <w:t>j</w:t>
      </w:r>
      <w:r w:rsidR="009104B0">
        <w:rPr>
          <w:sz w:val="20"/>
        </w:rPr>
        <w:t>) can be approximated as</w:t>
      </w:r>
    </w:p>
    <w:p w:rsidR="009104B0" w:rsidRDefault="000170D1" w:rsidP="00A44435">
      <w:pPr>
        <w:spacing w:line="480" w:lineRule="auto"/>
        <w:rPr>
          <w:sz w:val="20"/>
        </w:rPr>
      </w:pPr>
      <w:r w:rsidRPr="009104B0">
        <w:rPr>
          <w:position w:val="-30"/>
          <w:sz w:val="20"/>
        </w:rPr>
        <w:object w:dxaOrig="5300" w:dyaOrig="720">
          <v:shape id="_x0000_i1038" type="#_x0000_t75" style="width:265pt;height:36pt" o:ole="">
            <v:imagedata r:id="rId34" o:title=""/>
          </v:shape>
          <o:OLEObject Type="Embed" ProgID="Equation.3" ShapeID="_x0000_i1038" DrawAspect="Content" ObjectID="_1428071821" r:id="rId35"/>
        </w:object>
      </w:r>
      <w:r w:rsidR="00E42878">
        <w:rPr>
          <w:sz w:val="20"/>
        </w:rPr>
        <w:t xml:space="preserve">     ,                                  </w:t>
      </w:r>
      <w:r w:rsidR="00876831">
        <w:rPr>
          <w:sz w:val="20"/>
        </w:rPr>
        <w:t xml:space="preserve">                       </w:t>
      </w:r>
      <w:r w:rsidR="00DD5E4D">
        <w:rPr>
          <w:sz w:val="20"/>
        </w:rPr>
        <w:t xml:space="preserve">              </w:t>
      </w:r>
      <w:r w:rsidR="00E42878">
        <w:rPr>
          <w:sz w:val="20"/>
        </w:rPr>
        <w:t xml:space="preserve">   (14)</w:t>
      </w:r>
    </w:p>
    <w:p w:rsidR="00E42878" w:rsidRDefault="000170D1" w:rsidP="00A44435">
      <w:pPr>
        <w:spacing w:line="480" w:lineRule="auto"/>
        <w:rPr>
          <w:sz w:val="20"/>
        </w:rPr>
      </w:pPr>
      <w:r w:rsidRPr="009104B0">
        <w:rPr>
          <w:position w:val="-30"/>
          <w:sz w:val="20"/>
        </w:rPr>
        <w:object w:dxaOrig="5460" w:dyaOrig="720">
          <v:shape id="_x0000_i1039" type="#_x0000_t75" style="width:273pt;height:36pt" o:ole="">
            <v:imagedata r:id="rId36" o:title=""/>
          </v:shape>
          <o:OLEObject Type="Embed" ProgID="Equation.3" ShapeID="_x0000_i1039" DrawAspect="Content" ObjectID="_1428071822" r:id="rId37"/>
        </w:object>
      </w:r>
      <w:r w:rsidR="00E42878">
        <w:rPr>
          <w:sz w:val="20"/>
        </w:rPr>
        <w:t xml:space="preserve">    </w:t>
      </w:r>
      <w:r w:rsidR="003C3401">
        <w:rPr>
          <w:sz w:val="20"/>
        </w:rPr>
        <w:t>.</w:t>
      </w:r>
      <w:r w:rsidR="00E42878">
        <w:rPr>
          <w:sz w:val="20"/>
        </w:rPr>
        <w:t xml:space="preserve">                                </w:t>
      </w:r>
      <w:r w:rsidR="00DD5E4D">
        <w:rPr>
          <w:sz w:val="20"/>
        </w:rPr>
        <w:t xml:space="preserve">             </w:t>
      </w:r>
      <w:r w:rsidR="00876831">
        <w:rPr>
          <w:sz w:val="20"/>
        </w:rPr>
        <w:t xml:space="preserve">                      </w:t>
      </w:r>
      <w:r w:rsidR="00DD5E4D">
        <w:rPr>
          <w:sz w:val="20"/>
        </w:rPr>
        <w:t xml:space="preserve"> </w:t>
      </w:r>
      <w:r w:rsidR="00E42878">
        <w:rPr>
          <w:sz w:val="20"/>
        </w:rPr>
        <w:t xml:space="preserve">   (15)</w:t>
      </w:r>
    </w:p>
    <w:p w:rsidR="00E42878" w:rsidRDefault="003C3401" w:rsidP="00A44435">
      <w:pPr>
        <w:spacing w:line="480" w:lineRule="auto"/>
        <w:rPr>
          <w:sz w:val="20"/>
        </w:rPr>
      </w:pPr>
      <w:r>
        <w:rPr>
          <w:sz w:val="20"/>
        </w:rPr>
        <w:lastRenderedPageBreak/>
        <w:t xml:space="preserve">Here (N-1) is the degree of the polynomial behavior assumed and </w:t>
      </w:r>
      <w:r w:rsidR="000170D1">
        <w:rPr>
          <w:sz w:val="20"/>
        </w:rPr>
        <w:t>the weight functions are given by Shu and Richards [</w:t>
      </w:r>
      <w:r w:rsidR="00332A52">
        <w:rPr>
          <w:sz w:val="20"/>
        </w:rPr>
        <w:t>2</w:t>
      </w:r>
      <w:r w:rsidR="00712F9B">
        <w:rPr>
          <w:sz w:val="20"/>
        </w:rPr>
        <w:t>7</w:t>
      </w:r>
      <w:r w:rsidR="000170D1">
        <w:rPr>
          <w:sz w:val="20"/>
        </w:rPr>
        <w:t xml:space="preserve">, </w:t>
      </w:r>
      <w:r w:rsidR="00332A52">
        <w:rPr>
          <w:sz w:val="20"/>
        </w:rPr>
        <w:t>2</w:t>
      </w:r>
      <w:r w:rsidR="00712F9B">
        <w:rPr>
          <w:sz w:val="20"/>
        </w:rPr>
        <w:t>8</w:t>
      </w:r>
      <w:r w:rsidR="00332A52">
        <w:rPr>
          <w:sz w:val="20"/>
        </w:rPr>
        <w:t>]</w:t>
      </w:r>
      <w:r w:rsidR="000170D1">
        <w:rPr>
          <w:sz w:val="20"/>
        </w:rPr>
        <w:t xml:space="preserve"> and Shu [</w:t>
      </w:r>
      <w:r w:rsidR="00C341E9">
        <w:rPr>
          <w:sz w:val="20"/>
        </w:rPr>
        <w:t>2</w:t>
      </w:r>
      <w:r w:rsidR="00712F9B">
        <w:rPr>
          <w:sz w:val="20"/>
        </w:rPr>
        <w:t>9</w:t>
      </w:r>
      <w:r w:rsidR="00332A52">
        <w:rPr>
          <w:sz w:val="20"/>
        </w:rPr>
        <w:t>]</w:t>
      </w:r>
      <w:r w:rsidR="000170D1">
        <w:rPr>
          <w:sz w:val="20"/>
        </w:rPr>
        <w:t xml:space="preserve"> as</w:t>
      </w:r>
      <w:r>
        <w:rPr>
          <w:sz w:val="20"/>
        </w:rPr>
        <w:t xml:space="preserve"> follows</w:t>
      </w:r>
    </w:p>
    <w:p w:rsidR="00B84CB7" w:rsidRDefault="00B84CB7" w:rsidP="00A44435">
      <w:pPr>
        <w:spacing w:line="480" w:lineRule="auto"/>
        <w:rPr>
          <w:sz w:val="20"/>
        </w:rPr>
      </w:pPr>
    </w:p>
    <w:p w:rsidR="003C3401" w:rsidRDefault="00C77A19" w:rsidP="00A44435">
      <w:pPr>
        <w:spacing w:line="480" w:lineRule="auto"/>
        <w:rPr>
          <w:sz w:val="20"/>
        </w:rPr>
      </w:pPr>
      <w:r w:rsidRPr="004B69B4">
        <w:rPr>
          <w:position w:val="-64"/>
          <w:sz w:val="20"/>
        </w:rPr>
        <w:object w:dxaOrig="2880" w:dyaOrig="1380">
          <v:shape id="_x0000_i1040" type="#_x0000_t75" style="width:2in;height:69pt" o:ole="">
            <v:imagedata r:id="rId38" o:title=""/>
          </v:shape>
          <o:OLEObject Type="Embed" ProgID="Equation.3" ShapeID="_x0000_i1040" DrawAspect="Content" ObjectID="_1428071823" r:id="rId39"/>
        </w:object>
      </w:r>
      <w:r w:rsidR="00DD5E4D">
        <w:rPr>
          <w:sz w:val="20"/>
        </w:rPr>
        <w:t xml:space="preserve">         ,                                             </w:t>
      </w:r>
      <w:r w:rsidR="00420A20">
        <w:rPr>
          <w:sz w:val="20"/>
        </w:rPr>
        <w:t xml:space="preserve">                       </w:t>
      </w:r>
      <w:r w:rsidR="00DD5E4D">
        <w:rPr>
          <w:sz w:val="20"/>
        </w:rPr>
        <w:t xml:space="preserve">                                                  (16)</w:t>
      </w:r>
    </w:p>
    <w:p w:rsidR="003C3401" w:rsidRDefault="003C3401" w:rsidP="00A44435">
      <w:pPr>
        <w:spacing w:line="480" w:lineRule="auto"/>
        <w:rPr>
          <w:sz w:val="20"/>
        </w:rPr>
      </w:pPr>
    </w:p>
    <w:p w:rsidR="00C77A19" w:rsidRDefault="00985E82" w:rsidP="00A44435">
      <w:pPr>
        <w:spacing w:line="480" w:lineRule="auto"/>
        <w:rPr>
          <w:sz w:val="20"/>
        </w:rPr>
      </w:pPr>
      <w:r w:rsidRPr="00985E82">
        <w:rPr>
          <w:position w:val="-70"/>
          <w:sz w:val="20"/>
        </w:rPr>
        <w:object w:dxaOrig="2880" w:dyaOrig="1500">
          <v:shape id="_x0000_i1041" type="#_x0000_t75" style="width:2in;height:75pt" o:ole="">
            <v:imagedata r:id="rId40" o:title=""/>
          </v:shape>
          <o:OLEObject Type="Embed" ProgID="Equation.3" ShapeID="_x0000_i1041" DrawAspect="Content" ObjectID="_1428071824" r:id="rId41"/>
        </w:object>
      </w:r>
      <w:r w:rsidR="00C77A19">
        <w:rPr>
          <w:sz w:val="20"/>
        </w:rPr>
        <w:t xml:space="preserve">         ,                   </w:t>
      </w:r>
      <w:r w:rsidR="00FC7284">
        <w:rPr>
          <w:sz w:val="20"/>
        </w:rPr>
        <w:t xml:space="preserve">  </w:t>
      </w:r>
      <w:r w:rsidR="00C77A19">
        <w:rPr>
          <w:sz w:val="20"/>
        </w:rPr>
        <w:t xml:space="preserve">                                 </w:t>
      </w:r>
      <w:r w:rsidR="00420A20">
        <w:rPr>
          <w:sz w:val="20"/>
        </w:rPr>
        <w:t xml:space="preserve">                        </w:t>
      </w:r>
      <w:r w:rsidR="00C77A19">
        <w:rPr>
          <w:sz w:val="20"/>
        </w:rPr>
        <w:t xml:space="preserve">                                        (17)</w:t>
      </w:r>
    </w:p>
    <w:p w:rsidR="00C77A19" w:rsidRDefault="00C77A19" w:rsidP="00A44435">
      <w:pPr>
        <w:spacing w:line="480" w:lineRule="auto"/>
        <w:rPr>
          <w:sz w:val="20"/>
        </w:rPr>
      </w:pPr>
    </w:p>
    <w:p w:rsidR="00DF5197" w:rsidRDefault="00AC7134" w:rsidP="00A44435">
      <w:pPr>
        <w:spacing w:line="480" w:lineRule="auto"/>
        <w:rPr>
          <w:sz w:val="20"/>
        </w:rPr>
      </w:pPr>
      <w:r w:rsidRPr="00DF5197">
        <w:rPr>
          <w:position w:val="-68"/>
          <w:sz w:val="20"/>
        </w:rPr>
        <w:object w:dxaOrig="3220" w:dyaOrig="1460">
          <v:shape id="_x0000_i1042" type="#_x0000_t75" style="width:161pt;height:73pt" o:ole="">
            <v:imagedata r:id="rId42" o:title=""/>
          </v:shape>
          <o:OLEObject Type="Embed" ProgID="Equation.3" ShapeID="_x0000_i1042" DrawAspect="Content" ObjectID="_1428071825" r:id="rId43"/>
        </w:object>
      </w:r>
      <w:r w:rsidR="00DF5197">
        <w:rPr>
          <w:sz w:val="20"/>
        </w:rPr>
        <w:t xml:space="preserve">         ,                                                               </w:t>
      </w:r>
      <w:r w:rsidR="00420A20">
        <w:rPr>
          <w:sz w:val="20"/>
        </w:rPr>
        <w:t xml:space="preserve">                      </w:t>
      </w:r>
      <w:r w:rsidR="00DF5197">
        <w:rPr>
          <w:sz w:val="20"/>
        </w:rPr>
        <w:t xml:space="preserve">                          (18)</w:t>
      </w:r>
    </w:p>
    <w:p w:rsidR="00AC7134" w:rsidRDefault="00AC7134" w:rsidP="00A44435">
      <w:pPr>
        <w:spacing w:line="480" w:lineRule="auto"/>
        <w:rPr>
          <w:sz w:val="20"/>
        </w:rPr>
      </w:pPr>
    </w:p>
    <w:p w:rsidR="00AC7134" w:rsidRDefault="00985E82" w:rsidP="00A44435">
      <w:pPr>
        <w:spacing w:line="480" w:lineRule="auto"/>
        <w:rPr>
          <w:sz w:val="20"/>
        </w:rPr>
      </w:pPr>
      <w:r w:rsidRPr="00985E82">
        <w:rPr>
          <w:position w:val="-72"/>
          <w:sz w:val="20"/>
        </w:rPr>
        <w:object w:dxaOrig="3200" w:dyaOrig="1540">
          <v:shape id="_x0000_i1043" type="#_x0000_t75" style="width:160pt;height:77pt" o:ole="">
            <v:imagedata r:id="rId44" o:title=""/>
          </v:shape>
          <o:OLEObject Type="Embed" ProgID="Equation.3" ShapeID="_x0000_i1043" DrawAspect="Content" ObjectID="_1428071826" r:id="rId45"/>
        </w:object>
      </w:r>
      <w:r w:rsidR="00AC7134">
        <w:rPr>
          <w:sz w:val="20"/>
        </w:rPr>
        <w:t xml:space="preserve">         ,                                                                        </w:t>
      </w:r>
      <w:r w:rsidR="00420A20">
        <w:rPr>
          <w:sz w:val="20"/>
        </w:rPr>
        <w:t xml:space="preserve">                       </w:t>
      </w:r>
      <w:r w:rsidR="00AC7134">
        <w:rPr>
          <w:sz w:val="20"/>
        </w:rPr>
        <w:t xml:space="preserve">                 (19)</w:t>
      </w:r>
    </w:p>
    <w:p w:rsidR="00CC2778" w:rsidRDefault="00CC2778" w:rsidP="00A44435">
      <w:pPr>
        <w:spacing w:line="480" w:lineRule="auto"/>
        <w:rPr>
          <w:sz w:val="20"/>
        </w:rPr>
      </w:pPr>
    </w:p>
    <w:p w:rsidR="00CC2778" w:rsidRDefault="00136951" w:rsidP="00A44435">
      <w:pPr>
        <w:spacing w:line="480" w:lineRule="auto"/>
        <w:rPr>
          <w:sz w:val="20"/>
        </w:rPr>
      </w:pPr>
      <w:r w:rsidRPr="00CC2778">
        <w:rPr>
          <w:position w:val="-34"/>
          <w:sz w:val="20"/>
        </w:rPr>
        <w:object w:dxaOrig="4380" w:dyaOrig="760">
          <v:shape id="_x0000_i1044" type="#_x0000_t75" style="width:219pt;height:38pt" o:ole="">
            <v:imagedata r:id="rId46" o:title=""/>
          </v:shape>
          <o:OLEObject Type="Embed" ProgID="Equation.3" ShapeID="_x0000_i1044" DrawAspect="Content" ObjectID="_1428071827" r:id="rId47"/>
        </w:object>
      </w:r>
      <w:r w:rsidR="00CC2778">
        <w:rPr>
          <w:sz w:val="20"/>
        </w:rPr>
        <w:t xml:space="preserve">     </w:t>
      </w:r>
      <w:r w:rsidR="005957EF">
        <w:rPr>
          <w:sz w:val="20"/>
        </w:rPr>
        <w:t>.</w:t>
      </w:r>
      <w:r w:rsidR="00CC2778">
        <w:rPr>
          <w:sz w:val="20"/>
        </w:rPr>
        <w:t xml:space="preserve">              </w:t>
      </w:r>
      <w:r w:rsidR="005957EF">
        <w:rPr>
          <w:sz w:val="20"/>
        </w:rPr>
        <w:t xml:space="preserve">    </w:t>
      </w:r>
      <w:r w:rsidR="00CC2778">
        <w:rPr>
          <w:sz w:val="20"/>
        </w:rPr>
        <w:t xml:space="preserve">                         </w:t>
      </w:r>
      <w:r w:rsidR="00420A20">
        <w:rPr>
          <w:sz w:val="20"/>
        </w:rPr>
        <w:t xml:space="preserve">                       </w:t>
      </w:r>
      <w:r w:rsidR="00CC2778">
        <w:rPr>
          <w:sz w:val="20"/>
        </w:rPr>
        <w:t xml:space="preserve">                          (20)</w:t>
      </w:r>
    </w:p>
    <w:p w:rsidR="00DF5197" w:rsidRDefault="00DF5197" w:rsidP="00A44435">
      <w:pPr>
        <w:spacing w:line="480" w:lineRule="auto"/>
        <w:rPr>
          <w:sz w:val="20"/>
        </w:rPr>
      </w:pPr>
    </w:p>
    <w:p w:rsidR="00414B52" w:rsidRDefault="005507D5" w:rsidP="00A44435">
      <w:pPr>
        <w:spacing w:line="480" w:lineRule="auto"/>
        <w:ind w:firstLine="708"/>
        <w:rPr>
          <w:sz w:val="20"/>
        </w:rPr>
      </w:pPr>
      <w:r>
        <w:rPr>
          <w:sz w:val="20"/>
        </w:rPr>
        <w:t>The stream function, vorticity and temperature ratio were assumed to behave as polynomials of 4</w:t>
      </w:r>
      <w:r w:rsidRPr="005507D5">
        <w:rPr>
          <w:sz w:val="20"/>
        </w:rPr>
        <w:t>th</w:t>
      </w:r>
      <w:r>
        <w:rPr>
          <w:sz w:val="20"/>
        </w:rPr>
        <w:t xml:space="preserve"> degree in both x and y directions and N=5 was used. </w:t>
      </w:r>
      <w:r w:rsidR="00764594">
        <w:rPr>
          <w:sz w:val="20"/>
        </w:rPr>
        <w:t xml:space="preserve">Numerical mesh size h=0.01 was used in both directions to insure a good accuracy. </w:t>
      </w:r>
      <w:r w:rsidR="00F071AD">
        <w:rPr>
          <w:sz w:val="20"/>
        </w:rPr>
        <w:t xml:space="preserve">The </w:t>
      </w:r>
      <w:r w:rsidR="00764594">
        <w:rPr>
          <w:sz w:val="20"/>
        </w:rPr>
        <w:t>velocity components at each mesh point were determined by differentiating the stream function using the expressions for the first order derivatives given by Eq. (14)</w:t>
      </w:r>
      <w:r w:rsidR="00F071AD">
        <w:rPr>
          <w:sz w:val="20"/>
        </w:rPr>
        <w:t xml:space="preserve"> at each stage of the iterations. </w:t>
      </w:r>
      <w:r w:rsidR="00414B52">
        <w:rPr>
          <w:sz w:val="20"/>
        </w:rPr>
        <w:t>Vorticity on the walls of the enclosure was determined according to</w:t>
      </w:r>
    </w:p>
    <w:p w:rsidR="00414B52" w:rsidRDefault="00414B52" w:rsidP="00A44435">
      <w:pPr>
        <w:spacing w:line="480" w:lineRule="auto"/>
        <w:rPr>
          <w:sz w:val="20"/>
        </w:rPr>
      </w:pPr>
      <w:r w:rsidRPr="00414B52">
        <w:rPr>
          <w:position w:val="-36"/>
          <w:sz w:val="20"/>
        </w:rPr>
        <w:object w:dxaOrig="1600" w:dyaOrig="780">
          <v:shape id="_x0000_i1045" type="#_x0000_t75" style="width:80pt;height:39pt" o:ole="">
            <v:imagedata r:id="rId48" o:title=""/>
          </v:shape>
          <o:OLEObject Type="Embed" ProgID="Equation.3" ShapeID="_x0000_i1045" DrawAspect="Content" ObjectID="_1428071828" r:id="rId49"/>
        </w:object>
      </w:r>
      <w:r>
        <w:rPr>
          <w:sz w:val="20"/>
        </w:rPr>
        <w:t xml:space="preserve">      ,                                                              </w:t>
      </w:r>
      <w:r w:rsidR="00B878EC">
        <w:rPr>
          <w:sz w:val="20"/>
        </w:rPr>
        <w:t xml:space="preserve">                       </w:t>
      </w:r>
      <w:r>
        <w:rPr>
          <w:sz w:val="20"/>
        </w:rPr>
        <w:t xml:space="preserve">                                                              (21)</w:t>
      </w:r>
    </w:p>
    <w:p w:rsidR="00F071AD" w:rsidRDefault="00414B52" w:rsidP="00A44435">
      <w:pPr>
        <w:spacing w:line="480" w:lineRule="auto"/>
        <w:rPr>
          <w:sz w:val="20"/>
        </w:rPr>
      </w:pPr>
      <w:r>
        <w:rPr>
          <w:sz w:val="20"/>
        </w:rPr>
        <w:lastRenderedPageBreak/>
        <w:t xml:space="preserve">where </w:t>
      </w:r>
      <w:r>
        <w:rPr>
          <w:sz w:val="20"/>
        </w:rPr>
        <w:sym w:font="Symbol" w:char="F068"/>
      </w:r>
      <w:r>
        <w:rPr>
          <w:sz w:val="20"/>
        </w:rPr>
        <w:t xml:space="preserve"> is the normal coordinate measured away from the wall and the differentiation was carried out using the expressions for the second order derivatives given by Eq. (15). </w:t>
      </w:r>
      <w:r w:rsidR="00F071AD">
        <w:rPr>
          <w:sz w:val="20"/>
        </w:rPr>
        <w:t xml:space="preserve">Iterations were stopped when the absolute values of the difference between the successive solutions for </w:t>
      </w:r>
      <w:r w:rsidR="00E11A9A">
        <w:rPr>
          <w:sz w:val="20"/>
        </w:rPr>
        <w:t xml:space="preserve">stream function, vorticity and temperature ratio </w:t>
      </w:r>
      <w:r w:rsidR="00F071AD">
        <w:rPr>
          <w:sz w:val="20"/>
        </w:rPr>
        <w:t>at each mesh point are less than 10</w:t>
      </w:r>
      <w:r w:rsidR="00F071AD">
        <w:rPr>
          <w:sz w:val="20"/>
          <w:vertAlign w:val="superscript"/>
        </w:rPr>
        <w:t>-6</w:t>
      </w:r>
      <w:r w:rsidR="00F071AD">
        <w:rPr>
          <w:sz w:val="20"/>
        </w:rPr>
        <w:t>.</w:t>
      </w:r>
    </w:p>
    <w:p w:rsidR="00AA1BFA" w:rsidRDefault="00AA1BFA" w:rsidP="00A44435">
      <w:pPr>
        <w:pStyle w:val="heading10"/>
        <w:spacing w:line="480" w:lineRule="auto"/>
        <w:ind w:firstLine="708"/>
        <w:rPr>
          <w:rFonts w:ascii="Times New Roman" w:hAnsi="Times New Roman"/>
          <w:sz w:val="20"/>
        </w:rPr>
      </w:pPr>
      <w:r>
        <w:rPr>
          <w:rFonts w:ascii="Times New Roman" w:hAnsi="Times New Roman"/>
          <w:sz w:val="20"/>
        </w:rPr>
        <w:t>Results</w:t>
      </w:r>
    </w:p>
    <w:p w:rsidR="00AA1BFA" w:rsidRDefault="00AA1BFA" w:rsidP="00A44435">
      <w:pPr>
        <w:spacing w:line="480" w:lineRule="auto"/>
        <w:ind w:firstLine="708"/>
        <w:rPr>
          <w:sz w:val="20"/>
        </w:rPr>
      </w:pPr>
      <w:r>
        <w:rPr>
          <w:sz w:val="20"/>
        </w:rPr>
        <w:t>Numerical computations in the present study were carried out for Pr=1 which is an approximate value for most gases. The inclination angle of the enclosure was chosen as -45</w:t>
      </w:r>
      <w:r>
        <w:rPr>
          <w:sz w:val="20"/>
        </w:rPr>
        <w:sym w:font="Symbol" w:char="F0B0"/>
      </w:r>
      <w:r>
        <w:rPr>
          <w:sz w:val="20"/>
        </w:rPr>
        <w:t>, 0</w:t>
      </w:r>
      <w:r>
        <w:rPr>
          <w:sz w:val="20"/>
        </w:rPr>
        <w:sym w:font="Symbol" w:char="F0B0"/>
      </w:r>
      <w:r>
        <w:rPr>
          <w:sz w:val="20"/>
        </w:rPr>
        <w:t xml:space="preserve"> and 45</w:t>
      </w:r>
      <w:r>
        <w:rPr>
          <w:sz w:val="20"/>
        </w:rPr>
        <w:sym w:font="Symbol" w:char="F0B0"/>
      </w:r>
      <w:r>
        <w:rPr>
          <w:sz w:val="20"/>
        </w:rPr>
        <w:t xml:space="preserve">. </w:t>
      </w:r>
      <w:r w:rsidR="000B4A6D">
        <w:rPr>
          <w:sz w:val="20"/>
        </w:rPr>
        <w:t xml:space="preserve">The vorticity equation clearly indicates that magnitudes of Grashof and </w:t>
      </w:r>
      <w:r w:rsidR="00130394">
        <w:rPr>
          <w:sz w:val="20"/>
        </w:rPr>
        <w:t>Hartmann</w:t>
      </w:r>
      <w:r w:rsidR="000B4A6D">
        <w:rPr>
          <w:sz w:val="20"/>
        </w:rPr>
        <w:t xml:space="preserve"> numbers are important in making either the buoyancy or the magnetic force dominant on the flow field inside the enclosure. </w:t>
      </w:r>
      <w:r w:rsidR="001155CD">
        <w:rPr>
          <w:sz w:val="20"/>
        </w:rPr>
        <w:t>The both forces are equally effective when Gr/Ha</w:t>
      </w:r>
      <w:r w:rsidR="001155CD" w:rsidRPr="000B4A6D">
        <w:rPr>
          <w:sz w:val="20"/>
          <w:vertAlign w:val="superscript"/>
        </w:rPr>
        <w:t>2</w:t>
      </w:r>
      <w:r w:rsidR="001155CD">
        <w:rPr>
          <w:sz w:val="20"/>
        </w:rPr>
        <w:t xml:space="preserve"> = </w:t>
      </w:r>
      <w:r w:rsidR="001155CD" w:rsidRPr="000B4A6D">
        <w:rPr>
          <w:i/>
          <w:sz w:val="20"/>
        </w:rPr>
        <w:t>O</w:t>
      </w:r>
      <w:r w:rsidR="001155CD">
        <w:rPr>
          <w:sz w:val="20"/>
        </w:rPr>
        <w:t>(1). Th</w:t>
      </w:r>
      <w:r w:rsidR="000B4A6D">
        <w:rPr>
          <w:sz w:val="20"/>
        </w:rPr>
        <w:t xml:space="preserve">e buoyancy is dominant as long as </w:t>
      </w:r>
      <w:r w:rsidR="000B4A6D" w:rsidRPr="000B4A6D">
        <w:rPr>
          <w:i/>
          <w:sz w:val="20"/>
        </w:rPr>
        <w:t>O</w:t>
      </w:r>
      <w:r w:rsidR="000B4A6D">
        <w:rPr>
          <w:sz w:val="20"/>
        </w:rPr>
        <w:t>(Gr/Ha</w:t>
      </w:r>
      <w:r w:rsidR="000B4A6D" w:rsidRPr="000B4A6D">
        <w:rPr>
          <w:sz w:val="20"/>
          <w:vertAlign w:val="superscript"/>
        </w:rPr>
        <w:t>2</w:t>
      </w:r>
      <w:r w:rsidR="000B4A6D">
        <w:rPr>
          <w:sz w:val="20"/>
        </w:rPr>
        <w:t xml:space="preserve">) &gt;&gt; 1 and the magnetic field is dominant when </w:t>
      </w:r>
      <w:r w:rsidR="000B4A6D" w:rsidRPr="000B4A6D">
        <w:rPr>
          <w:i/>
          <w:sz w:val="20"/>
        </w:rPr>
        <w:t>O</w:t>
      </w:r>
      <w:r w:rsidR="000B4A6D">
        <w:rPr>
          <w:sz w:val="20"/>
        </w:rPr>
        <w:t>(Gr/Ha</w:t>
      </w:r>
      <w:r w:rsidR="000B4A6D" w:rsidRPr="000B4A6D">
        <w:rPr>
          <w:sz w:val="20"/>
          <w:vertAlign w:val="superscript"/>
        </w:rPr>
        <w:t>2</w:t>
      </w:r>
      <w:r w:rsidR="000B4A6D">
        <w:rPr>
          <w:sz w:val="20"/>
        </w:rPr>
        <w:t xml:space="preserve">) &lt;&lt; 1. The </w:t>
      </w:r>
      <w:r w:rsidR="00130394">
        <w:rPr>
          <w:sz w:val="20"/>
        </w:rPr>
        <w:t>Hartmann</w:t>
      </w:r>
      <w:r w:rsidR="000B4A6D">
        <w:rPr>
          <w:sz w:val="20"/>
        </w:rPr>
        <w:t xml:space="preserve"> number was taken in the range 0-100 and the angle of orientation of the magnetic field was taken as 0</w:t>
      </w:r>
      <w:r w:rsidR="000B4A6D">
        <w:rPr>
          <w:sz w:val="20"/>
        </w:rPr>
        <w:sym w:font="Symbol" w:char="F0B0"/>
      </w:r>
      <w:r w:rsidR="000B4A6D">
        <w:rPr>
          <w:sz w:val="20"/>
        </w:rPr>
        <w:t>, 45</w:t>
      </w:r>
      <w:r w:rsidR="000B4A6D">
        <w:rPr>
          <w:sz w:val="20"/>
        </w:rPr>
        <w:sym w:font="Symbol" w:char="F0B0"/>
      </w:r>
      <w:r w:rsidR="000B4A6D">
        <w:rPr>
          <w:sz w:val="20"/>
        </w:rPr>
        <w:t xml:space="preserve"> and 90</w:t>
      </w:r>
      <w:r w:rsidR="000B4A6D">
        <w:rPr>
          <w:sz w:val="20"/>
        </w:rPr>
        <w:sym w:font="Symbol" w:char="F0B0"/>
      </w:r>
      <w:r w:rsidR="000B4A6D">
        <w:rPr>
          <w:sz w:val="20"/>
        </w:rPr>
        <w:t xml:space="preserve">. </w:t>
      </w:r>
      <w:r>
        <w:rPr>
          <w:sz w:val="20"/>
        </w:rPr>
        <w:t xml:space="preserve">The Grashof number was taken in the range </w:t>
      </w:r>
      <w:r w:rsidRPr="00DD1C8F">
        <w:rPr>
          <w:color w:val="000000"/>
          <w:sz w:val="20"/>
        </w:rPr>
        <w:t>10</w:t>
      </w:r>
      <w:r w:rsidR="009E76C0" w:rsidRPr="00DD1C8F">
        <w:rPr>
          <w:color w:val="000000"/>
          <w:sz w:val="20"/>
          <w:vertAlign w:val="superscript"/>
        </w:rPr>
        <w:t>4</w:t>
      </w:r>
      <w:r w:rsidRPr="00DD1C8F">
        <w:rPr>
          <w:color w:val="000000"/>
          <w:sz w:val="20"/>
        </w:rPr>
        <w:t>-10</w:t>
      </w:r>
      <w:r w:rsidRPr="00580A50">
        <w:rPr>
          <w:sz w:val="20"/>
          <w:vertAlign w:val="superscript"/>
        </w:rPr>
        <w:t>6</w:t>
      </w:r>
      <w:r w:rsidR="001155CD" w:rsidRPr="00580A50">
        <w:rPr>
          <w:sz w:val="20"/>
        </w:rPr>
        <w:t xml:space="preserve">, </w:t>
      </w:r>
      <w:r w:rsidRPr="00580A50">
        <w:rPr>
          <w:sz w:val="20"/>
        </w:rPr>
        <w:t>b</w:t>
      </w:r>
      <w:r>
        <w:rPr>
          <w:sz w:val="20"/>
        </w:rPr>
        <w:t xml:space="preserve">ut in some cases associated with lower values of the </w:t>
      </w:r>
      <w:r w:rsidR="00130394">
        <w:rPr>
          <w:sz w:val="20"/>
        </w:rPr>
        <w:t>Hartmann</w:t>
      </w:r>
      <w:r>
        <w:rPr>
          <w:sz w:val="20"/>
        </w:rPr>
        <w:t xml:space="preserve"> number, the convergence of the numerical iterations could not be obtained above the Grashof number of 10</w:t>
      </w:r>
      <w:r>
        <w:rPr>
          <w:sz w:val="20"/>
          <w:vertAlign w:val="superscript"/>
        </w:rPr>
        <w:t>5</w:t>
      </w:r>
      <w:r>
        <w:rPr>
          <w:sz w:val="20"/>
        </w:rPr>
        <w:t>.</w:t>
      </w:r>
    </w:p>
    <w:p w:rsidR="004F7575" w:rsidRDefault="004F7575" w:rsidP="004F7575">
      <w:pPr>
        <w:overflowPunct/>
        <w:autoSpaceDE/>
        <w:autoSpaceDN/>
        <w:adjustRightInd/>
        <w:spacing w:line="480" w:lineRule="auto"/>
        <w:ind w:firstLine="709"/>
        <w:jc w:val="both"/>
        <w:textAlignment w:val="auto"/>
        <w:rPr>
          <w:color w:val="000000"/>
          <w:sz w:val="20"/>
        </w:rPr>
      </w:pPr>
      <w:r w:rsidRPr="004F7575">
        <w:rPr>
          <w:color w:val="000000"/>
          <w:sz w:val="20"/>
        </w:rPr>
        <w:t xml:space="preserve">The fact that the interaction of the main circulation eddy with the side walls </w:t>
      </w:r>
      <w:r>
        <w:rPr>
          <w:color w:val="000000"/>
          <w:sz w:val="20"/>
        </w:rPr>
        <w:t xml:space="preserve">in a differentially heated enclosure </w:t>
      </w:r>
      <w:r w:rsidRPr="004F7575">
        <w:rPr>
          <w:color w:val="000000"/>
          <w:sz w:val="20"/>
        </w:rPr>
        <w:t xml:space="preserve">should give rise to a secondary flow with a velocity component parallel to the eddy axis was first pointed out by Davis </w:t>
      </w:r>
      <w:r w:rsidR="00136281">
        <w:rPr>
          <w:color w:val="000000"/>
          <w:sz w:val="20"/>
        </w:rPr>
        <w:t>[</w:t>
      </w:r>
      <w:r w:rsidR="00712F9B">
        <w:rPr>
          <w:color w:val="000000"/>
          <w:sz w:val="20"/>
        </w:rPr>
        <w:t>10</w:t>
      </w:r>
      <w:r w:rsidR="00136281">
        <w:rPr>
          <w:color w:val="000000"/>
          <w:sz w:val="20"/>
        </w:rPr>
        <w:t>]</w:t>
      </w:r>
      <w:r w:rsidRPr="004F7575">
        <w:rPr>
          <w:color w:val="000000"/>
          <w:sz w:val="20"/>
        </w:rPr>
        <w:t xml:space="preserve"> and experimentally confirmed by Hiller et al</w:t>
      </w:r>
      <w:r w:rsidR="001F471B">
        <w:rPr>
          <w:color w:val="000000"/>
          <w:sz w:val="20"/>
        </w:rPr>
        <w:t xml:space="preserve"> </w:t>
      </w:r>
      <w:r w:rsidR="00136281">
        <w:rPr>
          <w:color w:val="000000"/>
          <w:sz w:val="20"/>
        </w:rPr>
        <w:t>[</w:t>
      </w:r>
      <w:r w:rsidR="00712F9B">
        <w:rPr>
          <w:color w:val="000000"/>
          <w:sz w:val="20"/>
        </w:rPr>
        <w:t>17</w:t>
      </w:r>
      <w:r w:rsidR="00136281">
        <w:rPr>
          <w:color w:val="000000"/>
          <w:sz w:val="20"/>
        </w:rPr>
        <w:t>]</w:t>
      </w:r>
      <w:r w:rsidRPr="004F7575">
        <w:rPr>
          <w:color w:val="000000"/>
          <w:sz w:val="20"/>
        </w:rPr>
        <w:t xml:space="preserve">. However, the study of </w:t>
      </w:r>
      <w:r w:rsidR="00483288" w:rsidRPr="00DD1C8F">
        <w:rPr>
          <w:color w:val="000000"/>
          <w:sz w:val="20"/>
        </w:rPr>
        <w:t>Di</w:t>
      </w:r>
      <w:r w:rsidR="00483288" w:rsidRPr="00712F9B">
        <w:rPr>
          <w:color w:val="0000FF"/>
          <w:sz w:val="20"/>
        </w:rPr>
        <w:t xml:space="preserve"> </w:t>
      </w:r>
      <w:r w:rsidRPr="004F7575">
        <w:rPr>
          <w:color w:val="000000"/>
          <w:sz w:val="20"/>
        </w:rPr>
        <w:t xml:space="preserve">Piazza and Ciofalo </w:t>
      </w:r>
      <w:r w:rsidR="00136281">
        <w:rPr>
          <w:color w:val="000000"/>
          <w:sz w:val="20"/>
        </w:rPr>
        <w:t>[</w:t>
      </w:r>
      <w:r w:rsidR="00712F9B">
        <w:rPr>
          <w:color w:val="000000"/>
          <w:sz w:val="20"/>
        </w:rPr>
        <w:t>12</w:t>
      </w:r>
      <w:r w:rsidR="00136281">
        <w:rPr>
          <w:color w:val="000000"/>
          <w:sz w:val="20"/>
        </w:rPr>
        <w:t>]</w:t>
      </w:r>
      <w:r w:rsidRPr="004F7575">
        <w:rPr>
          <w:color w:val="000000"/>
          <w:sz w:val="20"/>
        </w:rPr>
        <w:t xml:space="preserve"> shows that three-dimensionality is almost completely suppressed by the </w:t>
      </w:r>
      <w:r w:rsidR="001F471B">
        <w:rPr>
          <w:color w:val="000000"/>
          <w:sz w:val="20"/>
        </w:rPr>
        <w:t xml:space="preserve">interactions of </w:t>
      </w:r>
      <w:r w:rsidR="001F471B">
        <w:rPr>
          <w:sz w:val="20"/>
        </w:rPr>
        <w:t>magnetohyrodynamic body force</w:t>
      </w:r>
      <w:r w:rsidRPr="004F7575">
        <w:rPr>
          <w:color w:val="000000"/>
          <w:sz w:val="20"/>
        </w:rPr>
        <w:t xml:space="preserve">. </w:t>
      </w:r>
      <w:r w:rsidR="001F471B">
        <w:rPr>
          <w:color w:val="000000"/>
          <w:sz w:val="20"/>
        </w:rPr>
        <w:t>For these reasons, two-dimensional flow and temperature fields were considered in the present study.</w:t>
      </w:r>
    </w:p>
    <w:p w:rsidR="00AA1BFA" w:rsidRDefault="00AA1BFA" w:rsidP="00A44435">
      <w:pPr>
        <w:spacing w:line="480" w:lineRule="auto"/>
        <w:rPr>
          <w:sz w:val="20"/>
        </w:rPr>
      </w:pPr>
      <w:r>
        <w:rPr>
          <w:sz w:val="20"/>
        </w:rPr>
        <w:tab/>
        <w:t xml:space="preserve">Streamlines and isotherms for Ha=0 and various enclosure inclination and Grashof numbers are shown in Fig. 2 and 3 respectively. It may be observed that the streamlines form an almost centrally located eddy with clockwise rotation for </w:t>
      </w:r>
      <w:r>
        <w:rPr>
          <w:sz w:val="20"/>
        </w:rPr>
        <w:sym w:font="Symbol" w:char="F066"/>
      </w:r>
      <w:r>
        <w:rPr>
          <w:sz w:val="20"/>
        </w:rPr>
        <w:t>=0</w:t>
      </w:r>
      <w:r>
        <w:rPr>
          <w:sz w:val="20"/>
        </w:rPr>
        <w:sym w:font="Symbol" w:char="F0B0"/>
      </w:r>
      <w:r>
        <w:rPr>
          <w:sz w:val="20"/>
        </w:rPr>
        <w:t xml:space="preserve">. </w:t>
      </w:r>
      <w:r w:rsidR="001A49C5">
        <w:rPr>
          <w:sz w:val="20"/>
        </w:rPr>
        <w:t xml:space="preserve">Fluid particles heated near the hot walls are carried upward along the left side wall and the cold fluid particles are pulled downward along the right side wall to replace them. </w:t>
      </w:r>
      <w:r>
        <w:rPr>
          <w:sz w:val="20"/>
        </w:rPr>
        <w:t xml:space="preserve">As the Grashof number increases, convection becomes more dominant and therefore the circulation becomes stronger. </w:t>
      </w:r>
      <w:r w:rsidR="00D56F4B">
        <w:rPr>
          <w:sz w:val="20"/>
        </w:rPr>
        <w:t>The warm fluid particles rise at a faster rate near the left side wall</w:t>
      </w:r>
      <w:r w:rsidR="004B4347">
        <w:rPr>
          <w:sz w:val="20"/>
        </w:rPr>
        <w:t>,</w:t>
      </w:r>
      <w:r w:rsidR="00D56F4B">
        <w:rPr>
          <w:sz w:val="20"/>
        </w:rPr>
        <w:t xml:space="preserve"> </w:t>
      </w:r>
      <w:r w:rsidR="004B4347">
        <w:rPr>
          <w:sz w:val="20"/>
        </w:rPr>
        <w:t>t</w:t>
      </w:r>
      <w:r>
        <w:rPr>
          <w:sz w:val="20"/>
        </w:rPr>
        <w:t>h</w:t>
      </w:r>
      <w:r w:rsidR="004B4347">
        <w:rPr>
          <w:sz w:val="20"/>
        </w:rPr>
        <w:t>us</w:t>
      </w:r>
      <w:r>
        <w:rPr>
          <w:sz w:val="20"/>
        </w:rPr>
        <w:t xml:space="preserve"> </w:t>
      </w:r>
      <w:r w:rsidR="004B4347">
        <w:rPr>
          <w:sz w:val="20"/>
        </w:rPr>
        <w:t xml:space="preserve">uplifting the </w:t>
      </w:r>
      <w:r>
        <w:rPr>
          <w:sz w:val="20"/>
        </w:rPr>
        <w:t>isotherms</w:t>
      </w:r>
      <w:r w:rsidR="004B4347">
        <w:rPr>
          <w:sz w:val="20"/>
        </w:rPr>
        <w:t xml:space="preserve">. Strong circulation </w:t>
      </w:r>
      <w:r w:rsidR="00B370AD">
        <w:rPr>
          <w:sz w:val="20"/>
        </w:rPr>
        <w:t xml:space="preserve">also </w:t>
      </w:r>
      <w:r w:rsidR="004B4347">
        <w:rPr>
          <w:sz w:val="20"/>
        </w:rPr>
        <w:t xml:space="preserve">carries the colder fluid particles farther along the bottom wall and compresses the isotherms toward the left side wall as a result. </w:t>
      </w:r>
      <w:r w:rsidR="005261B9">
        <w:rPr>
          <w:sz w:val="20"/>
        </w:rPr>
        <w:t xml:space="preserve">The center of the enclosure is filled with relatively cold fluid. </w:t>
      </w:r>
      <w:r w:rsidR="00B370AD">
        <w:rPr>
          <w:sz w:val="20"/>
        </w:rPr>
        <w:t>The surface heat flux is increased along the bottom wall</w:t>
      </w:r>
      <w:r>
        <w:rPr>
          <w:sz w:val="20"/>
        </w:rPr>
        <w:t xml:space="preserve"> </w:t>
      </w:r>
      <w:r w:rsidR="00656F72">
        <w:rPr>
          <w:sz w:val="20"/>
        </w:rPr>
        <w:t xml:space="preserve">and the lower portion of the left side wall. But the direction of the heat flow is reversed along the upper portion of the left side wall due </w:t>
      </w:r>
      <w:r w:rsidR="00F0241B">
        <w:rPr>
          <w:sz w:val="20"/>
        </w:rPr>
        <w:t xml:space="preserve">the </w:t>
      </w:r>
      <w:r w:rsidR="00F25AC4">
        <w:rPr>
          <w:sz w:val="20"/>
        </w:rPr>
        <w:t>circulated</w:t>
      </w:r>
      <w:r w:rsidR="00D27209">
        <w:rPr>
          <w:sz w:val="20"/>
        </w:rPr>
        <w:t xml:space="preserve"> </w:t>
      </w:r>
      <w:r w:rsidR="00F0241B">
        <w:rPr>
          <w:sz w:val="20"/>
        </w:rPr>
        <w:t xml:space="preserve">warm </w:t>
      </w:r>
      <w:r w:rsidR="00D27209">
        <w:rPr>
          <w:sz w:val="20"/>
        </w:rPr>
        <w:t xml:space="preserve">fluid particles </w:t>
      </w:r>
      <w:r w:rsidR="00F0241B">
        <w:rPr>
          <w:sz w:val="20"/>
        </w:rPr>
        <w:t xml:space="preserve">with </w:t>
      </w:r>
      <w:r w:rsidR="00F25AC4">
        <w:rPr>
          <w:sz w:val="20"/>
        </w:rPr>
        <w:t xml:space="preserve">temperatures exceeding the surface temperature in that region. </w:t>
      </w:r>
      <w:r>
        <w:rPr>
          <w:sz w:val="20"/>
        </w:rPr>
        <w:t>The adjacent hot walls are both inclined from the vertical with a 45</w:t>
      </w:r>
      <w:r>
        <w:rPr>
          <w:sz w:val="20"/>
        </w:rPr>
        <w:sym w:font="Symbol" w:char="F0B0"/>
      </w:r>
      <w:r>
        <w:rPr>
          <w:sz w:val="20"/>
        </w:rPr>
        <w:t xml:space="preserve"> angle for </w:t>
      </w:r>
      <w:r>
        <w:rPr>
          <w:sz w:val="20"/>
        </w:rPr>
        <w:sym w:font="Symbol" w:char="F066"/>
      </w:r>
      <w:r>
        <w:rPr>
          <w:sz w:val="20"/>
        </w:rPr>
        <w:t>=-45</w:t>
      </w:r>
      <w:r>
        <w:rPr>
          <w:sz w:val="20"/>
        </w:rPr>
        <w:sym w:font="Symbol" w:char="F0B0"/>
      </w:r>
      <w:r w:rsidR="00344D75">
        <w:rPr>
          <w:sz w:val="20"/>
        </w:rPr>
        <w:t>.</w:t>
      </w:r>
      <w:r>
        <w:rPr>
          <w:sz w:val="20"/>
        </w:rPr>
        <w:t xml:space="preserve"> </w:t>
      </w:r>
      <w:r w:rsidR="00344D75">
        <w:rPr>
          <w:sz w:val="20"/>
        </w:rPr>
        <w:t>The temperature gradient is somewhat reduced in this case since the hot wall face each other in the direction of gravity</w:t>
      </w:r>
      <w:r w:rsidR="008A6951">
        <w:rPr>
          <w:sz w:val="20"/>
        </w:rPr>
        <w:t>.</w:t>
      </w:r>
      <w:r w:rsidR="00344D75">
        <w:rPr>
          <w:sz w:val="20"/>
        </w:rPr>
        <w:t xml:space="preserve"> T</w:t>
      </w:r>
      <w:r>
        <w:rPr>
          <w:sz w:val="20"/>
        </w:rPr>
        <w:t xml:space="preserve">he streamlines are also in the form of a </w:t>
      </w:r>
      <w:r w:rsidR="00056F75">
        <w:rPr>
          <w:sz w:val="20"/>
        </w:rPr>
        <w:t>clockwise</w:t>
      </w:r>
      <w:r w:rsidR="00DA00C6">
        <w:rPr>
          <w:sz w:val="20"/>
        </w:rPr>
        <w:t>-</w:t>
      </w:r>
      <w:r w:rsidR="00056F75">
        <w:rPr>
          <w:sz w:val="20"/>
        </w:rPr>
        <w:t xml:space="preserve">rotating </w:t>
      </w:r>
      <w:r>
        <w:rPr>
          <w:sz w:val="20"/>
        </w:rPr>
        <w:lastRenderedPageBreak/>
        <w:t xml:space="preserve">single eddy </w:t>
      </w:r>
      <w:r w:rsidR="00AB28D9">
        <w:rPr>
          <w:sz w:val="20"/>
        </w:rPr>
        <w:t xml:space="preserve">but </w:t>
      </w:r>
      <w:r>
        <w:rPr>
          <w:sz w:val="20"/>
        </w:rPr>
        <w:t xml:space="preserve">with </w:t>
      </w:r>
      <w:r w:rsidR="00056F75">
        <w:rPr>
          <w:sz w:val="20"/>
        </w:rPr>
        <w:t>a</w:t>
      </w:r>
      <w:r w:rsidR="00344D75">
        <w:rPr>
          <w:sz w:val="20"/>
        </w:rPr>
        <w:t xml:space="preserve"> </w:t>
      </w:r>
      <w:r w:rsidR="00056F75">
        <w:rPr>
          <w:sz w:val="20"/>
        </w:rPr>
        <w:t xml:space="preserve">weaker </w:t>
      </w:r>
      <w:r w:rsidR="00344D75">
        <w:rPr>
          <w:sz w:val="20"/>
        </w:rPr>
        <w:t xml:space="preserve">circulation </w:t>
      </w:r>
      <w:r w:rsidR="00056F75">
        <w:rPr>
          <w:sz w:val="20"/>
        </w:rPr>
        <w:t>due to the reduced temperature gradient.</w:t>
      </w:r>
      <w:r w:rsidR="00344D75">
        <w:rPr>
          <w:sz w:val="20"/>
        </w:rPr>
        <w:t xml:space="preserve"> </w:t>
      </w:r>
      <w:r w:rsidR="00DA00C6">
        <w:rPr>
          <w:sz w:val="20"/>
        </w:rPr>
        <w:t xml:space="preserve">As the Grashof number and hence the circulation increase, the streamlines are slightly compressed toward the horizontal diagonal connecting the hot and cold corners. </w:t>
      </w:r>
      <w:r w:rsidR="00BD4362">
        <w:rPr>
          <w:sz w:val="20"/>
        </w:rPr>
        <w:t>Although t</w:t>
      </w:r>
      <w:r>
        <w:rPr>
          <w:sz w:val="20"/>
        </w:rPr>
        <w:t xml:space="preserve">he </w:t>
      </w:r>
      <w:r w:rsidR="0029037F">
        <w:rPr>
          <w:sz w:val="20"/>
        </w:rPr>
        <w:t xml:space="preserve">temperature field </w:t>
      </w:r>
      <w:r w:rsidR="001572C1">
        <w:rPr>
          <w:sz w:val="20"/>
        </w:rPr>
        <w:t>display</w:t>
      </w:r>
      <w:r w:rsidR="0029037F">
        <w:rPr>
          <w:sz w:val="20"/>
        </w:rPr>
        <w:t>s</w:t>
      </w:r>
      <w:r w:rsidR="001572C1">
        <w:rPr>
          <w:sz w:val="20"/>
        </w:rPr>
        <w:t xml:space="preserve"> a pattern</w:t>
      </w:r>
      <w:r w:rsidR="00BD4362">
        <w:rPr>
          <w:sz w:val="20"/>
        </w:rPr>
        <w:t xml:space="preserve"> similar to the previous case, </w:t>
      </w:r>
      <w:r w:rsidR="00324148">
        <w:rPr>
          <w:sz w:val="20"/>
        </w:rPr>
        <w:t xml:space="preserve">the </w:t>
      </w:r>
      <w:r w:rsidR="00693C6F">
        <w:rPr>
          <w:sz w:val="20"/>
        </w:rPr>
        <w:t xml:space="preserve">distortion </w:t>
      </w:r>
      <w:r w:rsidR="0029037F">
        <w:rPr>
          <w:sz w:val="20"/>
        </w:rPr>
        <w:t xml:space="preserve">of the isotherms </w:t>
      </w:r>
      <w:r w:rsidR="007A12B2">
        <w:rPr>
          <w:sz w:val="20"/>
        </w:rPr>
        <w:t xml:space="preserve">is </w:t>
      </w:r>
      <w:r w:rsidR="00010029">
        <w:rPr>
          <w:sz w:val="20"/>
        </w:rPr>
        <w:t>slightly less</w:t>
      </w:r>
      <w:r w:rsidR="004A6E74">
        <w:rPr>
          <w:sz w:val="20"/>
        </w:rPr>
        <w:t xml:space="preserve"> </w:t>
      </w:r>
      <w:r w:rsidR="00010029">
        <w:rPr>
          <w:sz w:val="20"/>
        </w:rPr>
        <w:t>intense</w:t>
      </w:r>
      <w:r w:rsidR="004A6E74">
        <w:rPr>
          <w:sz w:val="20"/>
        </w:rPr>
        <w:t xml:space="preserve">. </w:t>
      </w:r>
      <w:r w:rsidR="006048A5">
        <w:rPr>
          <w:sz w:val="20"/>
        </w:rPr>
        <w:t xml:space="preserve">The surface heat flux is enhanced along the bottom </w:t>
      </w:r>
      <w:r w:rsidR="00641395">
        <w:rPr>
          <w:sz w:val="20"/>
        </w:rPr>
        <w:t xml:space="preserve">wall </w:t>
      </w:r>
      <w:r w:rsidR="006048A5">
        <w:rPr>
          <w:sz w:val="20"/>
        </w:rPr>
        <w:t>and lower portion of the left side wall</w:t>
      </w:r>
      <w:r w:rsidR="003333A0">
        <w:rPr>
          <w:sz w:val="20"/>
        </w:rPr>
        <w:t xml:space="preserve">. </w:t>
      </w:r>
      <w:r>
        <w:rPr>
          <w:sz w:val="20"/>
        </w:rPr>
        <w:t xml:space="preserve">Streamlines are in the form of two counter rotating eddies for </w:t>
      </w:r>
      <w:r>
        <w:rPr>
          <w:sz w:val="20"/>
        </w:rPr>
        <w:sym w:font="Symbol" w:char="F066"/>
      </w:r>
      <w:r>
        <w:rPr>
          <w:sz w:val="20"/>
        </w:rPr>
        <w:t>=45</w:t>
      </w:r>
      <w:r>
        <w:rPr>
          <w:sz w:val="20"/>
        </w:rPr>
        <w:sym w:font="Symbol" w:char="F0B0"/>
      </w:r>
      <w:r>
        <w:rPr>
          <w:sz w:val="20"/>
        </w:rPr>
        <w:t xml:space="preserve"> since two adjacent hot walls are both inclined </w:t>
      </w:r>
      <w:r w:rsidR="00853B3F">
        <w:rPr>
          <w:sz w:val="20"/>
        </w:rPr>
        <w:t xml:space="preserve">symmetrically </w:t>
      </w:r>
      <w:r>
        <w:rPr>
          <w:sz w:val="20"/>
        </w:rPr>
        <w:t>from the horizontal with a 45</w:t>
      </w:r>
      <w:r>
        <w:rPr>
          <w:sz w:val="20"/>
        </w:rPr>
        <w:sym w:font="Symbol" w:char="F0B0"/>
      </w:r>
      <w:r>
        <w:rPr>
          <w:sz w:val="20"/>
        </w:rPr>
        <w:t xml:space="preserve"> ang</w:t>
      </w:r>
      <w:r w:rsidR="00853B3F">
        <w:rPr>
          <w:sz w:val="20"/>
        </w:rPr>
        <w:t>le facing upward to the cold walls in this case.</w:t>
      </w:r>
      <w:r>
        <w:rPr>
          <w:sz w:val="20"/>
        </w:rPr>
        <w:t xml:space="preserve"> Fluid particles heated near the hot walls are carried upward along the vertical diagonal and the cold fluid particles are brought downward along the side walls to replace them. Circulation of the eddies become stronger enhancing the convection as the Grashof number increases and the isotherms are uplifted along the vertical diagonal and </w:t>
      </w:r>
      <w:r w:rsidR="007B529B">
        <w:rPr>
          <w:sz w:val="20"/>
        </w:rPr>
        <w:t>drawn along the horizontal diagonal from the side corners</w:t>
      </w:r>
      <w:r>
        <w:rPr>
          <w:sz w:val="20"/>
        </w:rPr>
        <w:t xml:space="preserve">. </w:t>
      </w:r>
      <w:r w:rsidR="002632AF">
        <w:rPr>
          <w:sz w:val="20"/>
        </w:rPr>
        <w:t xml:space="preserve">The surface heat flux therefore is enhanced </w:t>
      </w:r>
      <w:r w:rsidR="00397E81">
        <w:rPr>
          <w:sz w:val="20"/>
        </w:rPr>
        <w:t xml:space="preserve">by circulation </w:t>
      </w:r>
      <w:r w:rsidR="002632AF">
        <w:rPr>
          <w:sz w:val="20"/>
        </w:rPr>
        <w:t>near the outer portions of the hot walls.</w:t>
      </w:r>
    </w:p>
    <w:p w:rsidR="00AA1BFA" w:rsidRDefault="00AA1BFA" w:rsidP="00A44435">
      <w:pPr>
        <w:spacing w:line="480" w:lineRule="auto"/>
        <w:rPr>
          <w:sz w:val="20"/>
        </w:rPr>
      </w:pPr>
      <w:r>
        <w:rPr>
          <w:sz w:val="20"/>
        </w:rPr>
        <w:tab/>
        <w:t>Streamlines and isotherms for the magnetic field applied along the x-axis (</w:t>
      </w:r>
      <w:r>
        <w:rPr>
          <w:sz w:val="20"/>
        </w:rPr>
        <w:sym w:font="Symbol" w:char="F06A"/>
      </w:r>
      <w:r>
        <w:rPr>
          <w:sz w:val="20"/>
        </w:rPr>
        <w:t>=0</w:t>
      </w:r>
      <w:r>
        <w:rPr>
          <w:sz w:val="20"/>
        </w:rPr>
        <w:sym w:font="Symbol" w:char="F0B0"/>
      </w:r>
      <w:r>
        <w:rPr>
          <w:sz w:val="20"/>
        </w:rPr>
        <w:t xml:space="preserve">) with Ha=100 and various enclosure inclination and Grashof numbers are shown in Fig. 4 and 5 respectively. The circulation is observed to be weaker in these cases as compared to the corresponding previous cases where Ha=0 since the magnetic field considerably retards the convection currents. </w:t>
      </w:r>
      <w:r w:rsidR="00CD77B0">
        <w:rPr>
          <w:sz w:val="20"/>
        </w:rPr>
        <w:t>The flow field is consist of a clockwise-rotating single eddy</w:t>
      </w:r>
      <w:r w:rsidR="00A3265C">
        <w:rPr>
          <w:sz w:val="20"/>
        </w:rPr>
        <w:t xml:space="preserve"> </w:t>
      </w:r>
      <w:r w:rsidR="00064804">
        <w:rPr>
          <w:sz w:val="20"/>
        </w:rPr>
        <w:t>when the enclosure is not inclined (</w:t>
      </w:r>
      <w:r w:rsidR="00064804">
        <w:rPr>
          <w:sz w:val="20"/>
        </w:rPr>
        <w:sym w:font="Symbol" w:char="F066"/>
      </w:r>
      <w:r w:rsidR="00064804">
        <w:rPr>
          <w:sz w:val="20"/>
        </w:rPr>
        <w:t>=0</w:t>
      </w:r>
      <w:r w:rsidR="00064804">
        <w:rPr>
          <w:sz w:val="20"/>
        </w:rPr>
        <w:sym w:font="Symbol" w:char="F0B0"/>
      </w:r>
      <w:r w:rsidR="00064804">
        <w:rPr>
          <w:sz w:val="20"/>
        </w:rPr>
        <w:t>) and 45</w:t>
      </w:r>
      <w:r w:rsidR="00064804">
        <w:rPr>
          <w:sz w:val="20"/>
        </w:rPr>
        <w:sym w:font="Symbol" w:char="F0B0"/>
      </w:r>
      <w:r w:rsidR="00064804">
        <w:rPr>
          <w:sz w:val="20"/>
        </w:rPr>
        <w:t xml:space="preserve"> clockwise inclined (</w:t>
      </w:r>
      <w:r w:rsidR="00064804">
        <w:rPr>
          <w:sz w:val="20"/>
        </w:rPr>
        <w:sym w:font="Symbol" w:char="F066"/>
      </w:r>
      <w:r w:rsidR="00064804">
        <w:rPr>
          <w:sz w:val="20"/>
        </w:rPr>
        <w:t>=-45</w:t>
      </w:r>
      <w:r w:rsidR="00064804">
        <w:rPr>
          <w:sz w:val="20"/>
        </w:rPr>
        <w:sym w:font="Symbol" w:char="F0B0"/>
      </w:r>
      <w:r w:rsidR="00064804">
        <w:rPr>
          <w:sz w:val="20"/>
        </w:rPr>
        <w:t xml:space="preserve">) </w:t>
      </w:r>
      <w:r w:rsidR="00A3265C">
        <w:rPr>
          <w:sz w:val="20"/>
        </w:rPr>
        <w:t>for</w:t>
      </w:r>
      <w:r w:rsidR="00064804">
        <w:rPr>
          <w:sz w:val="20"/>
        </w:rPr>
        <w:t xml:space="preserve"> moderate Grashof numbers.</w:t>
      </w:r>
      <w:r w:rsidR="00A3265C">
        <w:rPr>
          <w:sz w:val="20"/>
        </w:rPr>
        <w:t xml:space="preserve"> </w:t>
      </w:r>
      <w:r w:rsidR="00195E53">
        <w:rPr>
          <w:sz w:val="20"/>
        </w:rPr>
        <w:t>When the magnetic field is applied along the x-axis (</w:t>
      </w:r>
      <w:r w:rsidR="00195E53">
        <w:rPr>
          <w:sz w:val="20"/>
        </w:rPr>
        <w:sym w:font="Symbol" w:char="F06A"/>
      </w:r>
      <w:r w:rsidR="00195E53">
        <w:rPr>
          <w:sz w:val="20"/>
        </w:rPr>
        <w:t>=0</w:t>
      </w:r>
      <w:r w:rsidR="00195E53">
        <w:rPr>
          <w:sz w:val="20"/>
        </w:rPr>
        <w:sym w:font="Symbol" w:char="F0B0"/>
      </w:r>
      <w:r w:rsidR="00195E53">
        <w:rPr>
          <w:sz w:val="20"/>
        </w:rPr>
        <w:t xml:space="preserve">), </w:t>
      </w:r>
      <w:r w:rsidR="00CF7B82">
        <w:rPr>
          <w:sz w:val="20"/>
        </w:rPr>
        <w:t>the</w:t>
      </w:r>
      <w:r w:rsidR="00CF7B82" w:rsidRPr="00996B6D">
        <w:rPr>
          <w:color w:val="0000FF"/>
          <w:sz w:val="20"/>
        </w:rPr>
        <w:t xml:space="preserve"> </w:t>
      </w:r>
      <w:r w:rsidR="00CF7B82" w:rsidRPr="00EA4BD7">
        <w:rPr>
          <w:color w:val="000000"/>
          <w:sz w:val="20"/>
        </w:rPr>
        <w:t>magnet</w:t>
      </w:r>
      <w:r w:rsidR="001A1592" w:rsidRPr="00EA4BD7">
        <w:rPr>
          <w:color w:val="000000"/>
          <w:sz w:val="20"/>
        </w:rPr>
        <w:t>ohyrod</w:t>
      </w:r>
      <w:r w:rsidR="00195E53" w:rsidRPr="00EA4BD7">
        <w:rPr>
          <w:color w:val="000000"/>
          <w:sz w:val="20"/>
        </w:rPr>
        <w:t>y</w:t>
      </w:r>
      <w:r w:rsidR="001A1592" w:rsidRPr="00EA4BD7">
        <w:rPr>
          <w:color w:val="000000"/>
          <w:sz w:val="20"/>
        </w:rPr>
        <w:t>nami</w:t>
      </w:r>
      <w:r w:rsidR="00195E53" w:rsidRPr="00EA4BD7">
        <w:rPr>
          <w:color w:val="000000"/>
          <w:sz w:val="20"/>
        </w:rPr>
        <w:t>c</w:t>
      </w:r>
      <w:r w:rsidR="001A1592" w:rsidRPr="00996B6D">
        <w:rPr>
          <w:color w:val="0000FF"/>
          <w:sz w:val="20"/>
        </w:rPr>
        <w:t xml:space="preserve"> </w:t>
      </w:r>
      <w:r w:rsidR="00195E53">
        <w:rPr>
          <w:sz w:val="20"/>
        </w:rPr>
        <w:t xml:space="preserve">body force acts along the y-axis and </w:t>
      </w:r>
      <w:r w:rsidR="00536E4F">
        <w:rPr>
          <w:sz w:val="20"/>
        </w:rPr>
        <w:t>works</w:t>
      </w:r>
      <w:r w:rsidR="0032548A">
        <w:rPr>
          <w:sz w:val="20"/>
        </w:rPr>
        <w:t xml:space="preserve"> to retard</w:t>
      </w:r>
      <w:r w:rsidR="00CF7B82">
        <w:rPr>
          <w:sz w:val="20"/>
        </w:rPr>
        <w:t xml:space="preserve"> </w:t>
      </w:r>
      <w:r w:rsidR="0032548A">
        <w:rPr>
          <w:sz w:val="20"/>
        </w:rPr>
        <w:t>the fluid particles carried upward along the hot side wall and to accelerate the cold fluid particles brought down along the cold side wall</w:t>
      </w:r>
      <w:r w:rsidR="00195E53">
        <w:rPr>
          <w:sz w:val="20"/>
        </w:rPr>
        <w:t>.</w:t>
      </w:r>
      <w:r w:rsidR="0032548A">
        <w:rPr>
          <w:sz w:val="20"/>
        </w:rPr>
        <w:t xml:space="preserve"> </w:t>
      </w:r>
      <w:r w:rsidR="00195E53">
        <w:rPr>
          <w:sz w:val="20"/>
        </w:rPr>
        <w:t xml:space="preserve">Therefore </w:t>
      </w:r>
      <w:r w:rsidR="0032548A">
        <w:rPr>
          <w:sz w:val="20"/>
        </w:rPr>
        <w:t>t</w:t>
      </w:r>
      <w:r w:rsidR="00CF7B82">
        <w:rPr>
          <w:sz w:val="20"/>
        </w:rPr>
        <w:t>he center of the eddy is closer to the bottom wall</w:t>
      </w:r>
      <w:r w:rsidR="00195E53">
        <w:rPr>
          <w:sz w:val="20"/>
        </w:rPr>
        <w:t xml:space="preserve"> in this case.</w:t>
      </w:r>
      <w:r>
        <w:rPr>
          <w:sz w:val="20"/>
        </w:rPr>
        <w:t xml:space="preserve"> The circulation and vorticity become stronger as the Grashof number increases and </w:t>
      </w:r>
      <w:r w:rsidR="007A3FDA">
        <w:rPr>
          <w:sz w:val="20"/>
        </w:rPr>
        <w:t>f</w:t>
      </w:r>
      <w:r>
        <w:rPr>
          <w:sz w:val="20"/>
        </w:rPr>
        <w:t>inally a second eddy with counterclockwise rotation form</w:t>
      </w:r>
      <w:r w:rsidR="00E8265C">
        <w:rPr>
          <w:sz w:val="20"/>
        </w:rPr>
        <w:t>s</w:t>
      </w:r>
      <w:r>
        <w:rPr>
          <w:sz w:val="20"/>
        </w:rPr>
        <w:t xml:space="preserve"> near the upper left corner of the enclosure</w:t>
      </w:r>
      <w:r w:rsidR="0017063B">
        <w:rPr>
          <w:sz w:val="20"/>
        </w:rPr>
        <w:t xml:space="preserve"> when </w:t>
      </w:r>
      <w:r w:rsidR="0017063B">
        <w:rPr>
          <w:sz w:val="20"/>
        </w:rPr>
        <w:sym w:font="Symbol" w:char="F066"/>
      </w:r>
      <w:r w:rsidR="0017063B">
        <w:rPr>
          <w:sz w:val="20"/>
        </w:rPr>
        <w:t>=0</w:t>
      </w:r>
      <w:r w:rsidR="0017063B">
        <w:rPr>
          <w:sz w:val="20"/>
        </w:rPr>
        <w:sym w:font="Symbol" w:char="F0B0"/>
      </w:r>
      <w:r w:rsidR="0017063B">
        <w:rPr>
          <w:sz w:val="20"/>
        </w:rPr>
        <w:t>.</w:t>
      </w:r>
      <w:r>
        <w:rPr>
          <w:sz w:val="20"/>
        </w:rPr>
        <w:t xml:space="preserve"> The isotherms resemble the heat transfer by pure conduction for values of the Grashof number up to 10</w:t>
      </w:r>
      <w:r>
        <w:rPr>
          <w:sz w:val="20"/>
          <w:vertAlign w:val="superscript"/>
        </w:rPr>
        <w:t>5</w:t>
      </w:r>
      <w:r>
        <w:rPr>
          <w:sz w:val="20"/>
        </w:rPr>
        <w:t>. Convection becomes dominant for higher values of the Grashof number and the isotherms are both uplifted and expanded toward the right side</w:t>
      </w:r>
      <w:r w:rsidR="00EB613C">
        <w:rPr>
          <w:sz w:val="20"/>
        </w:rPr>
        <w:t xml:space="preserve"> when </w:t>
      </w:r>
      <w:r w:rsidR="00EB613C">
        <w:rPr>
          <w:sz w:val="20"/>
        </w:rPr>
        <w:sym w:font="Symbol" w:char="F066"/>
      </w:r>
      <w:r w:rsidR="00EB613C">
        <w:rPr>
          <w:sz w:val="20"/>
        </w:rPr>
        <w:t>=0</w:t>
      </w:r>
      <w:r w:rsidR="00EB613C">
        <w:rPr>
          <w:sz w:val="20"/>
        </w:rPr>
        <w:sym w:font="Symbol" w:char="F0B0"/>
      </w:r>
      <w:r>
        <w:rPr>
          <w:sz w:val="20"/>
        </w:rPr>
        <w:t>. Streamlines are in the form of two counter rotating eddies for values of the Grashof number up to 10</w:t>
      </w:r>
      <w:r>
        <w:rPr>
          <w:sz w:val="20"/>
          <w:vertAlign w:val="superscript"/>
        </w:rPr>
        <w:t>5</w:t>
      </w:r>
      <w:r>
        <w:rPr>
          <w:sz w:val="20"/>
        </w:rPr>
        <w:t xml:space="preserve"> in the case </w:t>
      </w:r>
      <w:r>
        <w:rPr>
          <w:sz w:val="20"/>
        </w:rPr>
        <w:sym w:font="Symbol" w:char="F066"/>
      </w:r>
      <w:r>
        <w:rPr>
          <w:sz w:val="20"/>
        </w:rPr>
        <w:t>=45</w:t>
      </w:r>
      <w:r>
        <w:rPr>
          <w:sz w:val="20"/>
        </w:rPr>
        <w:sym w:font="Symbol" w:char="F0B0"/>
      </w:r>
      <w:r>
        <w:rPr>
          <w:sz w:val="20"/>
        </w:rPr>
        <w:t xml:space="preserve">. </w:t>
      </w:r>
      <w:r w:rsidR="00772CBB">
        <w:rPr>
          <w:sz w:val="20"/>
        </w:rPr>
        <w:t xml:space="preserve">The </w:t>
      </w:r>
      <w:r w:rsidR="009815A5">
        <w:rPr>
          <w:sz w:val="20"/>
        </w:rPr>
        <w:t xml:space="preserve">attachment points </w:t>
      </w:r>
      <w:r w:rsidR="001727CF">
        <w:rPr>
          <w:sz w:val="20"/>
        </w:rPr>
        <w:t xml:space="preserve">of the </w:t>
      </w:r>
      <w:r w:rsidR="00772CBB">
        <w:rPr>
          <w:sz w:val="20"/>
        </w:rPr>
        <w:t xml:space="preserve">dividing streamline </w:t>
      </w:r>
      <w:r w:rsidR="001727CF">
        <w:rPr>
          <w:sz w:val="20"/>
        </w:rPr>
        <w:t>are</w:t>
      </w:r>
      <w:r w:rsidR="00772CBB">
        <w:rPr>
          <w:sz w:val="20"/>
        </w:rPr>
        <w:t xml:space="preserve"> observed to shift from the upper and lower corners toward right and left respectively due to the presence of the magnetic field </w:t>
      </w:r>
      <w:r w:rsidR="00FB2D6E">
        <w:rPr>
          <w:sz w:val="20"/>
        </w:rPr>
        <w:t>s</w:t>
      </w:r>
      <w:r w:rsidR="00116B1F">
        <w:rPr>
          <w:sz w:val="20"/>
        </w:rPr>
        <w:t>ince the magnetohyrodynamic body force breaks the symmetry</w:t>
      </w:r>
      <w:r w:rsidR="00FB2D6E">
        <w:rPr>
          <w:sz w:val="20"/>
        </w:rPr>
        <w:t>.</w:t>
      </w:r>
      <w:r w:rsidR="00116B1F">
        <w:rPr>
          <w:sz w:val="20"/>
        </w:rPr>
        <w:t xml:space="preserve"> </w:t>
      </w:r>
      <w:r>
        <w:rPr>
          <w:sz w:val="20"/>
        </w:rPr>
        <w:t xml:space="preserve">Fluid particles heated near the hot walls are carried upward along the </w:t>
      </w:r>
      <w:r w:rsidR="003B0348">
        <w:rPr>
          <w:sz w:val="20"/>
        </w:rPr>
        <w:t>dividing streamline</w:t>
      </w:r>
      <w:r>
        <w:rPr>
          <w:sz w:val="20"/>
        </w:rPr>
        <w:t xml:space="preserve"> and the circulation of the eddies become</w:t>
      </w:r>
      <w:r w:rsidR="003B0348">
        <w:rPr>
          <w:sz w:val="20"/>
        </w:rPr>
        <w:t>s</w:t>
      </w:r>
      <w:r>
        <w:rPr>
          <w:sz w:val="20"/>
        </w:rPr>
        <w:t xml:space="preserve"> stronger enhancing the convection as the Grashof number increases and the isotherms are slightly uplifted along the vertical diagonal. </w:t>
      </w:r>
      <w:r w:rsidR="00A507E5">
        <w:rPr>
          <w:sz w:val="20"/>
        </w:rPr>
        <w:t xml:space="preserve">The eddy on the left is observed to grow substantially </w:t>
      </w:r>
      <w:r w:rsidR="00763FC6">
        <w:rPr>
          <w:sz w:val="20"/>
        </w:rPr>
        <w:t xml:space="preserve">enclosing two inner loops </w:t>
      </w:r>
      <w:r w:rsidR="00A507E5">
        <w:rPr>
          <w:sz w:val="20"/>
        </w:rPr>
        <w:t xml:space="preserve">and the eddy on the right is </w:t>
      </w:r>
      <w:r w:rsidR="00763FC6">
        <w:rPr>
          <w:sz w:val="20"/>
        </w:rPr>
        <w:t xml:space="preserve">intensely </w:t>
      </w:r>
      <w:r w:rsidR="00A507E5">
        <w:rPr>
          <w:sz w:val="20"/>
        </w:rPr>
        <w:t xml:space="preserve">compressed toward the </w:t>
      </w:r>
      <w:r w:rsidR="002D2863">
        <w:rPr>
          <w:sz w:val="20"/>
        </w:rPr>
        <w:t>lower right</w:t>
      </w:r>
      <w:r w:rsidR="00A507E5">
        <w:rPr>
          <w:sz w:val="20"/>
        </w:rPr>
        <w:t xml:space="preserve"> wall </w:t>
      </w:r>
      <w:r>
        <w:rPr>
          <w:sz w:val="20"/>
        </w:rPr>
        <w:t>when Gr=10</w:t>
      </w:r>
      <w:r>
        <w:rPr>
          <w:sz w:val="20"/>
          <w:vertAlign w:val="superscript"/>
        </w:rPr>
        <w:t>6</w:t>
      </w:r>
      <w:r>
        <w:rPr>
          <w:sz w:val="20"/>
        </w:rPr>
        <w:t xml:space="preserve">. </w:t>
      </w:r>
      <w:r w:rsidR="006821DB">
        <w:rPr>
          <w:sz w:val="20"/>
        </w:rPr>
        <w:t xml:space="preserve">A small eddy also emerges near the upper right wall. </w:t>
      </w:r>
      <w:r w:rsidR="00EF5DFA">
        <w:rPr>
          <w:sz w:val="20"/>
        </w:rPr>
        <w:t xml:space="preserve">It should be noted that the dividing streamline is almost parallel to the lower right wall in this case. </w:t>
      </w:r>
      <w:r>
        <w:rPr>
          <w:sz w:val="20"/>
        </w:rPr>
        <w:t xml:space="preserve">The isotherms </w:t>
      </w:r>
      <w:r>
        <w:rPr>
          <w:sz w:val="20"/>
        </w:rPr>
        <w:lastRenderedPageBreak/>
        <w:t xml:space="preserve">are lifted </w:t>
      </w:r>
      <w:r w:rsidR="00A507E5">
        <w:rPr>
          <w:sz w:val="20"/>
        </w:rPr>
        <w:t xml:space="preserve">along the </w:t>
      </w:r>
      <w:r w:rsidR="006821DB">
        <w:rPr>
          <w:sz w:val="20"/>
        </w:rPr>
        <w:t xml:space="preserve">dividing streamline </w:t>
      </w:r>
      <w:r w:rsidR="00A507E5">
        <w:rPr>
          <w:sz w:val="20"/>
        </w:rPr>
        <w:t xml:space="preserve">and compressed </w:t>
      </w:r>
      <w:r>
        <w:rPr>
          <w:sz w:val="20"/>
        </w:rPr>
        <w:t xml:space="preserve">toward the upper </w:t>
      </w:r>
      <w:r w:rsidR="00A507E5">
        <w:rPr>
          <w:sz w:val="20"/>
        </w:rPr>
        <w:t xml:space="preserve">right </w:t>
      </w:r>
      <w:r>
        <w:rPr>
          <w:sz w:val="20"/>
        </w:rPr>
        <w:t>wall due to the strong circulation of counter rotating eddy pair.</w:t>
      </w:r>
      <w:r w:rsidR="006821DB">
        <w:rPr>
          <w:sz w:val="20"/>
        </w:rPr>
        <w:t xml:space="preserve"> The surface heat flux is enhanced by circulation along the hot walls.</w:t>
      </w:r>
    </w:p>
    <w:p w:rsidR="002D2863" w:rsidRDefault="00AA1BFA" w:rsidP="00A44435">
      <w:pPr>
        <w:spacing w:line="480" w:lineRule="auto"/>
        <w:rPr>
          <w:sz w:val="20"/>
        </w:rPr>
      </w:pPr>
      <w:r>
        <w:rPr>
          <w:sz w:val="20"/>
        </w:rPr>
        <w:tab/>
        <w:t>Streamlines and isotherms for the magnetic field applied along the y-axis (</w:t>
      </w:r>
      <w:r>
        <w:rPr>
          <w:sz w:val="20"/>
        </w:rPr>
        <w:sym w:font="Symbol" w:char="F06A"/>
      </w:r>
      <w:r>
        <w:rPr>
          <w:sz w:val="20"/>
        </w:rPr>
        <w:t>=90</w:t>
      </w:r>
      <w:r>
        <w:rPr>
          <w:sz w:val="20"/>
        </w:rPr>
        <w:sym w:font="Symbol" w:char="F0B0"/>
      </w:r>
      <w:r>
        <w:rPr>
          <w:sz w:val="20"/>
        </w:rPr>
        <w:t xml:space="preserve">) with Ha=100 and various enclosure inclination and Grashof numbers are shown in Fig. 6 and 7 respectively. </w:t>
      </w:r>
      <w:r w:rsidR="00640218">
        <w:rPr>
          <w:sz w:val="20"/>
        </w:rPr>
        <w:t xml:space="preserve">The magnetohyrodynamic body force acts along the x-axis and works to retard the fluid particles carried in the </w:t>
      </w:r>
      <w:r w:rsidR="00EC3F87">
        <w:rPr>
          <w:sz w:val="20"/>
        </w:rPr>
        <w:t xml:space="preserve">direction of </w:t>
      </w:r>
      <w:r w:rsidR="00640218">
        <w:rPr>
          <w:sz w:val="20"/>
        </w:rPr>
        <w:t xml:space="preserve">positive x-axis </w:t>
      </w:r>
      <w:r w:rsidR="00EC3F87">
        <w:rPr>
          <w:sz w:val="20"/>
        </w:rPr>
        <w:t xml:space="preserve">and to accelerate </w:t>
      </w:r>
      <w:r w:rsidR="00640218">
        <w:rPr>
          <w:sz w:val="20"/>
        </w:rPr>
        <w:t xml:space="preserve">those moving in </w:t>
      </w:r>
      <w:r w:rsidR="00EC3F87">
        <w:rPr>
          <w:sz w:val="20"/>
        </w:rPr>
        <w:t xml:space="preserve">the direction of </w:t>
      </w:r>
      <w:r w:rsidR="00640218">
        <w:rPr>
          <w:sz w:val="20"/>
        </w:rPr>
        <w:t xml:space="preserve">negative x-axis. </w:t>
      </w:r>
      <w:r>
        <w:rPr>
          <w:sz w:val="20"/>
        </w:rPr>
        <w:t xml:space="preserve">The circulation is weaker in these cases too as compared to the corresponding previous cases where Ha=0 due to the retarding effect of the magnetic field on the convection currents. </w:t>
      </w:r>
      <w:r w:rsidR="003E5F76">
        <w:rPr>
          <w:sz w:val="20"/>
        </w:rPr>
        <w:t xml:space="preserve">It may be observed that the streamlines form a clockwise rotating eddy for </w:t>
      </w:r>
      <w:r w:rsidR="003E5F76">
        <w:rPr>
          <w:sz w:val="20"/>
        </w:rPr>
        <w:sym w:font="Symbol" w:char="F066"/>
      </w:r>
      <w:r w:rsidR="003E5F76">
        <w:rPr>
          <w:sz w:val="20"/>
        </w:rPr>
        <w:t>=0</w:t>
      </w:r>
      <w:r w:rsidR="003E5F76">
        <w:rPr>
          <w:sz w:val="20"/>
        </w:rPr>
        <w:sym w:font="Symbol" w:char="F0B0"/>
      </w:r>
      <w:r w:rsidR="005F1E8A">
        <w:rPr>
          <w:sz w:val="20"/>
        </w:rPr>
        <w:t>.</w:t>
      </w:r>
      <w:r>
        <w:rPr>
          <w:sz w:val="20"/>
        </w:rPr>
        <w:t xml:space="preserve"> </w:t>
      </w:r>
      <w:r w:rsidR="005C657B">
        <w:rPr>
          <w:sz w:val="20"/>
        </w:rPr>
        <w:t>The circulation is very weak for Gr=10</w:t>
      </w:r>
      <w:r w:rsidR="005C657B">
        <w:rPr>
          <w:sz w:val="20"/>
          <w:vertAlign w:val="superscript"/>
        </w:rPr>
        <w:t>4</w:t>
      </w:r>
      <w:r w:rsidR="005C657B">
        <w:rPr>
          <w:sz w:val="20"/>
        </w:rPr>
        <w:t xml:space="preserve"> and t</w:t>
      </w:r>
      <w:r w:rsidR="009B6535">
        <w:rPr>
          <w:sz w:val="20"/>
        </w:rPr>
        <w:t xml:space="preserve">he eddy encloses two small inner loops at the center. </w:t>
      </w:r>
      <w:r>
        <w:rPr>
          <w:sz w:val="20"/>
        </w:rPr>
        <w:t>The circulation and vorticity become stronger as the Grashof number increases and the center of the eddy moves closer to the left side wall</w:t>
      </w:r>
      <w:r w:rsidR="009B6535">
        <w:rPr>
          <w:sz w:val="20"/>
        </w:rPr>
        <w:t xml:space="preserve"> with the loop on the right almost diminishing</w:t>
      </w:r>
      <w:r>
        <w:rPr>
          <w:sz w:val="20"/>
        </w:rPr>
        <w:t xml:space="preserve">. </w:t>
      </w:r>
      <w:r w:rsidR="009B6535">
        <w:rPr>
          <w:sz w:val="20"/>
        </w:rPr>
        <w:t>A second eddy with</w:t>
      </w:r>
      <w:r w:rsidR="009B6535" w:rsidRPr="00603A2B">
        <w:rPr>
          <w:color w:val="000000"/>
          <w:sz w:val="20"/>
        </w:rPr>
        <w:t xml:space="preserve"> </w:t>
      </w:r>
      <w:r w:rsidR="00E168D2" w:rsidRPr="00603A2B">
        <w:rPr>
          <w:color w:val="000000"/>
          <w:sz w:val="20"/>
        </w:rPr>
        <w:t>counter</w:t>
      </w:r>
      <w:r w:rsidR="009B6535" w:rsidRPr="00603A2B">
        <w:rPr>
          <w:color w:val="000000"/>
          <w:sz w:val="20"/>
        </w:rPr>
        <w:t>cl</w:t>
      </w:r>
      <w:r w:rsidR="009B6535">
        <w:rPr>
          <w:sz w:val="20"/>
        </w:rPr>
        <w:t>ockwise rotation forms near the upper left corner for Gr=10</w:t>
      </w:r>
      <w:r w:rsidR="009B6535">
        <w:rPr>
          <w:sz w:val="20"/>
          <w:vertAlign w:val="superscript"/>
        </w:rPr>
        <w:t>6</w:t>
      </w:r>
      <w:r w:rsidR="009B6535">
        <w:rPr>
          <w:sz w:val="20"/>
        </w:rPr>
        <w:t xml:space="preserve">. </w:t>
      </w:r>
      <w:r>
        <w:rPr>
          <w:sz w:val="20"/>
        </w:rPr>
        <w:t>The isotherms resemble the heat transfer by pure conduction for values of the Grashof number up to 10</w:t>
      </w:r>
      <w:r>
        <w:rPr>
          <w:sz w:val="20"/>
          <w:vertAlign w:val="superscript"/>
        </w:rPr>
        <w:t>5</w:t>
      </w:r>
      <w:r>
        <w:rPr>
          <w:sz w:val="20"/>
        </w:rPr>
        <w:t xml:space="preserve"> and are slightly expanded toward the upper right corner. </w:t>
      </w:r>
      <w:r w:rsidR="006A3F82">
        <w:rPr>
          <w:sz w:val="20"/>
        </w:rPr>
        <w:t xml:space="preserve">The strong circulation </w:t>
      </w:r>
      <w:r w:rsidR="00C02BC8">
        <w:rPr>
          <w:sz w:val="20"/>
        </w:rPr>
        <w:t>draw</w:t>
      </w:r>
      <w:r w:rsidR="006A3F82">
        <w:rPr>
          <w:sz w:val="20"/>
        </w:rPr>
        <w:t xml:space="preserve">s and compresses </w:t>
      </w:r>
      <w:r w:rsidR="008C4213">
        <w:rPr>
          <w:sz w:val="20"/>
        </w:rPr>
        <w:t xml:space="preserve">the </w:t>
      </w:r>
      <w:r w:rsidR="006A3F82">
        <w:rPr>
          <w:sz w:val="20"/>
        </w:rPr>
        <w:t xml:space="preserve">isotherms </w:t>
      </w:r>
      <w:r w:rsidR="008C4213">
        <w:rPr>
          <w:sz w:val="20"/>
        </w:rPr>
        <w:t xml:space="preserve">intensely </w:t>
      </w:r>
      <w:r w:rsidR="006A3F82">
        <w:rPr>
          <w:sz w:val="20"/>
        </w:rPr>
        <w:t>toward the top wall for Gr=10</w:t>
      </w:r>
      <w:r w:rsidR="006A3F82">
        <w:rPr>
          <w:sz w:val="20"/>
          <w:vertAlign w:val="superscript"/>
        </w:rPr>
        <w:t>6</w:t>
      </w:r>
      <w:r w:rsidR="006A3F82">
        <w:rPr>
          <w:sz w:val="20"/>
        </w:rPr>
        <w:t xml:space="preserve">. </w:t>
      </w:r>
      <w:r w:rsidR="00C02BC8">
        <w:rPr>
          <w:sz w:val="20"/>
        </w:rPr>
        <w:t>The surface heat flux is increased along the bottom w</w:t>
      </w:r>
      <w:r w:rsidR="00AA083E">
        <w:rPr>
          <w:sz w:val="20"/>
        </w:rPr>
        <w:t xml:space="preserve">all and reversed along the upper portion of the left side wall. </w:t>
      </w:r>
      <w:r>
        <w:rPr>
          <w:sz w:val="20"/>
        </w:rPr>
        <w:t xml:space="preserve">The streamlines are also in the form of a clockwise rotating single eddy with the center near the </w:t>
      </w:r>
      <w:r w:rsidR="008C4213">
        <w:rPr>
          <w:sz w:val="20"/>
        </w:rPr>
        <w:t>upper</w:t>
      </w:r>
      <w:r>
        <w:rPr>
          <w:sz w:val="20"/>
        </w:rPr>
        <w:t xml:space="preserve"> left wall for </w:t>
      </w:r>
      <w:r>
        <w:rPr>
          <w:sz w:val="20"/>
        </w:rPr>
        <w:sym w:font="Symbol" w:char="F066"/>
      </w:r>
      <w:r>
        <w:rPr>
          <w:sz w:val="20"/>
        </w:rPr>
        <w:t>=-45</w:t>
      </w:r>
      <w:r>
        <w:rPr>
          <w:sz w:val="20"/>
        </w:rPr>
        <w:sym w:font="Symbol" w:char="F0B0"/>
      </w:r>
      <w:r>
        <w:rPr>
          <w:sz w:val="20"/>
        </w:rPr>
        <w:t xml:space="preserve">. </w:t>
      </w:r>
      <w:r w:rsidR="00AA083E">
        <w:rPr>
          <w:sz w:val="20"/>
        </w:rPr>
        <w:t>Circulation is much stronger as compared to the case of no inclination</w:t>
      </w:r>
      <w:r w:rsidR="006E44C6">
        <w:rPr>
          <w:sz w:val="20"/>
        </w:rPr>
        <w:t xml:space="preserve"> as implied by the values of the streamlines. The center of the eddy is closet to the left side wall due to the act of the magnetohyrodynamic body force</w:t>
      </w:r>
      <w:r w:rsidR="00AA083E">
        <w:rPr>
          <w:sz w:val="20"/>
        </w:rPr>
        <w:t xml:space="preserve">. </w:t>
      </w:r>
      <w:r w:rsidR="007C6B97">
        <w:rPr>
          <w:sz w:val="20"/>
        </w:rPr>
        <w:t>The streamlines are displaced away from the upper portion of the left side wall when Gr=10</w:t>
      </w:r>
      <w:r w:rsidR="007C6B97">
        <w:rPr>
          <w:sz w:val="20"/>
          <w:vertAlign w:val="superscript"/>
        </w:rPr>
        <w:t>6</w:t>
      </w:r>
      <w:r w:rsidR="007C6B97">
        <w:rPr>
          <w:sz w:val="20"/>
        </w:rPr>
        <w:t xml:space="preserve"> heralding the possible formation of a secondary eddy near this corner. </w:t>
      </w:r>
      <w:r w:rsidR="004E42DA">
        <w:rPr>
          <w:sz w:val="20"/>
        </w:rPr>
        <w:t>T</w:t>
      </w:r>
      <w:r>
        <w:rPr>
          <w:sz w:val="20"/>
        </w:rPr>
        <w:t xml:space="preserve">he isotherms are </w:t>
      </w:r>
      <w:r w:rsidR="008C4213">
        <w:rPr>
          <w:sz w:val="20"/>
        </w:rPr>
        <w:t>considerably</w:t>
      </w:r>
      <w:r>
        <w:rPr>
          <w:sz w:val="20"/>
        </w:rPr>
        <w:t xml:space="preserve"> expanded toward the upper right wall </w:t>
      </w:r>
      <w:r w:rsidR="004E42DA">
        <w:rPr>
          <w:sz w:val="20"/>
        </w:rPr>
        <w:t xml:space="preserve">by the strong circulation </w:t>
      </w:r>
      <w:r>
        <w:rPr>
          <w:sz w:val="20"/>
        </w:rPr>
        <w:t xml:space="preserve">as the Grashof number increases. </w:t>
      </w:r>
      <w:r w:rsidR="004E42DA">
        <w:rPr>
          <w:sz w:val="20"/>
        </w:rPr>
        <w:t xml:space="preserve">The </w:t>
      </w:r>
      <w:r w:rsidR="00BE17BE">
        <w:rPr>
          <w:sz w:val="20"/>
        </w:rPr>
        <w:t>surface heat flux is reversed along the upper portion of the left side wall.</w:t>
      </w:r>
      <w:r w:rsidR="004E42DA">
        <w:rPr>
          <w:sz w:val="20"/>
        </w:rPr>
        <w:t xml:space="preserve"> </w:t>
      </w:r>
      <w:r>
        <w:rPr>
          <w:sz w:val="20"/>
        </w:rPr>
        <w:t>Streamlines display two counter</w:t>
      </w:r>
      <w:r w:rsidR="001727CF">
        <w:rPr>
          <w:sz w:val="20"/>
        </w:rPr>
        <w:t>-</w:t>
      </w:r>
      <w:r>
        <w:rPr>
          <w:sz w:val="20"/>
        </w:rPr>
        <w:t xml:space="preserve">rotating eddies for the case </w:t>
      </w:r>
      <w:r>
        <w:rPr>
          <w:sz w:val="20"/>
        </w:rPr>
        <w:sym w:font="Symbol" w:char="F066"/>
      </w:r>
      <w:r>
        <w:rPr>
          <w:sz w:val="20"/>
        </w:rPr>
        <w:t>=45</w:t>
      </w:r>
      <w:r>
        <w:rPr>
          <w:sz w:val="20"/>
        </w:rPr>
        <w:sym w:font="Symbol" w:char="F0B0"/>
      </w:r>
      <w:r>
        <w:rPr>
          <w:sz w:val="20"/>
        </w:rPr>
        <w:t xml:space="preserve">. </w:t>
      </w:r>
      <w:r w:rsidR="001727CF">
        <w:rPr>
          <w:sz w:val="20"/>
        </w:rPr>
        <w:t xml:space="preserve">The dividing streamline is observed to rotate in the clockwise direction with the attachment points shifting from the upper and lower corners toward left and right respectively </w:t>
      </w:r>
      <w:r w:rsidR="000C2256">
        <w:rPr>
          <w:sz w:val="20"/>
        </w:rPr>
        <w:t>since the magnetohy</w:t>
      </w:r>
      <w:r w:rsidR="0036465E">
        <w:rPr>
          <w:sz w:val="20"/>
        </w:rPr>
        <w:t>d</w:t>
      </w:r>
      <w:r w:rsidR="000C2256">
        <w:rPr>
          <w:sz w:val="20"/>
        </w:rPr>
        <w:t>rodynamic body force breaks the symmetry</w:t>
      </w:r>
      <w:r w:rsidR="001727CF">
        <w:rPr>
          <w:sz w:val="20"/>
        </w:rPr>
        <w:t>.</w:t>
      </w:r>
      <w:r w:rsidR="009815A5">
        <w:rPr>
          <w:sz w:val="20"/>
        </w:rPr>
        <w:t xml:space="preserve"> </w:t>
      </w:r>
      <w:r w:rsidR="002D2863">
        <w:rPr>
          <w:sz w:val="20"/>
        </w:rPr>
        <w:t>The eddy on the right is observed to grow substantially enclosing two inner loops and the eddy on the right is intensely compressed toward the lower left wall when Gr=10</w:t>
      </w:r>
      <w:r w:rsidR="002D2863">
        <w:rPr>
          <w:sz w:val="20"/>
          <w:vertAlign w:val="superscript"/>
        </w:rPr>
        <w:t>6</w:t>
      </w:r>
      <w:r w:rsidR="002D2863">
        <w:rPr>
          <w:sz w:val="20"/>
        </w:rPr>
        <w:t xml:space="preserve">. It should be noted that the dividing streamline is almost parallel to the lower </w:t>
      </w:r>
      <w:r w:rsidR="00561C81">
        <w:rPr>
          <w:sz w:val="20"/>
        </w:rPr>
        <w:t>left</w:t>
      </w:r>
      <w:r w:rsidR="002D2863">
        <w:rPr>
          <w:sz w:val="20"/>
        </w:rPr>
        <w:t xml:space="preserve"> wall in this case. The isotherms are lifted along the </w:t>
      </w:r>
      <w:r w:rsidR="00621044">
        <w:rPr>
          <w:sz w:val="20"/>
        </w:rPr>
        <w:t xml:space="preserve">dividing streamline </w:t>
      </w:r>
      <w:r w:rsidR="002D2863">
        <w:rPr>
          <w:sz w:val="20"/>
        </w:rPr>
        <w:t xml:space="preserve">and compressed toward the upper </w:t>
      </w:r>
      <w:r w:rsidR="009F394A">
        <w:rPr>
          <w:sz w:val="20"/>
        </w:rPr>
        <w:t>left</w:t>
      </w:r>
      <w:r w:rsidR="002D2863">
        <w:rPr>
          <w:sz w:val="20"/>
        </w:rPr>
        <w:t xml:space="preserve"> wall</w:t>
      </w:r>
      <w:r w:rsidR="009F394A">
        <w:rPr>
          <w:sz w:val="20"/>
        </w:rPr>
        <w:t xml:space="preserve"> </w:t>
      </w:r>
      <w:r w:rsidR="002D2863">
        <w:rPr>
          <w:sz w:val="20"/>
        </w:rPr>
        <w:t>due to the strong circulation of counter rotating eddy pair.</w:t>
      </w:r>
      <w:r w:rsidR="00480BCF">
        <w:rPr>
          <w:sz w:val="20"/>
        </w:rPr>
        <w:t xml:space="preserve"> The surface heat flux substantially decreases near the attachment point of the dividing streamline on the right hot wall and it is enhanced along the left hot wall.</w:t>
      </w:r>
    </w:p>
    <w:p w:rsidR="00AA1BFA" w:rsidRDefault="00AA1BFA" w:rsidP="00A44435">
      <w:pPr>
        <w:spacing w:line="480" w:lineRule="auto"/>
        <w:rPr>
          <w:sz w:val="20"/>
        </w:rPr>
      </w:pPr>
      <w:r>
        <w:rPr>
          <w:sz w:val="20"/>
        </w:rPr>
        <w:tab/>
        <w:t>Streamlines and isotherms for the magnetic field applied diagonally (</w:t>
      </w:r>
      <w:r>
        <w:rPr>
          <w:sz w:val="20"/>
        </w:rPr>
        <w:sym w:font="Symbol" w:char="F06A"/>
      </w:r>
      <w:r>
        <w:rPr>
          <w:sz w:val="20"/>
        </w:rPr>
        <w:t>=45</w:t>
      </w:r>
      <w:r>
        <w:rPr>
          <w:sz w:val="20"/>
        </w:rPr>
        <w:sym w:font="Symbol" w:char="F0B0"/>
      </w:r>
      <w:r>
        <w:rPr>
          <w:sz w:val="20"/>
        </w:rPr>
        <w:t xml:space="preserve">) with Ha=100 and various enclosure inclination and Grashof numbers are shown in Fig. 8 and 9 respectively. The circulation is also weaker than the corresponding cases where Ha=0 due to the retarding effect of the magnetic field on the convection currents. </w:t>
      </w:r>
      <w:r w:rsidR="00DC64EF">
        <w:rPr>
          <w:sz w:val="20"/>
        </w:rPr>
        <w:t xml:space="preserve">The </w:t>
      </w:r>
      <w:r w:rsidR="00DC64EF" w:rsidRPr="00C05A72">
        <w:rPr>
          <w:color w:val="000000"/>
          <w:sz w:val="20"/>
        </w:rPr>
        <w:lastRenderedPageBreak/>
        <w:t>magnetohyrodynamic</w:t>
      </w:r>
      <w:r w:rsidR="00DC64EF" w:rsidRPr="00334525">
        <w:rPr>
          <w:color w:val="0000FF"/>
          <w:sz w:val="20"/>
        </w:rPr>
        <w:t xml:space="preserve"> </w:t>
      </w:r>
      <w:r w:rsidR="00DC64EF">
        <w:rPr>
          <w:sz w:val="20"/>
        </w:rPr>
        <w:t xml:space="preserve">body force acts along both the x- and y-axes in this case. </w:t>
      </w:r>
      <w:r>
        <w:rPr>
          <w:sz w:val="20"/>
        </w:rPr>
        <w:t xml:space="preserve">It may be observed that a clockwise rotating eddy is formed with the streamlines compressed toward the right diagonal for </w:t>
      </w:r>
      <w:r>
        <w:rPr>
          <w:sz w:val="20"/>
        </w:rPr>
        <w:sym w:font="Symbol" w:char="F066"/>
      </w:r>
      <w:r>
        <w:rPr>
          <w:sz w:val="20"/>
        </w:rPr>
        <w:t>=0</w:t>
      </w:r>
      <w:r>
        <w:rPr>
          <w:sz w:val="20"/>
        </w:rPr>
        <w:sym w:font="Symbol" w:char="F0B0"/>
      </w:r>
      <w:r>
        <w:rPr>
          <w:sz w:val="20"/>
        </w:rPr>
        <w:t>. The circulation and vorticity become stronger as the Grashof number increases and the streamline are observed to be more compressed toward the diagonal in the upper domain</w:t>
      </w:r>
      <w:r w:rsidR="00F86E22">
        <w:rPr>
          <w:sz w:val="20"/>
        </w:rPr>
        <w:t xml:space="preserve"> for values of the Grashof number up to 10</w:t>
      </w:r>
      <w:r w:rsidR="00F86E22">
        <w:rPr>
          <w:sz w:val="20"/>
          <w:vertAlign w:val="superscript"/>
        </w:rPr>
        <w:t>5</w:t>
      </w:r>
      <w:r>
        <w:rPr>
          <w:sz w:val="20"/>
        </w:rPr>
        <w:t xml:space="preserve">. </w:t>
      </w:r>
      <w:r w:rsidR="00F86E22">
        <w:rPr>
          <w:sz w:val="20"/>
        </w:rPr>
        <w:t xml:space="preserve">A </w:t>
      </w:r>
      <w:r w:rsidR="00231355">
        <w:rPr>
          <w:sz w:val="20"/>
        </w:rPr>
        <w:t xml:space="preserve">group of three </w:t>
      </w:r>
      <w:r w:rsidR="00F86E22">
        <w:rPr>
          <w:sz w:val="20"/>
        </w:rPr>
        <w:t xml:space="preserve">counter-rotating eddies emerges within the </w:t>
      </w:r>
      <w:r w:rsidR="00231355">
        <w:rPr>
          <w:sz w:val="20"/>
        </w:rPr>
        <w:t xml:space="preserve">enclosure </w:t>
      </w:r>
      <w:r w:rsidR="00F86E22">
        <w:rPr>
          <w:sz w:val="20"/>
        </w:rPr>
        <w:t xml:space="preserve">for </w:t>
      </w:r>
      <w:r w:rsidR="00E26C58">
        <w:rPr>
          <w:sz w:val="20"/>
        </w:rPr>
        <w:t>Gr=</w:t>
      </w:r>
      <w:r w:rsidR="00F86E22">
        <w:rPr>
          <w:sz w:val="20"/>
        </w:rPr>
        <w:t>10</w:t>
      </w:r>
      <w:r w:rsidR="00F86E22">
        <w:rPr>
          <w:sz w:val="20"/>
          <w:vertAlign w:val="superscript"/>
        </w:rPr>
        <w:t>6</w:t>
      </w:r>
      <w:r w:rsidR="00F86E22">
        <w:rPr>
          <w:sz w:val="20"/>
        </w:rPr>
        <w:t xml:space="preserve">. </w:t>
      </w:r>
      <w:r>
        <w:rPr>
          <w:sz w:val="20"/>
        </w:rPr>
        <w:t>The isotherms resemble the heat transfer by pure conduction for Gr</w:t>
      </w:r>
      <w:r w:rsidR="00726C5F">
        <w:rPr>
          <w:sz w:val="20"/>
        </w:rPr>
        <w:t>=</w:t>
      </w:r>
      <w:r>
        <w:rPr>
          <w:sz w:val="20"/>
        </w:rPr>
        <w:t>10</w:t>
      </w:r>
      <w:r>
        <w:rPr>
          <w:sz w:val="20"/>
          <w:vertAlign w:val="superscript"/>
        </w:rPr>
        <w:t>4</w:t>
      </w:r>
      <w:r>
        <w:rPr>
          <w:sz w:val="20"/>
        </w:rPr>
        <w:t xml:space="preserve"> and are slightly expanded toward the top wall for Gr=10</w:t>
      </w:r>
      <w:r>
        <w:rPr>
          <w:sz w:val="20"/>
          <w:vertAlign w:val="superscript"/>
        </w:rPr>
        <w:t>5</w:t>
      </w:r>
      <w:r>
        <w:rPr>
          <w:sz w:val="20"/>
        </w:rPr>
        <w:t xml:space="preserve">. </w:t>
      </w:r>
      <w:r w:rsidR="00664417">
        <w:rPr>
          <w:sz w:val="20"/>
        </w:rPr>
        <w:t xml:space="preserve">For higher values of the Grashof number the isotherms are strongly expanded along the diagonal </w:t>
      </w:r>
      <w:r w:rsidR="00977346">
        <w:rPr>
          <w:sz w:val="20"/>
        </w:rPr>
        <w:t xml:space="preserve">due to the presence of counter-rotating eddies and strong circulation. </w:t>
      </w:r>
      <w:r>
        <w:rPr>
          <w:sz w:val="20"/>
        </w:rPr>
        <w:t xml:space="preserve">A clockwise rotating eddy is also formed with the streamlines compressed toward the horizontal diagonal </w:t>
      </w:r>
      <w:r>
        <w:rPr>
          <w:sz w:val="20"/>
        </w:rPr>
        <w:sym w:font="Symbol" w:char="F066"/>
      </w:r>
      <w:r>
        <w:rPr>
          <w:sz w:val="20"/>
        </w:rPr>
        <w:t>=-45</w:t>
      </w:r>
      <w:r>
        <w:rPr>
          <w:sz w:val="20"/>
        </w:rPr>
        <w:sym w:font="Symbol" w:char="F0B0"/>
      </w:r>
      <w:r>
        <w:rPr>
          <w:sz w:val="20"/>
        </w:rPr>
        <w:t>. The isotherms resemble the heat transfer by pure conduction for relatively small values of the Grashof number and are slightly expanded toward upper left wall for Gr=10</w:t>
      </w:r>
      <w:r>
        <w:rPr>
          <w:sz w:val="20"/>
          <w:vertAlign w:val="superscript"/>
        </w:rPr>
        <w:t>5</w:t>
      </w:r>
      <w:r>
        <w:rPr>
          <w:sz w:val="20"/>
        </w:rPr>
        <w:t xml:space="preserve">. The expansion of the isotherms toward the upper left wall is much more pronounced with the strong circulation for </w:t>
      </w:r>
      <w:r w:rsidR="007E29F3">
        <w:rPr>
          <w:sz w:val="20"/>
        </w:rPr>
        <w:t>Gr=</w:t>
      </w:r>
      <w:r>
        <w:rPr>
          <w:sz w:val="20"/>
        </w:rPr>
        <w:t>10</w:t>
      </w:r>
      <w:r>
        <w:rPr>
          <w:sz w:val="20"/>
          <w:vertAlign w:val="superscript"/>
        </w:rPr>
        <w:t>6</w:t>
      </w:r>
      <w:r>
        <w:rPr>
          <w:sz w:val="20"/>
        </w:rPr>
        <w:t>. Streamlines are in the form of two counter</w:t>
      </w:r>
      <w:r w:rsidR="00E50879">
        <w:rPr>
          <w:sz w:val="20"/>
        </w:rPr>
        <w:t>-</w:t>
      </w:r>
      <w:r>
        <w:rPr>
          <w:sz w:val="20"/>
        </w:rPr>
        <w:t>rotating eddies for values of the Grashof number up to 10</w:t>
      </w:r>
      <w:r>
        <w:rPr>
          <w:sz w:val="20"/>
          <w:vertAlign w:val="superscript"/>
        </w:rPr>
        <w:t>5</w:t>
      </w:r>
      <w:r>
        <w:rPr>
          <w:sz w:val="20"/>
        </w:rPr>
        <w:t xml:space="preserve"> in the case </w:t>
      </w:r>
      <w:r>
        <w:rPr>
          <w:sz w:val="20"/>
        </w:rPr>
        <w:sym w:font="Symbol" w:char="F066"/>
      </w:r>
      <w:r>
        <w:rPr>
          <w:sz w:val="20"/>
        </w:rPr>
        <w:t>=45</w:t>
      </w:r>
      <w:r>
        <w:rPr>
          <w:sz w:val="20"/>
        </w:rPr>
        <w:sym w:font="Symbol" w:char="F0B0"/>
      </w:r>
      <w:r>
        <w:rPr>
          <w:sz w:val="20"/>
        </w:rPr>
        <w:t xml:space="preserve"> The centers of the eddies move closer to each other as the Grashof number increases and </w:t>
      </w:r>
      <w:r w:rsidR="00F116C0">
        <w:rPr>
          <w:sz w:val="20"/>
        </w:rPr>
        <w:t xml:space="preserve">a second pair of counter-rotating eddies forms </w:t>
      </w:r>
      <w:r>
        <w:rPr>
          <w:sz w:val="20"/>
        </w:rPr>
        <w:t>for Gr=10</w:t>
      </w:r>
      <w:r w:rsidR="00F116C0">
        <w:rPr>
          <w:sz w:val="20"/>
          <w:vertAlign w:val="superscript"/>
        </w:rPr>
        <w:t>6</w:t>
      </w:r>
      <w:r>
        <w:rPr>
          <w:sz w:val="20"/>
        </w:rPr>
        <w:t xml:space="preserve">. The isotherms are lifted upward slightly </w:t>
      </w:r>
      <w:r w:rsidR="007B1F7F">
        <w:rPr>
          <w:sz w:val="20"/>
        </w:rPr>
        <w:t xml:space="preserve">along the dividing streamline </w:t>
      </w:r>
      <w:r>
        <w:rPr>
          <w:sz w:val="20"/>
        </w:rPr>
        <w:t>under the influence of two counter-rotating eddies for values of the Grashof number up to 10</w:t>
      </w:r>
      <w:r>
        <w:rPr>
          <w:sz w:val="20"/>
          <w:vertAlign w:val="superscript"/>
        </w:rPr>
        <w:t>5</w:t>
      </w:r>
      <w:r>
        <w:rPr>
          <w:sz w:val="20"/>
        </w:rPr>
        <w:t xml:space="preserve">. The isotherms are expanded toward the upper and lower left walls and depressed along the </w:t>
      </w:r>
      <w:r w:rsidR="00E50879">
        <w:rPr>
          <w:sz w:val="20"/>
        </w:rPr>
        <w:t>vertical</w:t>
      </w:r>
      <w:r>
        <w:rPr>
          <w:sz w:val="20"/>
        </w:rPr>
        <w:t xml:space="preserve"> diagonal due to the strong circulation of counter rotating eddy pairs and display a complex behavior.</w:t>
      </w:r>
    </w:p>
    <w:p w:rsidR="00AA1BFA" w:rsidRDefault="00186BF8" w:rsidP="00A44435">
      <w:pPr>
        <w:spacing w:line="480" w:lineRule="auto"/>
        <w:rPr>
          <w:sz w:val="20"/>
        </w:rPr>
      </w:pPr>
      <w:r w:rsidRPr="00186BF8">
        <w:rPr>
          <w:sz w:val="20"/>
        </w:rPr>
        <w:tab/>
        <w:t xml:space="preserve">The local Nusselt numbers </w:t>
      </w:r>
      <w:r w:rsidR="00397ADC">
        <w:rPr>
          <w:sz w:val="20"/>
        </w:rPr>
        <w:t xml:space="preserve">in terms of the dimensionless variables are </w:t>
      </w:r>
      <w:r w:rsidRPr="00186BF8">
        <w:rPr>
          <w:sz w:val="20"/>
        </w:rPr>
        <w:t>defined as follows</w:t>
      </w:r>
    </w:p>
    <w:p w:rsidR="00021585" w:rsidRDefault="00397ADC" w:rsidP="00A44435">
      <w:pPr>
        <w:spacing w:line="480" w:lineRule="auto"/>
        <w:rPr>
          <w:sz w:val="20"/>
        </w:rPr>
      </w:pPr>
      <w:r w:rsidRPr="00021585">
        <w:rPr>
          <w:position w:val="-32"/>
          <w:sz w:val="20"/>
        </w:rPr>
        <w:object w:dxaOrig="3180" w:dyaOrig="700">
          <v:shape id="_x0000_i1046" type="#_x0000_t75" style="width:159pt;height:35pt" o:ole="">
            <v:imagedata r:id="rId50" o:title=""/>
          </v:shape>
          <o:OLEObject Type="Embed" ProgID="Equation.3" ShapeID="_x0000_i1046" DrawAspect="Content" ObjectID="_1428071829" r:id="rId51"/>
        </w:object>
      </w:r>
      <w:r w:rsidR="008840C2">
        <w:rPr>
          <w:sz w:val="20"/>
        </w:rPr>
        <w:t xml:space="preserve">      .                            </w:t>
      </w:r>
      <w:r w:rsidR="00420A20">
        <w:rPr>
          <w:sz w:val="20"/>
        </w:rPr>
        <w:t xml:space="preserve">                       </w:t>
      </w:r>
      <w:r w:rsidR="008840C2">
        <w:rPr>
          <w:sz w:val="20"/>
        </w:rPr>
        <w:t xml:space="preserve">                                                                (2</w:t>
      </w:r>
      <w:r>
        <w:rPr>
          <w:sz w:val="20"/>
        </w:rPr>
        <w:t>2</w:t>
      </w:r>
      <w:r w:rsidR="008840C2">
        <w:rPr>
          <w:sz w:val="20"/>
        </w:rPr>
        <w:t>)</w:t>
      </w:r>
    </w:p>
    <w:p w:rsidR="00D81406" w:rsidRDefault="00B04864" w:rsidP="00A44435">
      <w:pPr>
        <w:spacing w:line="480" w:lineRule="auto"/>
        <w:rPr>
          <w:sz w:val="20"/>
        </w:rPr>
      </w:pPr>
      <w:r>
        <w:rPr>
          <w:sz w:val="20"/>
        </w:rPr>
        <w:t xml:space="preserve">Eqs. (14) were used in the evaluation of the derivatives in the present study. </w:t>
      </w:r>
      <w:r w:rsidR="00D81406">
        <w:rPr>
          <w:sz w:val="20"/>
        </w:rPr>
        <w:t>Variation</w:t>
      </w:r>
      <w:r w:rsidR="006E0F1D">
        <w:rPr>
          <w:sz w:val="20"/>
        </w:rPr>
        <w:t>s</w:t>
      </w:r>
      <w:r w:rsidR="00D81406">
        <w:rPr>
          <w:sz w:val="20"/>
        </w:rPr>
        <w:t xml:space="preserve"> of the local Nusselt number </w:t>
      </w:r>
      <w:r w:rsidR="006E0F1D">
        <w:rPr>
          <w:sz w:val="20"/>
        </w:rPr>
        <w:t xml:space="preserve">along </w:t>
      </w:r>
      <w:r w:rsidR="006E0F1D" w:rsidRPr="00C05A72">
        <w:rPr>
          <w:color w:val="000000"/>
          <w:sz w:val="20"/>
        </w:rPr>
        <w:t>the</w:t>
      </w:r>
      <w:r w:rsidR="00130F07" w:rsidRPr="00C05A72">
        <w:rPr>
          <w:color w:val="000000"/>
          <w:sz w:val="20"/>
        </w:rPr>
        <w:t xml:space="preserve"> left side</w:t>
      </w:r>
      <w:r w:rsidR="006E0F1D" w:rsidRPr="00C05A72">
        <w:rPr>
          <w:color w:val="000000"/>
          <w:sz w:val="20"/>
        </w:rPr>
        <w:t xml:space="preserve"> and </w:t>
      </w:r>
      <w:r w:rsidR="00130F07" w:rsidRPr="00C05A72">
        <w:rPr>
          <w:color w:val="000000"/>
          <w:sz w:val="20"/>
        </w:rPr>
        <w:t>bottom</w:t>
      </w:r>
      <w:r w:rsidR="006E0F1D" w:rsidRPr="00C05A72">
        <w:rPr>
          <w:color w:val="000000"/>
          <w:sz w:val="20"/>
        </w:rPr>
        <w:t xml:space="preserve"> walls</w:t>
      </w:r>
      <w:r w:rsidR="006E0F1D">
        <w:rPr>
          <w:sz w:val="20"/>
        </w:rPr>
        <w:t xml:space="preserve"> for various inclination angles are shown in Figs. 10 and 11 respectively for </w:t>
      </w:r>
      <w:r w:rsidR="00FE1601">
        <w:rPr>
          <w:sz w:val="20"/>
        </w:rPr>
        <w:t>Gr=10</w:t>
      </w:r>
      <w:r w:rsidR="00FE1601">
        <w:rPr>
          <w:sz w:val="20"/>
          <w:vertAlign w:val="superscript"/>
        </w:rPr>
        <w:t>5</w:t>
      </w:r>
      <w:r w:rsidR="0045056B">
        <w:rPr>
          <w:sz w:val="20"/>
        </w:rPr>
        <w:t>.</w:t>
      </w:r>
      <w:r w:rsidR="002943D3">
        <w:rPr>
          <w:sz w:val="20"/>
        </w:rPr>
        <w:t xml:space="preserve"> It may be seen that</w:t>
      </w:r>
      <w:r w:rsidR="00880C29">
        <w:rPr>
          <w:sz w:val="20"/>
        </w:rPr>
        <w:t>,</w:t>
      </w:r>
      <w:r w:rsidR="002943D3">
        <w:rPr>
          <w:sz w:val="20"/>
        </w:rPr>
        <w:t xml:space="preserve"> </w:t>
      </w:r>
      <w:r w:rsidR="00880C29">
        <w:rPr>
          <w:sz w:val="20"/>
        </w:rPr>
        <w:t>w</w:t>
      </w:r>
      <w:r w:rsidR="00246C24">
        <w:rPr>
          <w:sz w:val="20"/>
        </w:rPr>
        <w:t>ithout the presence of the magnetic field, the s</w:t>
      </w:r>
      <w:r w:rsidR="002943D3">
        <w:rPr>
          <w:sz w:val="20"/>
        </w:rPr>
        <w:t xml:space="preserve">urface heat flux is reversed along the upper portion of the left side wall due to the </w:t>
      </w:r>
      <w:r w:rsidR="00D4112B">
        <w:rPr>
          <w:sz w:val="20"/>
        </w:rPr>
        <w:t xml:space="preserve">rise of the warmer fluid particles by circulation for no inclination </w:t>
      </w:r>
      <w:r w:rsidR="00755564">
        <w:rPr>
          <w:sz w:val="20"/>
        </w:rPr>
        <w:t>(</w:t>
      </w:r>
      <w:r w:rsidR="00755564">
        <w:rPr>
          <w:sz w:val="20"/>
        </w:rPr>
        <w:sym w:font="Symbol" w:char="F066"/>
      </w:r>
      <w:r w:rsidR="00755564">
        <w:rPr>
          <w:sz w:val="20"/>
        </w:rPr>
        <w:t>=0</w:t>
      </w:r>
      <w:r w:rsidR="00755564">
        <w:rPr>
          <w:sz w:val="20"/>
        </w:rPr>
        <w:sym w:font="Symbol" w:char="F0B0"/>
      </w:r>
      <w:r w:rsidR="00755564">
        <w:rPr>
          <w:sz w:val="20"/>
        </w:rPr>
        <w:t xml:space="preserve">) </w:t>
      </w:r>
      <w:r w:rsidR="00D4112B">
        <w:rPr>
          <w:sz w:val="20"/>
        </w:rPr>
        <w:t>and clockwise inclination</w:t>
      </w:r>
      <w:r w:rsidR="00755564">
        <w:rPr>
          <w:sz w:val="20"/>
        </w:rPr>
        <w:t xml:space="preserve"> (</w:t>
      </w:r>
      <w:r w:rsidR="00755564">
        <w:rPr>
          <w:sz w:val="20"/>
        </w:rPr>
        <w:sym w:font="Symbol" w:char="F066"/>
      </w:r>
      <w:r w:rsidR="00755564">
        <w:rPr>
          <w:sz w:val="20"/>
        </w:rPr>
        <w:t>=-45</w:t>
      </w:r>
      <w:r w:rsidR="00755564">
        <w:rPr>
          <w:sz w:val="20"/>
        </w:rPr>
        <w:sym w:font="Symbol" w:char="F0B0"/>
      </w:r>
      <w:r w:rsidR="00755564">
        <w:rPr>
          <w:sz w:val="20"/>
        </w:rPr>
        <w:t>)</w:t>
      </w:r>
      <w:r w:rsidR="00B9290F">
        <w:rPr>
          <w:sz w:val="20"/>
        </w:rPr>
        <w:t xml:space="preserve"> </w:t>
      </w:r>
      <w:r w:rsidR="00423E5A">
        <w:rPr>
          <w:sz w:val="20"/>
        </w:rPr>
        <w:t xml:space="preserve">and </w:t>
      </w:r>
      <w:r w:rsidR="00EC0E01">
        <w:rPr>
          <w:sz w:val="20"/>
        </w:rPr>
        <w:t xml:space="preserve">considerably </w:t>
      </w:r>
      <w:r w:rsidR="00423E5A">
        <w:rPr>
          <w:sz w:val="20"/>
        </w:rPr>
        <w:t xml:space="preserve">enhanced </w:t>
      </w:r>
      <w:r w:rsidR="00EC0E01">
        <w:rPr>
          <w:sz w:val="20"/>
        </w:rPr>
        <w:t>by the circulation of the counterclockwi</w:t>
      </w:r>
      <w:r w:rsidR="00645F37">
        <w:rPr>
          <w:sz w:val="20"/>
        </w:rPr>
        <w:t>se rotating eddy near this wall</w:t>
      </w:r>
      <w:r w:rsidR="00EC0E01">
        <w:rPr>
          <w:sz w:val="20"/>
        </w:rPr>
        <w:t xml:space="preserve"> </w:t>
      </w:r>
      <w:r w:rsidR="00645F37">
        <w:rPr>
          <w:sz w:val="20"/>
        </w:rPr>
        <w:t>for counterclockwise inclination (</w:t>
      </w:r>
      <w:r w:rsidR="00645F37">
        <w:rPr>
          <w:sz w:val="20"/>
        </w:rPr>
        <w:sym w:font="Symbol" w:char="F066"/>
      </w:r>
      <w:r w:rsidR="00645F37">
        <w:rPr>
          <w:sz w:val="20"/>
        </w:rPr>
        <w:t>=45</w:t>
      </w:r>
      <w:r w:rsidR="00645F37">
        <w:rPr>
          <w:sz w:val="20"/>
        </w:rPr>
        <w:sym w:font="Symbol" w:char="F0B0"/>
      </w:r>
      <w:r w:rsidR="00645F37">
        <w:rPr>
          <w:sz w:val="20"/>
        </w:rPr>
        <w:t xml:space="preserve">). </w:t>
      </w:r>
      <w:r w:rsidR="00880C29">
        <w:rPr>
          <w:sz w:val="20"/>
        </w:rPr>
        <w:t>T</w:t>
      </w:r>
      <w:r w:rsidR="001A1CEC">
        <w:rPr>
          <w:sz w:val="20"/>
        </w:rPr>
        <w:t>he</w:t>
      </w:r>
      <w:r w:rsidR="00880C29">
        <w:rPr>
          <w:sz w:val="20"/>
        </w:rPr>
        <w:t xml:space="preserve"> surface heat </w:t>
      </w:r>
      <w:r w:rsidR="00C146AD">
        <w:rPr>
          <w:sz w:val="20"/>
        </w:rPr>
        <w:t>flux</w:t>
      </w:r>
      <w:r w:rsidR="00880C29">
        <w:rPr>
          <w:sz w:val="20"/>
        </w:rPr>
        <w:t xml:space="preserve"> is substantially reduced by the application of the magnetic field. Magnetic field applied in the direction of </w:t>
      </w:r>
      <w:r w:rsidR="00C1372F">
        <w:rPr>
          <w:sz w:val="20"/>
        </w:rPr>
        <w:t>y</w:t>
      </w:r>
      <w:r w:rsidR="00880C29">
        <w:rPr>
          <w:sz w:val="20"/>
        </w:rPr>
        <w:t>-axis (</w:t>
      </w:r>
      <w:r w:rsidR="00880C29">
        <w:rPr>
          <w:sz w:val="20"/>
        </w:rPr>
        <w:sym w:font="Symbol" w:char="F06A"/>
      </w:r>
      <w:r w:rsidR="00880C29">
        <w:rPr>
          <w:sz w:val="20"/>
        </w:rPr>
        <w:t>=</w:t>
      </w:r>
      <w:r w:rsidR="00C1372F">
        <w:rPr>
          <w:sz w:val="20"/>
        </w:rPr>
        <w:t>9</w:t>
      </w:r>
      <w:r w:rsidR="00880C29">
        <w:rPr>
          <w:sz w:val="20"/>
        </w:rPr>
        <w:t>0</w:t>
      </w:r>
      <w:r w:rsidR="00880C29">
        <w:rPr>
          <w:sz w:val="20"/>
        </w:rPr>
        <w:sym w:font="Symbol" w:char="F0B0"/>
      </w:r>
      <w:r w:rsidR="00880C29">
        <w:rPr>
          <w:sz w:val="20"/>
        </w:rPr>
        <w:t xml:space="preserve">) is slightly </w:t>
      </w:r>
      <w:r w:rsidR="00C1372F">
        <w:rPr>
          <w:sz w:val="20"/>
        </w:rPr>
        <w:t>l</w:t>
      </w:r>
      <w:r w:rsidR="00880C29">
        <w:rPr>
          <w:sz w:val="20"/>
        </w:rPr>
        <w:t>e</w:t>
      </w:r>
      <w:r w:rsidR="00C1372F">
        <w:rPr>
          <w:sz w:val="20"/>
        </w:rPr>
        <w:t>ss</w:t>
      </w:r>
      <w:r w:rsidR="00880C29">
        <w:rPr>
          <w:sz w:val="20"/>
        </w:rPr>
        <w:t xml:space="preserve"> effective in reducing the surface heat flux along the </w:t>
      </w:r>
      <w:r w:rsidR="008A02FC">
        <w:rPr>
          <w:sz w:val="20"/>
        </w:rPr>
        <w:t>left side wall</w:t>
      </w:r>
      <w:r w:rsidR="001B3CDD">
        <w:rPr>
          <w:sz w:val="20"/>
        </w:rPr>
        <w:t>.</w:t>
      </w:r>
      <w:r w:rsidR="002943D3">
        <w:rPr>
          <w:sz w:val="20"/>
        </w:rPr>
        <w:t xml:space="preserve"> </w:t>
      </w:r>
      <w:r w:rsidR="00C26BA1">
        <w:rPr>
          <w:sz w:val="20"/>
        </w:rPr>
        <w:t xml:space="preserve">The surface heat flux is substantially increased along the bottom wall by the convection currents when the magnetic field is not applied. </w:t>
      </w:r>
      <w:r w:rsidR="00D22438">
        <w:rPr>
          <w:sz w:val="20"/>
        </w:rPr>
        <w:t>Higher magnitudes of surface heat flux are produced by clockwise inclination (</w:t>
      </w:r>
      <w:r w:rsidR="00D22438">
        <w:rPr>
          <w:sz w:val="20"/>
        </w:rPr>
        <w:sym w:font="Symbol" w:char="F066"/>
      </w:r>
      <w:r w:rsidR="00D22438">
        <w:rPr>
          <w:sz w:val="20"/>
        </w:rPr>
        <w:t>=-45</w:t>
      </w:r>
      <w:r w:rsidR="00D22438">
        <w:rPr>
          <w:sz w:val="20"/>
        </w:rPr>
        <w:sym w:font="Symbol" w:char="F0B0"/>
      </w:r>
      <w:r w:rsidR="00D22438">
        <w:rPr>
          <w:sz w:val="20"/>
        </w:rPr>
        <w:t xml:space="preserve">). </w:t>
      </w:r>
      <w:r w:rsidR="007E553E">
        <w:rPr>
          <w:sz w:val="20"/>
        </w:rPr>
        <w:t>Formation of counter-rotating eddy with a weaker circulation for the counterclockwise inclination (</w:t>
      </w:r>
      <w:r w:rsidR="007E553E">
        <w:rPr>
          <w:sz w:val="20"/>
        </w:rPr>
        <w:sym w:font="Symbol" w:char="F066"/>
      </w:r>
      <w:r w:rsidR="007E553E">
        <w:rPr>
          <w:sz w:val="20"/>
        </w:rPr>
        <w:t>=45</w:t>
      </w:r>
      <w:r w:rsidR="007E553E">
        <w:rPr>
          <w:sz w:val="20"/>
        </w:rPr>
        <w:sym w:font="Symbol" w:char="F0B0"/>
      </w:r>
      <w:r w:rsidR="007E553E">
        <w:rPr>
          <w:sz w:val="20"/>
        </w:rPr>
        <w:t xml:space="preserve">) results in lower magnitudes of surface heat flux along the bottom wall. </w:t>
      </w:r>
      <w:r w:rsidR="00C26BA1">
        <w:rPr>
          <w:sz w:val="20"/>
        </w:rPr>
        <w:t>The location of the maximum surface heat flux is closer to the lower left corner for no inclination (</w:t>
      </w:r>
      <w:r w:rsidR="00C26BA1">
        <w:rPr>
          <w:sz w:val="20"/>
        </w:rPr>
        <w:sym w:font="Symbol" w:char="F066"/>
      </w:r>
      <w:r w:rsidR="00C26BA1">
        <w:rPr>
          <w:sz w:val="20"/>
        </w:rPr>
        <w:t>=0</w:t>
      </w:r>
      <w:r w:rsidR="00C26BA1">
        <w:rPr>
          <w:sz w:val="20"/>
        </w:rPr>
        <w:sym w:font="Symbol" w:char="F0B0"/>
      </w:r>
      <w:r w:rsidR="00C26BA1">
        <w:rPr>
          <w:sz w:val="20"/>
        </w:rPr>
        <w:t>) and clockwise inclination (</w:t>
      </w:r>
      <w:r w:rsidR="00C26BA1">
        <w:rPr>
          <w:sz w:val="20"/>
        </w:rPr>
        <w:sym w:font="Symbol" w:char="F066"/>
      </w:r>
      <w:r w:rsidR="00C26BA1">
        <w:rPr>
          <w:sz w:val="20"/>
        </w:rPr>
        <w:t>=-</w:t>
      </w:r>
      <w:r w:rsidR="00C26BA1">
        <w:rPr>
          <w:sz w:val="20"/>
        </w:rPr>
        <w:lastRenderedPageBreak/>
        <w:t>45</w:t>
      </w:r>
      <w:r w:rsidR="00C26BA1">
        <w:rPr>
          <w:sz w:val="20"/>
        </w:rPr>
        <w:sym w:font="Symbol" w:char="F0B0"/>
      </w:r>
      <w:r w:rsidR="00C26BA1">
        <w:rPr>
          <w:sz w:val="20"/>
        </w:rPr>
        <w:t>) and shift</w:t>
      </w:r>
      <w:r w:rsidR="001913CC">
        <w:rPr>
          <w:sz w:val="20"/>
        </w:rPr>
        <w:t>s</w:t>
      </w:r>
      <w:r w:rsidR="00C26BA1">
        <w:rPr>
          <w:sz w:val="20"/>
        </w:rPr>
        <w:t xml:space="preserve"> toward the </w:t>
      </w:r>
      <w:r w:rsidR="003E6DF4">
        <w:rPr>
          <w:sz w:val="20"/>
        </w:rPr>
        <w:t>middle</w:t>
      </w:r>
      <w:r w:rsidR="00C26BA1">
        <w:rPr>
          <w:sz w:val="20"/>
        </w:rPr>
        <w:t xml:space="preserve"> </w:t>
      </w:r>
      <w:r w:rsidR="003E6DF4">
        <w:rPr>
          <w:sz w:val="20"/>
        </w:rPr>
        <w:t xml:space="preserve">since the convection currents slow down toward the lower corner </w:t>
      </w:r>
      <w:r w:rsidR="00C26BA1">
        <w:rPr>
          <w:sz w:val="20"/>
        </w:rPr>
        <w:t>due to the presence of counter-rotating eddy pair for counterclockwise inclination (</w:t>
      </w:r>
      <w:r w:rsidR="00C26BA1">
        <w:rPr>
          <w:sz w:val="20"/>
        </w:rPr>
        <w:sym w:font="Symbol" w:char="F066"/>
      </w:r>
      <w:r w:rsidR="00C26BA1">
        <w:rPr>
          <w:sz w:val="20"/>
        </w:rPr>
        <w:t>=45</w:t>
      </w:r>
      <w:r w:rsidR="00C26BA1">
        <w:rPr>
          <w:sz w:val="20"/>
        </w:rPr>
        <w:sym w:font="Symbol" w:char="F0B0"/>
      </w:r>
      <w:r w:rsidR="00C26BA1">
        <w:rPr>
          <w:sz w:val="20"/>
        </w:rPr>
        <w:t xml:space="preserve">). </w:t>
      </w:r>
      <w:r w:rsidR="007F4A29">
        <w:rPr>
          <w:sz w:val="20"/>
        </w:rPr>
        <w:t>The local surface heat flux on the bottom wall is also substantially reduced by the application of the magnetic</w:t>
      </w:r>
      <w:r w:rsidR="00EA2F0B">
        <w:rPr>
          <w:sz w:val="20"/>
        </w:rPr>
        <w:t xml:space="preserve"> field</w:t>
      </w:r>
      <w:r w:rsidR="007F4A29">
        <w:rPr>
          <w:sz w:val="20"/>
        </w:rPr>
        <w:t>.</w:t>
      </w:r>
    </w:p>
    <w:p w:rsidR="00C92E23" w:rsidRDefault="00CA3E7B" w:rsidP="00A44435">
      <w:pPr>
        <w:spacing w:line="480" w:lineRule="auto"/>
        <w:rPr>
          <w:sz w:val="20"/>
        </w:rPr>
      </w:pPr>
      <w:r>
        <w:rPr>
          <w:sz w:val="20"/>
        </w:rPr>
        <w:tab/>
        <w:t xml:space="preserve">A grid study was carried out </w:t>
      </w:r>
      <w:r w:rsidR="00617E89">
        <w:rPr>
          <w:sz w:val="20"/>
        </w:rPr>
        <w:t>for Gr=10</w:t>
      </w:r>
      <w:r w:rsidR="00617E89">
        <w:rPr>
          <w:sz w:val="20"/>
          <w:vertAlign w:val="superscript"/>
        </w:rPr>
        <w:t>5</w:t>
      </w:r>
      <w:r w:rsidR="00617E89">
        <w:rPr>
          <w:sz w:val="20"/>
        </w:rPr>
        <w:t xml:space="preserve"> to clarify the accuracy of the results and </w:t>
      </w:r>
      <w:r w:rsidR="00A15609">
        <w:rPr>
          <w:sz w:val="20"/>
        </w:rPr>
        <w:t xml:space="preserve">the effect of the mesh size on the convergence rate. </w:t>
      </w:r>
      <w:r w:rsidR="000304A6">
        <w:rPr>
          <w:sz w:val="20"/>
        </w:rPr>
        <w:t xml:space="preserve">The results </w:t>
      </w:r>
      <w:r w:rsidR="00A15609">
        <w:rPr>
          <w:sz w:val="20"/>
        </w:rPr>
        <w:t xml:space="preserve">listed in the Table 1 show that the number of iterations almost quadruples </w:t>
      </w:r>
      <w:r w:rsidR="00662A82">
        <w:rPr>
          <w:sz w:val="20"/>
        </w:rPr>
        <w:t xml:space="preserve">when the grid distribution is refined from 51X51 to 101X101. </w:t>
      </w:r>
      <w:r w:rsidR="00C92E23">
        <w:rPr>
          <w:sz w:val="20"/>
        </w:rPr>
        <w:t>The maximum values of the streamlines are also in excellent agreement and the present results are expected to be four digits accurate.</w:t>
      </w:r>
    </w:p>
    <w:p w:rsidR="006F7CA4" w:rsidRDefault="006F7CA4" w:rsidP="00A44435">
      <w:pPr>
        <w:spacing w:line="480" w:lineRule="auto"/>
        <w:rPr>
          <w:sz w:val="20"/>
        </w:rPr>
      </w:pPr>
      <w:r>
        <w:rPr>
          <w:sz w:val="20"/>
        </w:rPr>
        <w:tab/>
        <w:t xml:space="preserve">There no published results with the same thermal boundary conditions known to the authors. The numerical calculations were repeated for an enclosure with isothermally heated adjacent walls to be able to compare the results with those given by </w:t>
      </w:r>
      <w:r w:rsidR="00C57BE6" w:rsidRPr="00790826">
        <w:rPr>
          <w:sz w:val="20"/>
        </w:rPr>
        <w:t>Cianfrini</w:t>
      </w:r>
      <w:r w:rsidR="00C57BE6">
        <w:rPr>
          <w:sz w:val="20"/>
        </w:rPr>
        <w:t xml:space="preserve"> et al. [</w:t>
      </w:r>
      <w:r w:rsidR="002230C6">
        <w:rPr>
          <w:sz w:val="20"/>
        </w:rPr>
        <w:t>9</w:t>
      </w:r>
      <w:r w:rsidR="00C57BE6">
        <w:rPr>
          <w:sz w:val="20"/>
        </w:rPr>
        <w:t>]</w:t>
      </w:r>
      <w:r w:rsidR="00945488">
        <w:rPr>
          <w:sz w:val="20"/>
        </w:rPr>
        <w:t xml:space="preserve">. Since the values of the streamlines are not given by </w:t>
      </w:r>
      <w:r w:rsidR="00945488" w:rsidRPr="00790826">
        <w:rPr>
          <w:sz w:val="20"/>
        </w:rPr>
        <w:t>Cianfrini</w:t>
      </w:r>
      <w:r w:rsidR="00945488">
        <w:rPr>
          <w:sz w:val="20"/>
        </w:rPr>
        <w:t xml:space="preserve"> et al. [9], the comparison was based on the average Nusselt numbers which are obtained by integrating the Eqs (22).</w:t>
      </w:r>
      <w:r w:rsidR="00FD35A6">
        <w:rPr>
          <w:sz w:val="20"/>
        </w:rPr>
        <w:t xml:space="preserve"> The results are shown in the Table 2</w:t>
      </w:r>
      <w:r w:rsidR="006E3A4E">
        <w:rPr>
          <w:sz w:val="20"/>
        </w:rPr>
        <w:t xml:space="preserve"> where Ra=GrPr is the Rayleigh number</w:t>
      </w:r>
      <w:r w:rsidR="00FD35A6">
        <w:rPr>
          <w:sz w:val="20"/>
        </w:rPr>
        <w:t>.</w:t>
      </w:r>
      <w:r w:rsidR="00A92435">
        <w:rPr>
          <w:sz w:val="20"/>
        </w:rPr>
        <w:t xml:space="preserve"> The average Nusselt numbers have been presented graphically by </w:t>
      </w:r>
      <w:r w:rsidR="00A92435" w:rsidRPr="00790826">
        <w:rPr>
          <w:sz w:val="20"/>
        </w:rPr>
        <w:t>Cianfrini</w:t>
      </w:r>
      <w:r w:rsidR="00A92435">
        <w:rPr>
          <w:sz w:val="20"/>
        </w:rPr>
        <w:t xml:space="preserve"> et al. [9] and the figures in the Table 2 involve some reading error.</w:t>
      </w:r>
      <w:r w:rsidR="00925233">
        <w:rPr>
          <w:sz w:val="20"/>
        </w:rPr>
        <w:t xml:space="preserve"> The average Nusselt</w:t>
      </w:r>
      <w:r w:rsidR="002E76CB">
        <w:rPr>
          <w:sz w:val="20"/>
        </w:rPr>
        <w:t xml:space="preserve"> numbers predicted by the present study is considerably less than those given by </w:t>
      </w:r>
      <w:r w:rsidR="002E76CB" w:rsidRPr="00790826">
        <w:rPr>
          <w:sz w:val="20"/>
        </w:rPr>
        <w:t>Cianfrini</w:t>
      </w:r>
      <w:r w:rsidR="002E76CB">
        <w:rPr>
          <w:sz w:val="20"/>
        </w:rPr>
        <w:t xml:space="preserve"> et al. [9].</w:t>
      </w:r>
      <w:r w:rsidR="00002109">
        <w:rPr>
          <w:sz w:val="20"/>
        </w:rPr>
        <w:t xml:space="preserve"> </w:t>
      </w:r>
      <w:r w:rsidR="004558C4">
        <w:rPr>
          <w:sz w:val="20"/>
        </w:rPr>
        <w:t xml:space="preserve">Although the grid numbers used were specified by </w:t>
      </w:r>
      <w:r w:rsidR="004558C4" w:rsidRPr="00790826">
        <w:rPr>
          <w:sz w:val="20"/>
        </w:rPr>
        <w:t>Cianfrini</w:t>
      </w:r>
      <w:r w:rsidR="004558C4">
        <w:rPr>
          <w:sz w:val="20"/>
        </w:rPr>
        <w:t xml:space="preserve"> et al. [9] as 50X50 and 70X70 depending on the Rayleigh number </w:t>
      </w:r>
      <w:r w:rsidR="004558C4" w:rsidRPr="004558C4">
        <w:rPr>
          <w:color w:val="000000"/>
          <w:sz w:val="20"/>
        </w:rPr>
        <w:t xml:space="preserve">no information was given about the </w:t>
      </w:r>
      <w:r w:rsidR="004558C4">
        <w:rPr>
          <w:color w:val="000000"/>
          <w:sz w:val="20"/>
        </w:rPr>
        <w:t xml:space="preserve">unequal </w:t>
      </w:r>
      <w:r w:rsidR="004558C4" w:rsidRPr="004558C4">
        <w:rPr>
          <w:color w:val="000000"/>
          <w:sz w:val="20"/>
        </w:rPr>
        <w:t xml:space="preserve">mesh </w:t>
      </w:r>
      <w:r w:rsidR="004558C4">
        <w:rPr>
          <w:color w:val="000000"/>
          <w:sz w:val="20"/>
        </w:rPr>
        <w:t xml:space="preserve">distribution employed. </w:t>
      </w:r>
      <w:r w:rsidR="004558C4">
        <w:rPr>
          <w:sz w:val="20"/>
        </w:rPr>
        <w:t>Furthermore,</w:t>
      </w:r>
      <w:r w:rsidR="00002109">
        <w:rPr>
          <w:sz w:val="20"/>
        </w:rPr>
        <w:t xml:space="preserve"> </w:t>
      </w:r>
      <w:r w:rsidR="00002109" w:rsidRPr="00790826">
        <w:rPr>
          <w:sz w:val="20"/>
        </w:rPr>
        <w:t>Cianfrini</w:t>
      </w:r>
      <w:r w:rsidR="00002109">
        <w:rPr>
          <w:sz w:val="20"/>
        </w:rPr>
        <w:t xml:space="preserve"> et al. [9] points out that the derivatives on the walls were evaluated by “assuming a second-order temperature profile among each wall-node and the next two internal nodes”</w:t>
      </w:r>
      <w:r w:rsidR="00100CA1">
        <w:rPr>
          <w:sz w:val="20"/>
        </w:rPr>
        <w:t>.</w:t>
      </w:r>
      <w:r w:rsidR="00D322B7">
        <w:rPr>
          <w:sz w:val="20"/>
        </w:rPr>
        <w:t xml:space="preserve"> </w:t>
      </w:r>
      <w:r w:rsidR="00A2574D">
        <w:rPr>
          <w:sz w:val="20"/>
        </w:rPr>
        <w:t xml:space="preserve">The present results show that the normal derivatives </w:t>
      </w:r>
      <w:r w:rsidR="00347269">
        <w:rPr>
          <w:sz w:val="20"/>
        </w:rPr>
        <w:t xml:space="preserve">of temperature </w:t>
      </w:r>
      <w:r w:rsidR="00A2574D">
        <w:rPr>
          <w:sz w:val="20"/>
        </w:rPr>
        <w:t xml:space="preserve">on the walls are of </w:t>
      </w:r>
      <w:r w:rsidR="00A2574D" w:rsidRPr="00A2574D">
        <w:rPr>
          <w:i/>
          <w:sz w:val="20"/>
        </w:rPr>
        <w:t>O</w:t>
      </w:r>
      <w:r w:rsidR="00A2574D">
        <w:rPr>
          <w:sz w:val="20"/>
        </w:rPr>
        <w:t>(10</w:t>
      </w:r>
      <w:r w:rsidR="00A2574D" w:rsidRPr="00A2574D">
        <w:rPr>
          <w:sz w:val="20"/>
          <w:vertAlign w:val="superscript"/>
        </w:rPr>
        <w:t>2</w:t>
      </w:r>
      <w:r w:rsidR="00A2574D">
        <w:rPr>
          <w:sz w:val="20"/>
        </w:rPr>
        <w:t xml:space="preserve">) near the corners where the hot and cold surfaces meet. Any </w:t>
      </w:r>
      <w:r w:rsidR="00B80686">
        <w:rPr>
          <w:sz w:val="20"/>
        </w:rPr>
        <w:t xml:space="preserve">small percentage </w:t>
      </w:r>
      <w:r w:rsidR="00A2574D">
        <w:rPr>
          <w:sz w:val="20"/>
        </w:rPr>
        <w:t xml:space="preserve">error associated with </w:t>
      </w:r>
      <w:r w:rsidR="00B80686">
        <w:rPr>
          <w:sz w:val="20"/>
        </w:rPr>
        <w:t>fitting a second order-</w:t>
      </w:r>
      <w:r w:rsidR="00A2574D">
        <w:rPr>
          <w:sz w:val="20"/>
        </w:rPr>
        <w:t xml:space="preserve">polynomial curve to </w:t>
      </w:r>
      <w:r w:rsidR="00334575">
        <w:rPr>
          <w:sz w:val="20"/>
        </w:rPr>
        <w:t xml:space="preserve">the temperature at </w:t>
      </w:r>
      <w:r w:rsidR="00A2574D">
        <w:rPr>
          <w:sz w:val="20"/>
        </w:rPr>
        <w:t>three adjacent points next to the wall i</w:t>
      </w:r>
      <w:r w:rsidR="00B80686">
        <w:rPr>
          <w:sz w:val="20"/>
        </w:rPr>
        <w:t>s substantially magnified due to the large magnitude of the normal derivatives in th</w:t>
      </w:r>
      <w:r w:rsidR="003E30EB">
        <w:rPr>
          <w:sz w:val="20"/>
        </w:rPr>
        <w:t>e</w:t>
      </w:r>
      <w:r w:rsidR="00B80686">
        <w:rPr>
          <w:sz w:val="20"/>
        </w:rPr>
        <w:t>s</w:t>
      </w:r>
      <w:r w:rsidR="003E30EB">
        <w:rPr>
          <w:sz w:val="20"/>
        </w:rPr>
        <w:t>e</w:t>
      </w:r>
      <w:r w:rsidR="00B80686">
        <w:rPr>
          <w:sz w:val="20"/>
        </w:rPr>
        <w:t xml:space="preserve"> region</w:t>
      </w:r>
      <w:r w:rsidR="003E30EB">
        <w:rPr>
          <w:sz w:val="20"/>
        </w:rPr>
        <w:t>s</w:t>
      </w:r>
      <w:r w:rsidR="00B80686">
        <w:rPr>
          <w:sz w:val="20"/>
        </w:rPr>
        <w:t xml:space="preserve"> and may contribute significantly to the average Nusselt number obtained by taking the integral of normal derivative of temperature along the walls.</w:t>
      </w:r>
      <w:r w:rsidR="00510A96">
        <w:rPr>
          <w:sz w:val="20"/>
        </w:rPr>
        <w:t xml:space="preserve"> Therefore the present results are believed to be correct and reliable.</w:t>
      </w:r>
    </w:p>
    <w:p w:rsidR="00AA1BFA" w:rsidRPr="00DD1C8F" w:rsidRDefault="00AA1BFA" w:rsidP="00A44435">
      <w:pPr>
        <w:pStyle w:val="heading10"/>
        <w:spacing w:line="480" w:lineRule="auto"/>
        <w:ind w:firstLine="708"/>
        <w:rPr>
          <w:rFonts w:ascii="Times New Roman" w:hAnsi="Times New Roman"/>
          <w:sz w:val="20"/>
        </w:rPr>
      </w:pPr>
      <w:r w:rsidRPr="00DD1C8F">
        <w:rPr>
          <w:rFonts w:ascii="Times New Roman" w:hAnsi="Times New Roman"/>
          <w:sz w:val="20"/>
        </w:rPr>
        <w:t>Conclusions</w:t>
      </w:r>
    </w:p>
    <w:p w:rsidR="00AA1BFA" w:rsidRDefault="00AA1BFA" w:rsidP="00A44435">
      <w:pPr>
        <w:spacing w:line="480" w:lineRule="auto"/>
        <w:ind w:firstLine="709"/>
        <w:jc w:val="both"/>
        <w:rPr>
          <w:sz w:val="20"/>
        </w:rPr>
      </w:pPr>
      <w:r w:rsidRPr="0009696D">
        <w:rPr>
          <w:sz w:val="20"/>
        </w:rPr>
        <w:t xml:space="preserve">The present study </w:t>
      </w:r>
      <w:r>
        <w:rPr>
          <w:sz w:val="20"/>
        </w:rPr>
        <w:t xml:space="preserve">describes the </w:t>
      </w:r>
      <w:r w:rsidR="002A6375">
        <w:rPr>
          <w:sz w:val="20"/>
        </w:rPr>
        <w:t xml:space="preserve">steady </w:t>
      </w:r>
      <w:r>
        <w:rPr>
          <w:sz w:val="20"/>
        </w:rPr>
        <w:t xml:space="preserve">natural convection flow in an inclined enclosure with differentially heated adjacent walls under the influence of a magnetic field. The flow characteristics and therefore the convection heat transfer inside the tilted enclosure, depend strongly upon both the strength and orientation of the magnetic field and the inclination angle. </w:t>
      </w:r>
      <w:r w:rsidR="004357E5">
        <w:rPr>
          <w:sz w:val="20"/>
        </w:rPr>
        <w:t>Appearance of inner loops and m</w:t>
      </w:r>
      <w:r w:rsidR="001913CC">
        <w:rPr>
          <w:sz w:val="20"/>
        </w:rPr>
        <w:t>ultiple eddies are observed</w:t>
      </w:r>
      <w:r w:rsidR="0014049E">
        <w:rPr>
          <w:sz w:val="20"/>
        </w:rPr>
        <w:t xml:space="preserve"> in the flow field</w:t>
      </w:r>
      <w:r w:rsidR="001913CC">
        <w:rPr>
          <w:sz w:val="20"/>
        </w:rPr>
        <w:t xml:space="preserve"> </w:t>
      </w:r>
      <w:r w:rsidR="004357E5">
        <w:rPr>
          <w:sz w:val="20"/>
        </w:rPr>
        <w:t xml:space="preserve">with the application of the magnetic field. </w:t>
      </w:r>
      <w:r w:rsidR="006C5B22">
        <w:rPr>
          <w:sz w:val="20"/>
        </w:rPr>
        <w:t xml:space="preserve">The surface heat flux along the upper portion of the left side wall is reversed by the rise of warmer fluid particles due to the clockwise circulation when the enclosure is clockwise inclined or not inclined. </w:t>
      </w:r>
      <w:r w:rsidR="00645CE5">
        <w:rPr>
          <w:sz w:val="20"/>
        </w:rPr>
        <w:t xml:space="preserve">Clockwise inclination </w:t>
      </w:r>
      <w:r w:rsidR="00AF7E4B">
        <w:rPr>
          <w:sz w:val="20"/>
        </w:rPr>
        <w:t xml:space="preserve">slightly </w:t>
      </w:r>
      <w:r w:rsidR="00645CE5">
        <w:rPr>
          <w:sz w:val="20"/>
        </w:rPr>
        <w:t xml:space="preserve">enhances the surface heat flux most along the bottom wall. The surface heat flux along this wall is </w:t>
      </w:r>
      <w:r w:rsidR="00645CE5">
        <w:rPr>
          <w:sz w:val="20"/>
        </w:rPr>
        <w:lastRenderedPageBreak/>
        <w:t>reduced almost by half with the clockwise inclination since the convections currents created by the counter rotating eddies are much weaker.</w:t>
      </w:r>
      <w:r w:rsidR="001913CC">
        <w:rPr>
          <w:sz w:val="20"/>
        </w:rPr>
        <w:t xml:space="preserve"> </w:t>
      </w:r>
      <w:r w:rsidR="00AF7E4B">
        <w:rPr>
          <w:sz w:val="20"/>
        </w:rPr>
        <w:t xml:space="preserve">The </w:t>
      </w:r>
      <w:r>
        <w:rPr>
          <w:sz w:val="20"/>
        </w:rPr>
        <w:t xml:space="preserve">convection </w:t>
      </w:r>
      <w:r w:rsidR="00AF7E4B">
        <w:rPr>
          <w:sz w:val="20"/>
        </w:rPr>
        <w:t xml:space="preserve">currents and the surface heat flux </w:t>
      </w:r>
      <w:r>
        <w:rPr>
          <w:sz w:val="20"/>
        </w:rPr>
        <w:t>are significantly suppressed by the presence of a strong magnetic field.</w:t>
      </w:r>
    </w:p>
    <w:p w:rsidR="00C341E9" w:rsidRDefault="00C341E9" w:rsidP="00A44435">
      <w:pPr>
        <w:pStyle w:val="heading2"/>
        <w:spacing w:line="480" w:lineRule="auto"/>
        <w:rPr>
          <w:rFonts w:ascii="Times New Roman" w:hAnsi="Times New Roman"/>
          <w:sz w:val="20"/>
        </w:rPr>
      </w:pPr>
      <w:r>
        <w:rPr>
          <w:rFonts w:ascii="Times New Roman" w:hAnsi="Times New Roman"/>
          <w:sz w:val="20"/>
        </w:rPr>
        <w:t>References</w:t>
      </w:r>
    </w:p>
    <w:tbl>
      <w:tblPr>
        <w:tblW w:w="9039" w:type="dxa"/>
        <w:tblLook w:val="01E0" w:firstRow="1" w:lastRow="1" w:firstColumn="1" w:lastColumn="1" w:noHBand="0" w:noVBand="0"/>
      </w:tblPr>
      <w:tblGrid>
        <w:gridCol w:w="466"/>
        <w:gridCol w:w="8573"/>
      </w:tblGrid>
      <w:tr w:rsidR="00C341E9" w:rsidRPr="0038085B" w:rsidTr="0038085B">
        <w:tc>
          <w:tcPr>
            <w:tcW w:w="466" w:type="dxa"/>
            <w:shd w:val="clear" w:color="auto" w:fill="auto"/>
          </w:tcPr>
          <w:p w:rsidR="00C341E9" w:rsidRPr="0038085B" w:rsidRDefault="00C341E9" w:rsidP="0038085B">
            <w:pPr>
              <w:pStyle w:val="reference"/>
              <w:spacing w:line="480" w:lineRule="auto"/>
              <w:jc w:val="both"/>
              <w:rPr>
                <w:sz w:val="20"/>
              </w:rPr>
            </w:pPr>
            <w:r w:rsidRPr="0038085B">
              <w:rPr>
                <w:sz w:val="20"/>
              </w:rPr>
              <w:t>1.</w:t>
            </w:r>
          </w:p>
        </w:tc>
        <w:tc>
          <w:tcPr>
            <w:tcW w:w="8573" w:type="dxa"/>
            <w:shd w:val="clear" w:color="auto" w:fill="auto"/>
          </w:tcPr>
          <w:p w:rsidR="00C341E9" w:rsidRPr="0038085B" w:rsidRDefault="00A07E30" w:rsidP="0038085B">
            <w:pPr>
              <w:pStyle w:val="reference"/>
              <w:spacing w:line="480" w:lineRule="auto"/>
              <w:jc w:val="both"/>
              <w:rPr>
                <w:sz w:val="20"/>
              </w:rPr>
            </w:pPr>
            <w:r w:rsidRPr="0038085B">
              <w:rPr>
                <w:bCs/>
                <w:sz w:val="20"/>
              </w:rPr>
              <w:t xml:space="preserve">Alchaar, S., Vasseur, P. and Bilgen, E., </w:t>
            </w:r>
            <w:r w:rsidR="00064D83" w:rsidRPr="0038085B">
              <w:rPr>
                <w:bCs/>
                <w:sz w:val="20"/>
              </w:rPr>
              <w:t>‘</w:t>
            </w:r>
            <w:r w:rsidRPr="0038085B">
              <w:rPr>
                <w:bCs/>
                <w:sz w:val="20"/>
              </w:rPr>
              <w:t>The effect of a magnetic field on natural convection in a shallow cavity heated from below</w:t>
            </w:r>
            <w:r w:rsidR="00064D83" w:rsidRPr="0038085B">
              <w:rPr>
                <w:bCs/>
                <w:sz w:val="20"/>
              </w:rPr>
              <w:t>’,</w:t>
            </w:r>
            <w:r w:rsidRPr="0038085B">
              <w:rPr>
                <w:bCs/>
                <w:sz w:val="20"/>
              </w:rPr>
              <w:t xml:space="preserve"> </w:t>
            </w:r>
            <w:r w:rsidRPr="0038085B">
              <w:rPr>
                <w:bCs/>
                <w:i/>
                <w:sz w:val="20"/>
              </w:rPr>
              <w:t>Chem. Eng. Comm</w:t>
            </w:r>
            <w:r w:rsidRPr="0038085B">
              <w:rPr>
                <w:bCs/>
                <w:sz w:val="20"/>
              </w:rPr>
              <w:t xml:space="preserve">., </w:t>
            </w:r>
            <w:r w:rsidRPr="0038085B">
              <w:rPr>
                <w:b/>
                <w:bCs/>
                <w:sz w:val="20"/>
              </w:rPr>
              <w:t>134</w:t>
            </w:r>
            <w:r w:rsidRPr="0038085B">
              <w:rPr>
                <w:bCs/>
                <w:sz w:val="20"/>
              </w:rPr>
              <w:t xml:space="preserve"> (1995) 195-209.</w:t>
            </w:r>
          </w:p>
        </w:tc>
      </w:tr>
      <w:tr w:rsidR="00C341E9" w:rsidRPr="0038085B" w:rsidTr="0038085B">
        <w:tc>
          <w:tcPr>
            <w:tcW w:w="466" w:type="dxa"/>
            <w:shd w:val="clear" w:color="auto" w:fill="auto"/>
          </w:tcPr>
          <w:p w:rsidR="00C341E9" w:rsidRPr="0038085B" w:rsidRDefault="00C341E9" w:rsidP="0038085B">
            <w:pPr>
              <w:pStyle w:val="reference"/>
              <w:spacing w:line="480" w:lineRule="auto"/>
              <w:jc w:val="both"/>
              <w:rPr>
                <w:sz w:val="20"/>
              </w:rPr>
            </w:pPr>
            <w:r w:rsidRPr="0038085B">
              <w:rPr>
                <w:sz w:val="20"/>
              </w:rPr>
              <w:t>2.</w:t>
            </w:r>
          </w:p>
        </w:tc>
        <w:tc>
          <w:tcPr>
            <w:tcW w:w="8573" w:type="dxa"/>
            <w:shd w:val="clear" w:color="auto" w:fill="auto"/>
          </w:tcPr>
          <w:p w:rsidR="00C341E9" w:rsidRPr="0038085B" w:rsidRDefault="00A07E30" w:rsidP="0038085B">
            <w:pPr>
              <w:pStyle w:val="reference"/>
              <w:spacing w:line="480" w:lineRule="auto"/>
              <w:jc w:val="both"/>
              <w:rPr>
                <w:sz w:val="20"/>
              </w:rPr>
            </w:pPr>
            <w:r w:rsidRPr="0038085B">
              <w:rPr>
                <w:bCs/>
                <w:sz w:val="20"/>
              </w:rPr>
              <w:t xml:space="preserve">Al-Najem, N.M., Khanafer, K.M. and El-Refaee, M.M., </w:t>
            </w:r>
            <w:r w:rsidR="00064D83" w:rsidRPr="0038085B">
              <w:rPr>
                <w:bCs/>
                <w:sz w:val="20"/>
              </w:rPr>
              <w:t>‘</w:t>
            </w:r>
            <w:r w:rsidRPr="0038085B">
              <w:rPr>
                <w:bCs/>
                <w:sz w:val="20"/>
              </w:rPr>
              <w:t>Numerical study of laminar natural convection in tilted enclosure with transverse magnetic field</w:t>
            </w:r>
            <w:r w:rsidR="00064D83" w:rsidRPr="0038085B">
              <w:rPr>
                <w:bCs/>
                <w:sz w:val="20"/>
              </w:rPr>
              <w:t>’</w:t>
            </w:r>
            <w:r w:rsidR="001272B2" w:rsidRPr="0038085B">
              <w:rPr>
                <w:bCs/>
                <w:sz w:val="20"/>
              </w:rPr>
              <w:t>,</w:t>
            </w:r>
            <w:r w:rsidRPr="0038085B">
              <w:rPr>
                <w:bCs/>
                <w:sz w:val="20"/>
              </w:rPr>
              <w:t xml:space="preserve"> </w:t>
            </w:r>
            <w:r w:rsidRPr="0038085B">
              <w:rPr>
                <w:bCs/>
                <w:i/>
                <w:sz w:val="20"/>
              </w:rPr>
              <w:t>International Journal of Numerical Methods for Heat &amp; Fluid Flow</w:t>
            </w:r>
            <w:r w:rsidRPr="0038085B">
              <w:rPr>
                <w:bCs/>
                <w:sz w:val="20"/>
              </w:rPr>
              <w:t xml:space="preserve">, </w:t>
            </w:r>
            <w:r w:rsidRPr="0038085B">
              <w:rPr>
                <w:b/>
                <w:bCs/>
                <w:sz w:val="20"/>
              </w:rPr>
              <w:t>8</w:t>
            </w:r>
            <w:r w:rsidRPr="0038085B">
              <w:rPr>
                <w:bCs/>
                <w:sz w:val="20"/>
              </w:rPr>
              <w:t>(6) (1998)</w:t>
            </w:r>
            <w:r w:rsidR="00064D83" w:rsidRPr="0038085B">
              <w:rPr>
                <w:bCs/>
                <w:sz w:val="20"/>
              </w:rPr>
              <w:t xml:space="preserve"> </w:t>
            </w:r>
            <w:r w:rsidRPr="0038085B">
              <w:rPr>
                <w:bCs/>
                <w:sz w:val="20"/>
              </w:rPr>
              <w:t>651-672.</w:t>
            </w:r>
          </w:p>
        </w:tc>
      </w:tr>
      <w:tr w:rsidR="00C341E9" w:rsidRPr="0038085B" w:rsidTr="0038085B">
        <w:tc>
          <w:tcPr>
            <w:tcW w:w="466" w:type="dxa"/>
            <w:shd w:val="clear" w:color="auto" w:fill="auto"/>
          </w:tcPr>
          <w:p w:rsidR="00C341E9" w:rsidRPr="0038085B" w:rsidRDefault="00C341E9" w:rsidP="0038085B">
            <w:pPr>
              <w:pStyle w:val="reference"/>
              <w:spacing w:line="480" w:lineRule="auto"/>
              <w:jc w:val="both"/>
              <w:rPr>
                <w:sz w:val="20"/>
              </w:rPr>
            </w:pPr>
            <w:r w:rsidRPr="0038085B">
              <w:rPr>
                <w:sz w:val="20"/>
              </w:rPr>
              <w:t>3.</w:t>
            </w:r>
          </w:p>
        </w:tc>
        <w:tc>
          <w:tcPr>
            <w:tcW w:w="8573" w:type="dxa"/>
            <w:shd w:val="clear" w:color="auto" w:fill="auto"/>
          </w:tcPr>
          <w:p w:rsidR="00C341E9" w:rsidRPr="0038085B" w:rsidRDefault="00A07E30" w:rsidP="0038085B">
            <w:pPr>
              <w:pStyle w:val="reference"/>
              <w:spacing w:line="480" w:lineRule="auto"/>
              <w:jc w:val="both"/>
              <w:rPr>
                <w:sz w:val="20"/>
              </w:rPr>
            </w:pPr>
            <w:r w:rsidRPr="0038085B">
              <w:rPr>
                <w:sz w:val="20"/>
              </w:rPr>
              <w:t xml:space="preserve">Barakos, G., Mitsoulis, E. and Assimacopoulos, D., </w:t>
            </w:r>
            <w:r w:rsidR="00064D83" w:rsidRPr="0038085B">
              <w:rPr>
                <w:sz w:val="20"/>
              </w:rPr>
              <w:t>‘</w:t>
            </w:r>
            <w:r w:rsidRPr="0038085B">
              <w:rPr>
                <w:sz w:val="20"/>
              </w:rPr>
              <w:t>Natural convection flow in a square cavity revisited: laminar and turbulent models with wall functions</w:t>
            </w:r>
            <w:r w:rsidR="00064D83" w:rsidRPr="0038085B">
              <w:rPr>
                <w:sz w:val="20"/>
              </w:rPr>
              <w:t>’,</w:t>
            </w:r>
            <w:r w:rsidRPr="0038085B">
              <w:rPr>
                <w:sz w:val="20"/>
              </w:rPr>
              <w:t xml:space="preserve"> </w:t>
            </w:r>
            <w:r w:rsidRPr="0038085B">
              <w:rPr>
                <w:i/>
                <w:sz w:val="20"/>
              </w:rPr>
              <w:t>Int. J. Numer. Methods Fluids</w:t>
            </w:r>
            <w:r w:rsidRPr="0038085B">
              <w:rPr>
                <w:sz w:val="20"/>
              </w:rPr>
              <w:t xml:space="preserve">, </w:t>
            </w:r>
            <w:r w:rsidRPr="0038085B">
              <w:rPr>
                <w:b/>
                <w:sz w:val="20"/>
              </w:rPr>
              <w:t>18</w:t>
            </w:r>
            <w:r w:rsidRPr="0038085B">
              <w:rPr>
                <w:sz w:val="20"/>
              </w:rPr>
              <w:t xml:space="preserve"> (1994) 695-719.</w:t>
            </w:r>
          </w:p>
        </w:tc>
      </w:tr>
      <w:tr w:rsidR="00790826" w:rsidRPr="0038085B" w:rsidTr="0038085B">
        <w:tc>
          <w:tcPr>
            <w:tcW w:w="466" w:type="dxa"/>
            <w:shd w:val="clear" w:color="auto" w:fill="auto"/>
          </w:tcPr>
          <w:p w:rsidR="00790826" w:rsidRPr="0038085B" w:rsidRDefault="00790826" w:rsidP="0038085B">
            <w:pPr>
              <w:pStyle w:val="reference"/>
              <w:spacing w:line="480" w:lineRule="auto"/>
              <w:jc w:val="both"/>
              <w:rPr>
                <w:sz w:val="20"/>
              </w:rPr>
            </w:pPr>
            <w:r w:rsidRPr="0038085B">
              <w:rPr>
                <w:sz w:val="20"/>
              </w:rPr>
              <w:t>4.</w:t>
            </w:r>
          </w:p>
        </w:tc>
        <w:tc>
          <w:tcPr>
            <w:tcW w:w="8573" w:type="dxa"/>
            <w:shd w:val="clear" w:color="auto" w:fill="auto"/>
          </w:tcPr>
          <w:p w:rsidR="00790826" w:rsidRPr="0038085B" w:rsidRDefault="00790826" w:rsidP="0038085B">
            <w:pPr>
              <w:pStyle w:val="reference"/>
              <w:spacing w:line="480" w:lineRule="auto"/>
              <w:jc w:val="both"/>
              <w:rPr>
                <w:sz w:val="20"/>
              </w:rPr>
            </w:pPr>
            <w:r w:rsidRPr="0038085B">
              <w:rPr>
                <w:sz w:val="20"/>
              </w:rPr>
              <w:t xml:space="preserve">Bejan, A., </w:t>
            </w:r>
            <w:r w:rsidRPr="0038085B">
              <w:rPr>
                <w:i/>
                <w:sz w:val="20"/>
              </w:rPr>
              <w:t>Convective heat transfer</w:t>
            </w:r>
            <w:r w:rsidRPr="0038085B">
              <w:rPr>
                <w:sz w:val="20"/>
              </w:rPr>
              <w:t>, Second Edition, Wiley, New York, 1995.</w:t>
            </w:r>
          </w:p>
        </w:tc>
      </w:tr>
      <w:tr w:rsidR="00C341E9" w:rsidRPr="0038085B" w:rsidTr="0038085B">
        <w:tc>
          <w:tcPr>
            <w:tcW w:w="466" w:type="dxa"/>
            <w:shd w:val="clear" w:color="auto" w:fill="auto"/>
          </w:tcPr>
          <w:p w:rsidR="00C341E9" w:rsidRPr="0038085B" w:rsidRDefault="00790826" w:rsidP="0038085B">
            <w:pPr>
              <w:pStyle w:val="reference"/>
              <w:spacing w:line="480" w:lineRule="auto"/>
              <w:jc w:val="both"/>
              <w:rPr>
                <w:sz w:val="20"/>
              </w:rPr>
            </w:pPr>
            <w:r w:rsidRPr="0038085B">
              <w:rPr>
                <w:sz w:val="20"/>
              </w:rPr>
              <w:t>5</w:t>
            </w:r>
            <w:r w:rsidR="00C341E9" w:rsidRPr="0038085B">
              <w:rPr>
                <w:sz w:val="20"/>
              </w:rPr>
              <w:t>.</w:t>
            </w:r>
          </w:p>
        </w:tc>
        <w:tc>
          <w:tcPr>
            <w:tcW w:w="8573" w:type="dxa"/>
            <w:shd w:val="clear" w:color="auto" w:fill="auto"/>
          </w:tcPr>
          <w:p w:rsidR="00C341E9" w:rsidRPr="0038085B" w:rsidRDefault="00A07E30" w:rsidP="0038085B">
            <w:pPr>
              <w:pStyle w:val="reference"/>
              <w:spacing w:line="480" w:lineRule="auto"/>
              <w:jc w:val="both"/>
              <w:rPr>
                <w:sz w:val="20"/>
              </w:rPr>
            </w:pPr>
            <w:r w:rsidRPr="0038085B">
              <w:rPr>
                <w:sz w:val="20"/>
              </w:rPr>
              <w:t xml:space="preserve">Bejan, A. and Tien, C.L., </w:t>
            </w:r>
            <w:r w:rsidR="00064D83" w:rsidRPr="0038085B">
              <w:rPr>
                <w:sz w:val="20"/>
              </w:rPr>
              <w:t>‘</w:t>
            </w:r>
            <w:r w:rsidRPr="0038085B">
              <w:rPr>
                <w:sz w:val="20"/>
              </w:rPr>
              <w:t>Laminar natural convection heat transfer in a horizontal cavity different end temperatures</w:t>
            </w:r>
            <w:r w:rsidR="00064D83" w:rsidRPr="0038085B">
              <w:rPr>
                <w:sz w:val="20"/>
              </w:rPr>
              <w:t>’,</w:t>
            </w:r>
            <w:r w:rsidRPr="0038085B">
              <w:rPr>
                <w:sz w:val="20"/>
              </w:rPr>
              <w:t xml:space="preserve"> </w:t>
            </w:r>
            <w:r w:rsidRPr="0038085B">
              <w:rPr>
                <w:i/>
                <w:sz w:val="20"/>
              </w:rPr>
              <w:t>A.S.M.E. Journal of Heat Transfer,</w:t>
            </w:r>
            <w:r w:rsidRPr="0038085B">
              <w:rPr>
                <w:b/>
                <w:sz w:val="20"/>
              </w:rPr>
              <w:t xml:space="preserve"> 100</w:t>
            </w:r>
            <w:r w:rsidRPr="0038085B">
              <w:rPr>
                <w:sz w:val="20"/>
              </w:rPr>
              <w:t xml:space="preserve"> (1978) 641-647.</w:t>
            </w:r>
          </w:p>
        </w:tc>
      </w:tr>
      <w:tr w:rsidR="00C341E9" w:rsidRPr="0038085B" w:rsidTr="0038085B">
        <w:tc>
          <w:tcPr>
            <w:tcW w:w="466" w:type="dxa"/>
            <w:shd w:val="clear" w:color="auto" w:fill="auto"/>
          </w:tcPr>
          <w:p w:rsidR="00C341E9" w:rsidRPr="0038085B" w:rsidRDefault="00790826" w:rsidP="0038085B">
            <w:pPr>
              <w:pStyle w:val="reference"/>
              <w:spacing w:line="480" w:lineRule="auto"/>
              <w:jc w:val="both"/>
              <w:rPr>
                <w:sz w:val="20"/>
              </w:rPr>
            </w:pPr>
            <w:r w:rsidRPr="0038085B">
              <w:rPr>
                <w:sz w:val="20"/>
              </w:rPr>
              <w:t>6</w:t>
            </w:r>
            <w:r w:rsidR="00C341E9" w:rsidRPr="0038085B">
              <w:rPr>
                <w:sz w:val="20"/>
              </w:rPr>
              <w:t>.</w:t>
            </w:r>
          </w:p>
        </w:tc>
        <w:tc>
          <w:tcPr>
            <w:tcW w:w="8573" w:type="dxa"/>
            <w:shd w:val="clear" w:color="auto" w:fill="auto"/>
          </w:tcPr>
          <w:p w:rsidR="00C341E9" w:rsidRPr="0038085B" w:rsidRDefault="005E480B" w:rsidP="0038085B">
            <w:pPr>
              <w:spacing w:line="480" w:lineRule="auto"/>
              <w:jc w:val="both"/>
              <w:rPr>
                <w:sz w:val="20"/>
              </w:rPr>
            </w:pPr>
            <w:r w:rsidRPr="0038085B">
              <w:rPr>
                <w:sz w:val="20"/>
              </w:rPr>
              <w:t xml:space="preserve">Bellman, R.E. and Casti, J., </w:t>
            </w:r>
            <w:r w:rsidR="00064D83" w:rsidRPr="0038085B">
              <w:rPr>
                <w:sz w:val="20"/>
              </w:rPr>
              <w:t>‘</w:t>
            </w:r>
            <w:r w:rsidRPr="0038085B">
              <w:rPr>
                <w:sz w:val="20"/>
              </w:rPr>
              <w:t>Differential quadrature and long term integration</w:t>
            </w:r>
            <w:r w:rsidR="00064D83" w:rsidRPr="0038085B">
              <w:rPr>
                <w:sz w:val="20"/>
              </w:rPr>
              <w:t>’,</w:t>
            </w:r>
            <w:r w:rsidRPr="0038085B">
              <w:rPr>
                <w:sz w:val="20"/>
              </w:rPr>
              <w:t xml:space="preserve"> </w:t>
            </w:r>
            <w:r w:rsidRPr="0038085B">
              <w:rPr>
                <w:i/>
                <w:sz w:val="20"/>
              </w:rPr>
              <w:t>J. Math. Anal. Appl</w:t>
            </w:r>
            <w:r w:rsidRPr="0038085B">
              <w:rPr>
                <w:sz w:val="20"/>
              </w:rPr>
              <w:t>.,</w:t>
            </w:r>
            <w:r w:rsidR="00064D83" w:rsidRPr="0038085B">
              <w:rPr>
                <w:sz w:val="20"/>
              </w:rPr>
              <w:t xml:space="preserve"> </w:t>
            </w:r>
            <w:r w:rsidR="00064D83" w:rsidRPr="0038085B">
              <w:rPr>
                <w:b/>
                <w:sz w:val="20"/>
              </w:rPr>
              <w:t>4</w:t>
            </w:r>
            <w:r w:rsidR="00064D83" w:rsidRPr="0038085B">
              <w:rPr>
                <w:sz w:val="20"/>
              </w:rPr>
              <w:t xml:space="preserve"> (1971)</w:t>
            </w:r>
            <w:r w:rsidRPr="0038085B">
              <w:rPr>
                <w:sz w:val="20"/>
              </w:rPr>
              <w:t xml:space="preserve"> 235-238.</w:t>
            </w:r>
          </w:p>
        </w:tc>
      </w:tr>
      <w:tr w:rsidR="00C341E9" w:rsidRPr="0038085B" w:rsidTr="0038085B">
        <w:tc>
          <w:tcPr>
            <w:tcW w:w="466" w:type="dxa"/>
            <w:shd w:val="clear" w:color="auto" w:fill="auto"/>
          </w:tcPr>
          <w:p w:rsidR="00C341E9" w:rsidRPr="0038085B" w:rsidRDefault="00790826" w:rsidP="0038085B">
            <w:pPr>
              <w:pStyle w:val="reference"/>
              <w:spacing w:line="480" w:lineRule="auto"/>
              <w:jc w:val="both"/>
              <w:rPr>
                <w:sz w:val="20"/>
              </w:rPr>
            </w:pPr>
            <w:r w:rsidRPr="0038085B">
              <w:rPr>
                <w:sz w:val="20"/>
              </w:rPr>
              <w:t>7</w:t>
            </w:r>
            <w:r w:rsidR="00C341E9" w:rsidRPr="0038085B">
              <w:rPr>
                <w:sz w:val="20"/>
              </w:rPr>
              <w:t>.</w:t>
            </w:r>
          </w:p>
        </w:tc>
        <w:tc>
          <w:tcPr>
            <w:tcW w:w="8573" w:type="dxa"/>
            <w:shd w:val="clear" w:color="auto" w:fill="auto"/>
          </w:tcPr>
          <w:p w:rsidR="00C341E9" w:rsidRPr="0038085B" w:rsidRDefault="00C341E9" w:rsidP="0038085B">
            <w:pPr>
              <w:pStyle w:val="reference"/>
              <w:spacing w:line="480" w:lineRule="auto"/>
              <w:jc w:val="both"/>
              <w:rPr>
                <w:sz w:val="20"/>
              </w:rPr>
            </w:pPr>
            <w:r w:rsidRPr="0038085B">
              <w:rPr>
                <w:sz w:val="20"/>
              </w:rPr>
              <w:t>Bellman</w:t>
            </w:r>
            <w:r w:rsidR="00B01EC8" w:rsidRPr="0038085B">
              <w:rPr>
                <w:sz w:val="20"/>
              </w:rPr>
              <w:t>,</w:t>
            </w:r>
            <w:r w:rsidRPr="0038085B">
              <w:rPr>
                <w:sz w:val="20"/>
              </w:rPr>
              <w:t xml:space="preserve"> R</w:t>
            </w:r>
            <w:r w:rsidR="00B01EC8" w:rsidRPr="0038085B">
              <w:rPr>
                <w:sz w:val="20"/>
              </w:rPr>
              <w:t>.</w:t>
            </w:r>
            <w:r w:rsidRPr="0038085B">
              <w:rPr>
                <w:sz w:val="20"/>
              </w:rPr>
              <w:t>E</w:t>
            </w:r>
            <w:r w:rsidR="00B01EC8" w:rsidRPr="0038085B">
              <w:rPr>
                <w:sz w:val="20"/>
              </w:rPr>
              <w:t>.</w:t>
            </w:r>
            <w:r w:rsidRPr="0038085B">
              <w:rPr>
                <w:sz w:val="20"/>
              </w:rPr>
              <w:t>, Kashef</w:t>
            </w:r>
            <w:r w:rsidR="00B01EC8" w:rsidRPr="0038085B">
              <w:rPr>
                <w:sz w:val="20"/>
              </w:rPr>
              <w:t>,</w:t>
            </w:r>
            <w:r w:rsidRPr="0038085B">
              <w:rPr>
                <w:sz w:val="20"/>
              </w:rPr>
              <w:t xml:space="preserve"> B</w:t>
            </w:r>
            <w:r w:rsidR="00B01EC8" w:rsidRPr="0038085B">
              <w:rPr>
                <w:sz w:val="20"/>
              </w:rPr>
              <w:t>.</w:t>
            </w:r>
            <w:r w:rsidRPr="0038085B">
              <w:rPr>
                <w:sz w:val="20"/>
              </w:rPr>
              <w:t>G</w:t>
            </w:r>
            <w:r w:rsidR="00B01EC8" w:rsidRPr="0038085B">
              <w:rPr>
                <w:sz w:val="20"/>
              </w:rPr>
              <w:t>.</w:t>
            </w:r>
            <w:r w:rsidR="00064D83" w:rsidRPr="0038085B">
              <w:rPr>
                <w:sz w:val="20"/>
              </w:rPr>
              <w:t xml:space="preserve"> and</w:t>
            </w:r>
            <w:r w:rsidRPr="0038085B">
              <w:rPr>
                <w:sz w:val="20"/>
              </w:rPr>
              <w:t xml:space="preserve"> Casti</w:t>
            </w:r>
            <w:r w:rsidR="00B01EC8" w:rsidRPr="0038085B">
              <w:rPr>
                <w:sz w:val="20"/>
              </w:rPr>
              <w:t>,</w:t>
            </w:r>
            <w:r w:rsidRPr="0038085B">
              <w:rPr>
                <w:sz w:val="20"/>
              </w:rPr>
              <w:t xml:space="preserve"> J</w:t>
            </w:r>
            <w:r w:rsidR="00B01EC8" w:rsidRPr="0038085B">
              <w:rPr>
                <w:sz w:val="20"/>
              </w:rPr>
              <w:t>.</w:t>
            </w:r>
            <w:r w:rsidR="00064D83" w:rsidRPr="0038085B">
              <w:rPr>
                <w:sz w:val="20"/>
              </w:rPr>
              <w:t>,</w:t>
            </w:r>
            <w:r w:rsidRPr="0038085B">
              <w:rPr>
                <w:sz w:val="20"/>
              </w:rPr>
              <w:t xml:space="preserve"> </w:t>
            </w:r>
            <w:r w:rsidR="00064D83" w:rsidRPr="0038085B">
              <w:rPr>
                <w:sz w:val="20"/>
              </w:rPr>
              <w:t>‘</w:t>
            </w:r>
            <w:r w:rsidRPr="0038085B">
              <w:rPr>
                <w:sz w:val="20"/>
              </w:rPr>
              <w:t>Differential quadrature: a technique for the rapid solution of nonlinear partial differential equations</w:t>
            </w:r>
            <w:r w:rsidR="00064D83" w:rsidRPr="0038085B">
              <w:rPr>
                <w:sz w:val="20"/>
              </w:rPr>
              <w:t>’,</w:t>
            </w:r>
            <w:r w:rsidRPr="0038085B">
              <w:rPr>
                <w:sz w:val="20"/>
              </w:rPr>
              <w:t xml:space="preserve"> </w:t>
            </w:r>
            <w:r w:rsidRPr="0038085B">
              <w:rPr>
                <w:i/>
                <w:sz w:val="20"/>
              </w:rPr>
              <w:t>J Comput Phys</w:t>
            </w:r>
            <w:r w:rsidR="00064D83" w:rsidRPr="0038085B">
              <w:rPr>
                <w:i/>
                <w:sz w:val="20"/>
              </w:rPr>
              <w:t>.,</w:t>
            </w:r>
            <w:r w:rsidRPr="0038085B">
              <w:rPr>
                <w:b/>
                <w:i/>
                <w:sz w:val="20"/>
              </w:rPr>
              <w:t xml:space="preserve"> </w:t>
            </w:r>
            <w:r w:rsidRPr="0038085B">
              <w:rPr>
                <w:b/>
                <w:sz w:val="20"/>
              </w:rPr>
              <w:t>10</w:t>
            </w:r>
            <w:r w:rsidR="00B01EC8" w:rsidRPr="0038085B">
              <w:rPr>
                <w:sz w:val="20"/>
              </w:rPr>
              <w:t xml:space="preserve"> </w:t>
            </w:r>
            <w:r w:rsidR="00064D83" w:rsidRPr="0038085B">
              <w:rPr>
                <w:sz w:val="20"/>
              </w:rPr>
              <w:t>(</w:t>
            </w:r>
            <w:r w:rsidR="00B01EC8" w:rsidRPr="0038085B">
              <w:rPr>
                <w:sz w:val="20"/>
              </w:rPr>
              <w:t>1972</w:t>
            </w:r>
            <w:r w:rsidR="00064D83" w:rsidRPr="0038085B">
              <w:rPr>
                <w:sz w:val="20"/>
              </w:rPr>
              <w:t>)</w:t>
            </w:r>
            <w:r w:rsidR="00B01EC8" w:rsidRPr="0038085B">
              <w:rPr>
                <w:sz w:val="20"/>
              </w:rPr>
              <w:t xml:space="preserve"> </w:t>
            </w:r>
            <w:r w:rsidRPr="0038085B">
              <w:rPr>
                <w:sz w:val="20"/>
              </w:rPr>
              <w:t>40-52</w:t>
            </w:r>
            <w:r w:rsidR="00B01EC8" w:rsidRPr="0038085B">
              <w:rPr>
                <w:sz w:val="20"/>
              </w:rPr>
              <w:t>.</w:t>
            </w:r>
          </w:p>
        </w:tc>
      </w:tr>
      <w:tr w:rsidR="00C341E9" w:rsidRPr="0038085B" w:rsidTr="0038085B">
        <w:tc>
          <w:tcPr>
            <w:tcW w:w="466" w:type="dxa"/>
            <w:shd w:val="clear" w:color="auto" w:fill="auto"/>
          </w:tcPr>
          <w:p w:rsidR="00C341E9" w:rsidRPr="0038085B" w:rsidRDefault="00790826" w:rsidP="0038085B">
            <w:pPr>
              <w:pStyle w:val="reference"/>
              <w:spacing w:line="480" w:lineRule="auto"/>
              <w:jc w:val="both"/>
              <w:rPr>
                <w:sz w:val="20"/>
              </w:rPr>
            </w:pPr>
            <w:r w:rsidRPr="0038085B">
              <w:rPr>
                <w:sz w:val="20"/>
              </w:rPr>
              <w:t>8</w:t>
            </w:r>
            <w:r w:rsidR="00C341E9" w:rsidRPr="0038085B">
              <w:rPr>
                <w:sz w:val="20"/>
              </w:rPr>
              <w:t>.</w:t>
            </w:r>
          </w:p>
        </w:tc>
        <w:tc>
          <w:tcPr>
            <w:tcW w:w="8573" w:type="dxa"/>
            <w:shd w:val="clear" w:color="auto" w:fill="auto"/>
          </w:tcPr>
          <w:p w:rsidR="00C341E9" w:rsidRPr="0038085B" w:rsidRDefault="00064D83" w:rsidP="0038085B">
            <w:pPr>
              <w:pStyle w:val="reference"/>
              <w:spacing w:line="480" w:lineRule="auto"/>
              <w:jc w:val="both"/>
              <w:rPr>
                <w:bCs/>
                <w:sz w:val="20"/>
              </w:rPr>
            </w:pPr>
            <w:r w:rsidRPr="0038085B">
              <w:rPr>
                <w:bCs/>
                <w:sz w:val="20"/>
              </w:rPr>
              <w:t xml:space="preserve">Catton, I., </w:t>
            </w:r>
            <w:r w:rsidR="00963F55" w:rsidRPr="0038085B">
              <w:rPr>
                <w:bCs/>
                <w:sz w:val="20"/>
              </w:rPr>
              <w:t>‘</w:t>
            </w:r>
            <w:r w:rsidRPr="0038085B">
              <w:rPr>
                <w:bCs/>
                <w:sz w:val="20"/>
              </w:rPr>
              <w:t>Natural convection in enclosures</w:t>
            </w:r>
            <w:r w:rsidR="00963F55" w:rsidRPr="0038085B">
              <w:rPr>
                <w:bCs/>
                <w:sz w:val="20"/>
              </w:rPr>
              <w:t>’</w:t>
            </w:r>
            <w:r w:rsidR="001272B2" w:rsidRPr="0038085B">
              <w:rPr>
                <w:bCs/>
                <w:sz w:val="20"/>
              </w:rPr>
              <w:t>,</w:t>
            </w:r>
            <w:r w:rsidR="00963F55" w:rsidRPr="0038085B">
              <w:rPr>
                <w:bCs/>
                <w:sz w:val="20"/>
              </w:rPr>
              <w:t xml:space="preserve"> </w:t>
            </w:r>
            <w:r w:rsidRPr="0038085B">
              <w:rPr>
                <w:bCs/>
                <w:sz w:val="20"/>
              </w:rPr>
              <w:t>Proc. 6th Heat Transfer Conf., Toronto, Canada, 1978, pp. 13-31.</w:t>
            </w:r>
          </w:p>
        </w:tc>
      </w:tr>
      <w:tr w:rsidR="00790826" w:rsidRPr="0038085B" w:rsidTr="0038085B">
        <w:tc>
          <w:tcPr>
            <w:tcW w:w="466" w:type="dxa"/>
            <w:shd w:val="clear" w:color="auto" w:fill="auto"/>
          </w:tcPr>
          <w:p w:rsidR="00790826" w:rsidRPr="0038085B" w:rsidRDefault="00790826" w:rsidP="0038085B">
            <w:pPr>
              <w:pStyle w:val="reference"/>
              <w:spacing w:line="480" w:lineRule="auto"/>
              <w:jc w:val="both"/>
              <w:rPr>
                <w:sz w:val="20"/>
              </w:rPr>
            </w:pPr>
            <w:r w:rsidRPr="0038085B">
              <w:rPr>
                <w:sz w:val="20"/>
              </w:rPr>
              <w:t>9.</w:t>
            </w:r>
          </w:p>
        </w:tc>
        <w:tc>
          <w:tcPr>
            <w:tcW w:w="8573" w:type="dxa"/>
            <w:shd w:val="clear" w:color="auto" w:fill="auto"/>
          </w:tcPr>
          <w:p w:rsidR="00790826" w:rsidRPr="0038085B" w:rsidRDefault="00790826" w:rsidP="0038085B">
            <w:pPr>
              <w:pStyle w:val="reference"/>
              <w:spacing w:line="480" w:lineRule="auto"/>
              <w:jc w:val="both"/>
              <w:rPr>
                <w:bCs/>
                <w:sz w:val="20"/>
              </w:rPr>
            </w:pPr>
            <w:r w:rsidRPr="0038085B">
              <w:rPr>
                <w:sz w:val="20"/>
              </w:rPr>
              <w:t>Cianfrini, C., Corcione, M. and Dell’Omo P. P., ‘Natural convection in tilted square cavities with differentially heated opposite walls’</w:t>
            </w:r>
            <w:r w:rsidRPr="0038085B">
              <w:rPr>
                <w:i/>
                <w:sz w:val="20"/>
              </w:rPr>
              <w:t>, International Journal of Thermal Sciences</w:t>
            </w:r>
            <w:r w:rsidRPr="0038085B">
              <w:rPr>
                <w:sz w:val="20"/>
              </w:rPr>
              <w:t xml:space="preserve">, </w:t>
            </w:r>
            <w:r w:rsidRPr="0038085B">
              <w:rPr>
                <w:b/>
                <w:sz w:val="20"/>
              </w:rPr>
              <w:t xml:space="preserve">44 </w:t>
            </w:r>
            <w:r w:rsidRPr="0038085B">
              <w:rPr>
                <w:sz w:val="20"/>
              </w:rPr>
              <w:t>(2005) 441-451.</w:t>
            </w:r>
          </w:p>
        </w:tc>
      </w:tr>
      <w:tr w:rsidR="00271652" w:rsidRPr="0038085B" w:rsidTr="0038085B">
        <w:tc>
          <w:tcPr>
            <w:tcW w:w="466" w:type="dxa"/>
            <w:shd w:val="clear" w:color="auto" w:fill="auto"/>
          </w:tcPr>
          <w:p w:rsidR="00271652" w:rsidRPr="0038085B" w:rsidRDefault="00734545" w:rsidP="0038085B">
            <w:pPr>
              <w:pStyle w:val="reference"/>
              <w:spacing w:line="480" w:lineRule="auto"/>
              <w:jc w:val="both"/>
              <w:rPr>
                <w:sz w:val="20"/>
              </w:rPr>
            </w:pPr>
            <w:r w:rsidRPr="0038085B">
              <w:rPr>
                <w:sz w:val="20"/>
              </w:rPr>
              <w:t>10.</w:t>
            </w:r>
          </w:p>
        </w:tc>
        <w:tc>
          <w:tcPr>
            <w:tcW w:w="8573" w:type="dxa"/>
            <w:shd w:val="clear" w:color="auto" w:fill="auto"/>
          </w:tcPr>
          <w:p w:rsidR="00271652" w:rsidRPr="0038085B" w:rsidRDefault="00271652" w:rsidP="0038085B">
            <w:pPr>
              <w:pStyle w:val="reference"/>
              <w:spacing w:line="480" w:lineRule="auto"/>
              <w:jc w:val="both"/>
              <w:rPr>
                <w:sz w:val="20"/>
              </w:rPr>
            </w:pPr>
            <w:r w:rsidRPr="0038085B">
              <w:rPr>
                <w:sz w:val="20"/>
              </w:rPr>
              <w:t xml:space="preserve">Davis, S.H., ‘Convection in a box:linear theory’, </w:t>
            </w:r>
            <w:r w:rsidRPr="0038085B">
              <w:rPr>
                <w:i/>
                <w:iCs/>
                <w:sz w:val="20"/>
              </w:rPr>
              <w:t>J. Fluid Mech.</w:t>
            </w:r>
            <w:r w:rsidR="001D34BA" w:rsidRPr="0038085B">
              <w:rPr>
                <w:i/>
                <w:iCs/>
                <w:sz w:val="20"/>
              </w:rPr>
              <w:t>,</w:t>
            </w:r>
            <w:r w:rsidRPr="0038085B">
              <w:rPr>
                <w:sz w:val="20"/>
              </w:rPr>
              <w:t xml:space="preserve"> </w:t>
            </w:r>
            <w:r w:rsidRPr="0038085B">
              <w:rPr>
                <w:rStyle w:val="Strong"/>
                <w:sz w:val="20"/>
              </w:rPr>
              <w:t>30</w:t>
            </w:r>
            <w:r w:rsidRPr="0038085B">
              <w:rPr>
                <w:sz w:val="20"/>
              </w:rPr>
              <w:t xml:space="preserve"> (1967) 465–478.</w:t>
            </w:r>
          </w:p>
        </w:tc>
      </w:tr>
      <w:tr w:rsidR="00C341E9" w:rsidRPr="0038085B" w:rsidTr="0038085B">
        <w:tc>
          <w:tcPr>
            <w:tcW w:w="466" w:type="dxa"/>
            <w:shd w:val="clear" w:color="auto" w:fill="auto"/>
          </w:tcPr>
          <w:p w:rsidR="00C341E9" w:rsidRPr="0038085B" w:rsidRDefault="00734545" w:rsidP="0038085B">
            <w:pPr>
              <w:pStyle w:val="reference"/>
              <w:spacing w:line="480" w:lineRule="auto"/>
              <w:jc w:val="both"/>
              <w:rPr>
                <w:sz w:val="20"/>
              </w:rPr>
            </w:pPr>
            <w:r w:rsidRPr="0038085B">
              <w:rPr>
                <w:sz w:val="20"/>
              </w:rPr>
              <w:t>11</w:t>
            </w:r>
            <w:r w:rsidR="00C341E9" w:rsidRPr="0038085B">
              <w:rPr>
                <w:sz w:val="20"/>
              </w:rPr>
              <w:t>.</w:t>
            </w:r>
          </w:p>
        </w:tc>
        <w:tc>
          <w:tcPr>
            <w:tcW w:w="8573" w:type="dxa"/>
            <w:shd w:val="clear" w:color="auto" w:fill="auto"/>
          </w:tcPr>
          <w:p w:rsidR="00C341E9" w:rsidRPr="0038085B" w:rsidRDefault="00093A61" w:rsidP="0038085B">
            <w:pPr>
              <w:pStyle w:val="reference"/>
              <w:spacing w:line="480" w:lineRule="auto"/>
              <w:jc w:val="both"/>
              <w:rPr>
                <w:sz w:val="20"/>
              </w:rPr>
            </w:pPr>
            <w:r w:rsidRPr="0038085B">
              <w:rPr>
                <w:sz w:val="20"/>
              </w:rPr>
              <w:t xml:space="preserve">De Vahl Davis, G., ‘Natural convection of air in a square cavity: a bench mark numerical solution’, </w:t>
            </w:r>
            <w:r w:rsidRPr="0038085B">
              <w:rPr>
                <w:i/>
                <w:sz w:val="20"/>
              </w:rPr>
              <w:t>Int. J. for Numer. Methods in Fluids,</w:t>
            </w:r>
            <w:r w:rsidRPr="0038085B">
              <w:rPr>
                <w:sz w:val="20"/>
              </w:rPr>
              <w:t xml:space="preserve"> </w:t>
            </w:r>
            <w:r w:rsidRPr="0038085B">
              <w:rPr>
                <w:b/>
                <w:sz w:val="20"/>
              </w:rPr>
              <w:t>3</w:t>
            </w:r>
            <w:r w:rsidRPr="0038085B">
              <w:rPr>
                <w:sz w:val="20"/>
              </w:rPr>
              <w:t xml:space="preserve"> (1983) 249-264.</w:t>
            </w:r>
          </w:p>
        </w:tc>
      </w:tr>
      <w:tr w:rsidR="00B27A5D" w:rsidRPr="0038085B" w:rsidTr="0038085B">
        <w:tc>
          <w:tcPr>
            <w:tcW w:w="466" w:type="dxa"/>
            <w:shd w:val="clear" w:color="auto" w:fill="auto"/>
          </w:tcPr>
          <w:p w:rsidR="00B27A5D" w:rsidRPr="0038085B" w:rsidRDefault="00734545" w:rsidP="0038085B">
            <w:pPr>
              <w:pStyle w:val="reference"/>
              <w:spacing w:line="480" w:lineRule="auto"/>
              <w:jc w:val="both"/>
              <w:rPr>
                <w:sz w:val="20"/>
              </w:rPr>
            </w:pPr>
            <w:r w:rsidRPr="0038085B">
              <w:rPr>
                <w:sz w:val="20"/>
              </w:rPr>
              <w:t>12.</w:t>
            </w:r>
          </w:p>
        </w:tc>
        <w:tc>
          <w:tcPr>
            <w:tcW w:w="8573" w:type="dxa"/>
            <w:shd w:val="clear" w:color="auto" w:fill="auto"/>
          </w:tcPr>
          <w:p w:rsidR="00B27A5D" w:rsidRPr="0038085B" w:rsidRDefault="00B27A5D" w:rsidP="0038085B">
            <w:pPr>
              <w:pStyle w:val="reference"/>
              <w:spacing w:line="480" w:lineRule="auto"/>
              <w:jc w:val="both"/>
              <w:rPr>
                <w:sz w:val="20"/>
              </w:rPr>
            </w:pPr>
            <w:r w:rsidRPr="0038085B">
              <w:rPr>
                <w:sz w:val="20"/>
              </w:rPr>
              <w:t>Di Piazza, I. and Ciofalo, M., ‘MHD free convection in a liquid-metal filled cubic enclosure</w:t>
            </w:r>
            <w:r w:rsidR="001D34BA" w:rsidRPr="0038085B">
              <w:rPr>
                <w:sz w:val="20"/>
              </w:rPr>
              <w:t>’,</w:t>
            </w:r>
            <w:r w:rsidRPr="0038085B">
              <w:rPr>
                <w:sz w:val="20"/>
              </w:rPr>
              <w:t xml:space="preserve"> I. Differential heating’, </w:t>
            </w:r>
            <w:r w:rsidRPr="0038085B">
              <w:rPr>
                <w:i/>
                <w:sz w:val="20"/>
              </w:rPr>
              <w:t xml:space="preserve">Inernational </w:t>
            </w:r>
            <w:r w:rsidR="001D34BA" w:rsidRPr="0038085B">
              <w:rPr>
                <w:i/>
                <w:sz w:val="20"/>
              </w:rPr>
              <w:t>Journal of</w:t>
            </w:r>
            <w:r w:rsidRPr="0038085B">
              <w:rPr>
                <w:i/>
                <w:sz w:val="20"/>
              </w:rPr>
              <w:t xml:space="preserve"> Heat and Mass Transfer</w:t>
            </w:r>
            <w:r w:rsidRPr="0038085B">
              <w:rPr>
                <w:sz w:val="20"/>
              </w:rPr>
              <w:t>,</w:t>
            </w:r>
            <w:r w:rsidR="001D34BA" w:rsidRPr="0038085B">
              <w:rPr>
                <w:sz w:val="20"/>
              </w:rPr>
              <w:t xml:space="preserve"> </w:t>
            </w:r>
            <w:r w:rsidRPr="0038085B">
              <w:rPr>
                <w:b/>
                <w:sz w:val="20"/>
              </w:rPr>
              <w:t>45</w:t>
            </w:r>
            <w:r w:rsidRPr="0038085B">
              <w:rPr>
                <w:sz w:val="20"/>
              </w:rPr>
              <w:t xml:space="preserve"> (2002) 1477-1492.</w:t>
            </w:r>
          </w:p>
        </w:tc>
      </w:tr>
      <w:tr w:rsidR="00C341E9" w:rsidRPr="0038085B" w:rsidTr="0038085B">
        <w:tc>
          <w:tcPr>
            <w:tcW w:w="466" w:type="dxa"/>
            <w:shd w:val="clear" w:color="auto" w:fill="auto"/>
          </w:tcPr>
          <w:p w:rsidR="00C341E9" w:rsidRPr="0038085B" w:rsidRDefault="00790826" w:rsidP="0038085B">
            <w:pPr>
              <w:pStyle w:val="reference"/>
              <w:spacing w:line="480" w:lineRule="auto"/>
              <w:jc w:val="both"/>
              <w:rPr>
                <w:sz w:val="20"/>
              </w:rPr>
            </w:pPr>
            <w:r w:rsidRPr="0038085B">
              <w:rPr>
                <w:sz w:val="20"/>
              </w:rPr>
              <w:t>1</w:t>
            </w:r>
            <w:r w:rsidR="00734545" w:rsidRPr="0038085B">
              <w:rPr>
                <w:sz w:val="20"/>
              </w:rPr>
              <w:t>3</w:t>
            </w:r>
            <w:r w:rsidR="00C341E9" w:rsidRPr="0038085B">
              <w:rPr>
                <w:sz w:val="20"/>
              </w:rPr>
              <w:t>.</w:t>
            </w:r>
          </w:p>
        </w:tc>
        <w:tc>
          <w:tcPr>
            <w:tcW w:w="8573" w:type="dxa"/>
            <w:shd w:val="clear" w:color="auto" w:fill="auto"/>
          </w:tcPr>
          <w:p w:rsidR="00C341E9" w:rsidRPr="0038085B" w:rsidRDefault="00093A61" w:rsidP="0038085B">
            <w:pPr>
              <w:pStyle w:val="reference"/>
              <w:spacing w:line="480" w:lineRule="auto"/>
              <w:jc w:val="both"/>
              <w:rPr>
                <w:sz w:val="20"/>
              </w:rPr>
            </w:pPr>
            <w:r w:rsidRPr="0038085B">
              <w:rPr>
                <w:bCs/>
                <w:sz w:val="20"/>
                <w:lang w:val="tr-TR"/>
              </w:rPr>
              <w:t xml:space="preserve">Fusegi, T. </w:t>
            </w:r>
            <w:r w:rsidRPr="0038085B">
              <w:rPr>
                <w:sz w:val="20"/>
                <w:lang w:val="tr-TR"/>
              </w:rPr>
              <w:t>and Hyun, J.M</w:t>
            </w:r>
            <w:r w:rsidR="001D34BA" w:rsidRPr="0038085B">
              <w:rPr>
                <w:sz w:val="20"/>
                <w:lang w:val="tr-TR"/>
              </w:rPr>
              <w:t>.,</w:t>
            </w:r>
            <w:r w:rsidRPr="0038085B">
              <w:rPr>
                <w:sz w:val="20"/>
                <w:lang w:val="tr-TR"/>
              </w:rPr>
              <w:t xml:space="preserve"> ‘</w:t>
            </w:r>
            <w:r w:rsidRPr="0038085B">
              <w:rPr>
                <w:bCs/>
                <w:sz w:val="20"/>
                <w:lang w:val="tr-TR"/>
              </w:rPr>
              <w:t xml:space="preserve">Laminar and transitional natural-convection in an enclosure with complex and realistic conditions’, </w:t>
            </w:r>
            <w:r w:rsidRPr="0038085B">
              <w:rPr>
                <w:bCs/>
                <w:i/>
                <w:sz w:val="20"/>
                <w:lang w:val="tr-TR"/>
              </w:rPr>
              <w:t>International Journal of Heat and Fluid Flow</w:t>
            </w:r>
            <w:r w:rsidRPr="0038085B">
              <w:rPr>
                <w:bCs/>
                <w:sz w:val="20"/>
                <w:lang w:val="tr-TR"/>
              </w:rPr>
              <w:t xml:space="preserve">, </w:t>
            </w:r>
            <w:r w:rsidRPr="0038085B">
              <w:rPr>
                <w:b/>
                <w:sz w:val="20"/>
                <w:lang w:val="tr-TR"/>
              </w:rPr>
              <w:t>15</w:t>
            </w:r>
            <w:r w:rsidRPr="0038085B">
              <w:rPr>
                <w:bCs/>
                <w:sz w:val="20"/>
                <w:lang w:val="tr-TR"/>
              </w:rPr>
              <w:t xml:space="preserve"> (</w:t>
            </w:r>
            <w:r w:rsidRPr="0038085B">
              <w:rPr>
                <w:sz w:val="20"/>
                <w:lang w:val="tr-TR"/>
              </w:rPr>
              <w:t>1994) 258-268.</w:t>
            </w:r>
          </w:p>
        </w:tc>
      </w:tr>
      <w:tr w:rsidR="00C341E9" w:rsidRPr="0038085B" w:rsidTr="0038085B">
        <w:tc>
          <w:tcPr>
            <w:tcW w:w="466" w:type="dxa"/>
            <w:shd w:val="clear" w:color="auto" w:fill="auto"/>
          </w:tcPr>
          <w:p w:rsidR="00C341E9" w:rsidRPr="0038085B" w:rsidRDefault="00C341E9" w:rsidP="0038085B">
            <w:pPr>
              <w:pStyle w:val="reference"/>
              <w:spacing w:line="480" w:lineRule="auto"/>
              <w:jc w:val="both"/>
              <w:rPr>
                <w:sz w:val="20"/>
              </w:rPr>
            </w:pPr>
            <w:r w:rsidRPr="0038085B">
              <w:rPr>
                <w:sz w:val="20"/>
              </w:rPr>
              <w:lastRenderedPageBreak/>
              <w:t>1</w:t>
            </w:r>
            <w:r w:rsidR="00734545" w:rsidRPr="0038085B">
              <w:rPr>
                <w:sz w:val="20"/>
              </w:rPr>
              <w:t>4</w:t>
            </w:r>
            <w:r w:rsidRPr="0038085B">
              <w:rPr>
                <w:sz w:val="20"/>
              </w:rPr>
              <w:t>.</w:t>
            </w:r>
          </w:p>
        </w:tc>
        <w:tc>
          <w:tcPr>
            <w:tcW w:w="8573" w:type="dxa"/>
            <w:shd w:val="clear" w:color="auto" w:fill="auto"/>
          </w:tcPr>
          <w:p w:rsidR="00C341E9" w:rsidRPr="0038085B" w:rsidRDefault="00093A61" w:rsidP="0038085B">
            <w:pPr>
              <w:pStyle w:val="reference"/>
              <w:spacing w:line="480" w:lineRule="auto"/>
              <w:jc w:val="both"/>
              <w:rPr>
                <w:sz w:val="20"/>
              </w:rPr>
            </w:pPr>
            <w:r w:rsidRPr="0038085B">
              <w:rPr>
                <w:sz w:val="20"/>
              </w:rPr>
              <w:t>Garandet, J.P., Alboussiere, T. and Moreau, R., ‘Buoyancy drive convection in a rectangular enclosure with a transverse magnetic field’,</w:t>
            </w:r>
            <w:r w:rsidRPr="0038085B">
              <w:rPr>
                <w:i/>
                <w:sz w:val="20"/>
              </w:rPr>
              <w:t xml:space="preserve"> Int. J. Heat Mass Transfer</w:t>
            </w:r>
            <w:r w:rsidRPr="0038085B">
              <w:rPr>
                <w:sz w:val="20"/>
              </w:rPr>
              <w:t xml:space="preserve">, </w:t>
            </w:r>
            <w:r w:rsidRPr="0038085B">
              <w:rPr>
                <w:b/>
                <w:sz w:val="20"/>
              </w:rPr>
              <w:t>35</w:t>
            </w:r>
            <w:r w:rsidRPr="0038085B">
              <w:rPr>
                <w:sz w:val="20"/>
              </w:rPr>
              <w:t xml:space="preserve"> (1992) 741-748.</w:t>
            </w:r>
          </w:p>
        </w:tc>
      </w:tr>
      <w:tr w:rsidR="00C341E9" w:rsidRPr="0038085B" w:rsidTr="0038085B">
        <w:trPr>
          <w:trHeight w:val="402"/>
        </w:trPr>
        <w:tc>
          <w:tcPr>
            <w:tcW w:w="466" w:type="dxa"/>
            <w:shd w:val="clear" w:color="auto" w:fill="auto"/>
          </w:tcPr>
          <w:p w:rsidR="00C341E9" w:rsidRPr="0038085B" w:rsidRDefault="00547C37" w:rsidP="0038085B">
            <w:pPr>
              <w:pStyle w:val="reference"/>
              <w:spacing w:line="480" w:lineRule="auto"/>
              <w:jc w:val="both"/>
              <w:rPr>
                <w:sz w:val="20"/>
              </w:rPr>
            </w:pPr>
            <w:r w:rsidRPr="0038085B">
              <w:rPr>
                <w:sz w:val="20"/>
              </w:rPr>
              <w:t>1</w:t>
            </w:r>
            <w:r w:rsidR="00734545" w:rsidRPr="0038085B">
              <w:rPr>
                <w:sz w:val="20"/>
              </w:rPr>
              <w:t>5</w:t>
            </w:r>
            <w:r w:rsidR="00C341E9" w:rsidRPr="0038085B">
              <w:rPr>
                <w:sz w:val="20"/>
              </w:rPr>
              <w:t>.</w:t>
            </w:r>
          </w:p>
        </w:tc>
        <w:tc>
          <w:tcPr>
            <w:tcW w:w="8573" w:type="dxa"/>
            <w:shd w:val="clear" w:color="auto" w:fill="auto"/>
          </w:tcPr>
          <w:p w:rsidR="00C341E9" w:rsidRPr="0038085B" w:rsidRDefault="00C24204" w:rsidP="0038085B">
            <w:pPr>
              <w:pStyle w:val="reference"/>
              <w:spacing w:line="480" w:lineRule="auto"/>
              <w:jc w:val="both"/>
              <w:rPr>
                <w:sz w:val="20"/>
              </w:rPr>
            </w:pPr>
            <w:r w:rsidRPr="0038085B">
              <w:rPr>
                <w:sz w:val="20"/>
              </w:rPr>
              <w:t xml:space="preserve">Gou, K.L. and Wu, S.T., ‘Numerical study of flow and temperature stratifications in a liquid thermal storage tank’, </w:t>
            </w:r>
            <w:r w:rsidRPr="0038085B">
              <w:rPr>
                <w:i/>
                <w:sz w:val="20"/>
              </w:rPr>
              <w:t>Journal of Solar Energy Engineering</w:t>
            </w:r>
            <w:r w:rsidRPr="0038085B">
              <w:rPr>
                <w:sz w:val="20"/>
              </w:rPr>
              <w:t xml:space="preserve">, </w:t>
            </w:r>
            <w:r w:rsidRPr="0038085B">
              <w:rPr>
                <w:b/>
                <w:sz w:val="20"/>
              </w:rPr>
              <w:t>107</w:t>
            </w:r>
            <w:r w:rsidRPr="0038085B">
              <w:rPr>
                <w:sz w:val="20"/>
              </w:rPr>
              <w:t xml:space="preserve"> (1985) 15-20.</w:t>
            </w:r>
          </w:p>
        </w:tc>
      </w:tr>
      <w:tr w:rsidR="00C341E9" w:rsidRPr="0038085B" w:rsidTr="0038085B">
        <w:tc>
          <w:tcPr>
            <w:tcW w:w="466" w:type="dxa"/>
            <w:shd w:val="clear" w:color="auto" w:fill="auto"/>
          </w:tcPr>
          <w:p w:rsidR="00C341E9" w:rsidRPr="0038085B" w:rsidRDefault="00790826" w:rsidP="0038085B">
            <w:pPr>
              <w:pStyle w:val="reference"/>
              <w:spacing w:line="480" w:lineRule="auto"/>
              <w:jc w:val="both"/>
              <w:rPr>
                <w:sz w:val="20"/>
              </w:rPr>
            </w:pPr>
            <w:r w:rsidRPr="0038085B">
              <w:rPr>
                <w:sz w:val="20"/>
              </w:rPr>
              <w:t>1</w:t>
            </w:r>
            <w:r w:rsidR="00734545" w:rsidRPr="0038085B">
              <w:rPr>
                <w:sz w:val="20"/>
              </w:rPr>
              <w:t>6</w:t>
            </w:r>
            <w:r w:rsidR="00C341E9" w:rsidRPr="0038085B">
              <w:rPr>
                <w:sz w:val="20"/>
              </w:rPr>
              <w:t>.</w:t>
            </w:r>
          </w:p>
        </w:tc>
        <w:tc>
          <w:tcPr>
            <w:tcW w:w="8573" w:type="dxa"/>
            <w:shd w:val="clear" w:color="auto" w:fill="auto"/>
          </w:tcPr>
          <w:p w:rsidR="00C341E9" w:rsidRPr="0038085B" w:rsidRDefault="00C24204" w:rsidP="0038085B">
            <w:pPr>
              <w:pStyle w:val="reference"/>
              <w:spacing w:line="480" w:lineRule="auto"/>
              <w:jc w:val="both"/>
              <w:rPr>
                <w:sz w:val="20"/>
              </w:rPr>
            </w:pPr>
            <w:r w:rsidRPr="0038085B">
              <w:rPr>
                <w:sz w:val="20"/>
              </w:rPr>
              <w:t>Hall, J.D., Bejan, A. and Chaddock, J.B., ‘Transient natural convection in a rectangular enclosure with one heated side wall’,</w:t>
            </w:r>
            <w:r w:rsidRPr="0038085B">
              <w:rPr>
                <w:i/>
                <w:sz w:val="20"/>
              </w:rPr>
              <w:t xml:space="preserve"> Int. J. Heat and Fluid Flow, </w:t>
            </w:r>
            <w:r w:rsidRPr="0038085B">
              <w:rPr>
                <w:b/>
                <w:sz w:val="20"/>
              </w:rPr>
              <w:t>9</w:t>
            </w:r>
            <w:r w:rsidRPr="0038085B">
              <w:rPr>
                <w:sz w:val="20"/>
              </w:rPr>
              <w:t xml:space="preserve"> (1988) 396-404.</w:t>
            </w:r>
          </w:p>
        </w:tc>
      </w:tr>
      <w:tr w:rsidR="00271652" w:rsidRPr="0038085B" w:rsidTr="0038085B">
        <w:tc>
          <w:tcPr>
            <w:tcW w:w="466" w:type="dxa"/>
            <w:shd w:val="clear" w:color="auto" w:fill="auto"/>
          </w:tcPr>
          <w:p w:rsidR="00271652" w:rsidRPr="0038085B" w:rsidRDefault="00734545" w:rsidP="0038085B">
            <w:pPr>
              <w:pStyle w:val="reference"/>
              <w:spacing w:line="480" w:lineRule="auto"/>
              <w:jc w:val="both"/>
              <w:rPr>
                <w:sz w:val="20"/>
              </w:rPr>
            </w:pPr>
            <w:r w:rsidRPr="0038085B">
              <w:rPr>
                <w:sz w:val="20"/>
              </w:rPr>
              <w:t>17.</w:t>
            </w:r>
          </w:p>
        </w:tc>
        <w:tc>
          <w:tcPr>
            <w:tcW w:w="8573" w:type="dxa"/>
            <w:shd w:val="clear" w:color="auto" w:fill="auto"/>
          </w:tcPr>
          <w:p w:rsidR="00271652" w:rsidRPr="0038085B" w:rsidRDefault="00271652" w:rsidP="0038085B">
            <w:pPr>
              <w:pStyle w:val="reference"/>
              <w:spacing w:line="480" w:lineRule="auto"/>
              <w:jc w:val="both"/>
              <w:rPr>
                <w:sz w:val="20"/>
              </w:rPr>
            </w:pPr>
            <w:r w:rsidRPr="0038085B">
              <w:rPr>
                <w:sz w:val="20"/>
              </w:rPr>
              <w:t>Hiller, W.J., Koch, S. and Kowalewski, T.A., ‘Three-dimensional structures in laminar natural convection in a cube shaped enclosure’, in</w:t>
            </w:r>
            <w:r w:rsidR="00A40862" w:rsidRPr="0038085B">
              <w:rPr>
                <w:sz w:val="20"/>
              </w:rPr>
              <w:t>:</w:t>
            </w:r>
            <w:r w:rsidRPr="0038085B">
              <w:rPr>
                <w:sz w:val="20"/>
              </w:rPr>
              <w:t xml:space="preserve"> Shah</w:t>
            </w:r>
            <w:r w:rsidR="00A40862" w:rsidRPr="0038085B">
              <w:rPr>
                <w:sz w:val="20"/>
              </w:rPr>
              <w:t>, P.K.</w:t>
            </w:r>
            <w:r w:rsidRPr="0038085B">
              <w:rPr>
                <w:sz w:val="20"/>
              </w:rPr>
              <w:t xml:space="preserve">, Ganiç, </w:t>
            </w:r>
            <w:r w:rsidR="00A40862" w:rsidRPr="0038085B">
              <w:rPr>
                <w:sz w:val="20"/>
              </w:rPr>
              <w:t>E.N.</w:t>
            </w:r>
            <w:r w:rsidR="00B27A5D" w:rsidRPr="0038085B">
              <w:rPr>
                <w:sz w:val="20"/>
              </w:rPr>
              <w:t xml:space="preserve"> and </w:t>
            </w:r>
            <w:r w:rsidRPr="0038085B">
              <w:rPr>
                <w:sz w:val="20"/>
              </w:rPr>
              <w:t>Yang</w:t>
            </w:r>
            <w:r w:rsidR="00A40862" w:rsidRPr="0038085B">
              <w:rPr>
                <w:sz w:val="20"/>
              </w:rPr>
              <w:t>,</w:t>
            </w:r>
            <w:r w:rsidRPr="0038085B">
              <w:rPr>
                <w:sz w:val="20"/>
              </w:rPr>
              <w:t xml:space="preserve"> </w:t>
            </w:r>
            <w:r w:rsidR="00A40862" w:rsidRPr="0038085B">
              <w:rPr>
                <w:sz w:val="20"/>
              </w:rPr>
              <w:t xml:space="preserve">K.T. </w:t>
            </w:r>
            <w:r w:rsidRPr="0038085B">
              <w:rPr>
                <w:sz w:val="20"/>
              </w:rPr>
              <w:t>(Eds</w:t>
            </w:r>
            <w:r w:rsidR="00A40862" w:rsidRPr="0038085B">
              <w:rPr>
                <w:sz w:val="20"/>
              </w:rPr>
              <w:t xml:space="preserve">), </w:t>
            </w:r>
            <w:r w:rsidR="00A40862" w:rsidRPr="0038085B">
              <w:rPr>
                <w:i/>
                <w:sz w:val="20"/>
              </w:rPr>
              <w:t>Experimental H</w:t>
            </w:r>
            <w:r w:rsidRPr="0038085B">
              <w:rPr>
                <w:i/>
                <w:sz w:val="20"/>
              </w:rPr>
              <w:t>eat Transfer, Fluid Mechanics, and Thermodynamics,</w:t>
            </w:r>
            <w:r w:rsidRPr="0038085B">
              <w:rPr>
                <w:sz w:val="20"/>
              </w:rPr>
              <w:t xml:space="preserve"> Elsevier, Amsterdam, 1988, pp. 722-729.</w:t>
            </w:r>
          </w:p>
        </w:tc>
      </w:tr>
      <w:tr w:rsidR="00C341E9" w:rsidRPr="0038085B" w:rsidTr="0038085B">
        <w:tc>
          <w:tcPr>
            <w:tcW w:w="466" w:type="dxa"/>
            <w:shd w:val="clear" w:color="auto" w:fill="auto"/>
          </w:tcPr>
          <w:p w:rsidR="00C341E9" w:rsidRPr="0038085B" w:rsidRDefault="00547C37" w:rsidP="0038085B">
            <w:pPr>
              <w:pStyle w:val="reference"/>
              <w:spacing w:line="480" w:lineRule="auto"/>
              <w:jc w:val="both"/>
              <w:rPr>
                <w:sz w:val="20"/>
              </w:rPr>
            </w:pPr>
            <w:r w:rsidRPr="0038085B">
              <w:rPr>
                <w:sz w:val="20"/>
              </w:rPr>
              <w:t>1</w:t>
            </w:r>
            <w:r w:rsidR="00734545" w:rsidRPr="0038085B">
              <w:rPr>
                <w:sz w:val="20"/>
              </w:rPr>
              <w:t>8</w:t>
            </w:r>
            <w:r w:rsidR="00C341E9" w:rsidRPr="0038085B">
              <w:rPr>
                <w:sz w:val="20"/>
              </w:rPr>
              <w:t>.</w:t>
            </w:r>
          </w:p>
        </w:tc>
        <w:tc>
          <w:tcPr>
            <w:tcW w:w="8573" w:type="dxa"/>
            <w:shd w:val="clear" w:color="auto" w:fill="auto"/>
          </w:tcPr>
          <w:p w:rsidR="00C341E9" w:rsidRPr="0038085B" w:rsidRDefault="00C24204" w:rsidP="0038085B">
            <w:pPr>
              <w:pStyle w:val="reference"/>
              <w:spacing w:line="480" w:lineRule="auto"/>
              <w:jc w:val="both"/>
              <w:rPr>
                <w:bCs/>
                <w:sz w:val="20"/>
              </w:rPr>
            </w:pPr>
            <w:r w:rsidRPr="0038085B">
              <w:rPr>
                <w:sz w:val="20"/>
              </w:rPr>
              <w:t xml:space="preserve">Janssen, R.J.A. and Henkes, R.A.W.M., ‘Influence of Prandtl number on instability mechanisms and transition in a differentially heated square cavity’, </w:t>
            </w:r>
            <w:r w:rsidRPr="0038085B">
              <w:rPr>
                <w:i/>
                <w:sz w:val="20"/>
              </w:rPr>
              <w:t>J. Fluid Mechanics</w:t>
            </w:r>
            <w:r w:rsidRPr="0038085B">
              <w:rPr>
                <w:sz w:val="20"/>
              </w:rPr>
              <w:t xml:space="preserve">, </w:t>
            </w:r>
            <w:r w:rsidRPr="0038085B">
              <w:rPr>
                <w:b/>
                <w:sz w:val="20"/>
              </w:rPr>
              <w:t>290</w:t>
            </w:r>
            <w:r w:rsidRPr="0038085B">
              <w:rPr>
                <w:sz w:val="20"/>
              </w:rPr>
              <w:t xml:space="preserve"> (1995) 319-344.</w:t>
            </w:r>
          </w:p>
        </w:tc>
      </w:tr>
      <w:tr w:rsidR="00C341E9" w:rsidRPr="0038085B" w:rsidTr="0038085B">
        <w:tc>
          <w:tcPr>
            <w:tcW w:w="466" w:type="dxa"/>
            <w:shd w:val="clear" w:color="auto" w:fill="auto"/>
          </w:tcPr>
          <w:p w:rsidR="00C341E9" w:rsidRPr="0038085B" w:rsidRDefault="00547C37" w:rsidP="0038085B">
            <w:pPr>
              <w:pStyle w:val="reference"/>
              <w:spacing w:line="480" w:lineRule="auto"/>
              <w:jc w:val="both"/>
              <w:rPr>
                <w:sz w:val="20"/>
              </w:rPr>
            </w:pPr>
            <w:r w:rsidRPr="0038085B">
              <w:rPr>
                <w:sz w:val="20"/>
              </w:rPr>
              <w:t>1</w:t>
            </w:r>
            <w:r w:rsidR="00734545" w:rsidRPr="0038085B">
              <w:rPr>
                <w:sz w:val="20"/>
              </w:rPr>
              <w:t>9</w:t>
            </w:r>
            <w:r w:rsidR="00C341E9" w:rsidRPr="0038085B">
              <w:rPr>
                <w:sz w:val="20"/>
              </w:rPr>
              <w:t>.</w:t>
            </w:r>
          </w:p>
        </w:tc>
        <w:tc>
          <w:tcPr>
            <w:tcW w:w="8573" w:type="dxa"/>
            <w:shd w:val="clear" w:color="auto" w:fill="auto"/>
          </w:tcPr>
          <w:p w:rsidR="00C341E9" w:rsidRPr="0038085B" w:rsidRDefault="001272B2" w:rsidP="0038085B">
            <w:pPr>
              <w:pStyle w:val="reference"/>
              <w:spacing w:line="480" w:lineRule="auto"/>
              <w:jc w:val="both"/>
              <w:rPr>
                <w:bCs/>
                <w:sz w:val="20"/>
              </w:rPr>
            </w:pPr>
            <w:r w:rsidRPr="0038085B">
              <w:rPr>
                <w:sz w:val="20"/>
              </w:rPr>
              <w:t>Krane, R.J. and Jessee, J., ‘Some detailed field measurements for a natural convection flow in a vertical square enclosure’, Proc. 1st. ASME-JSME Thermal Engineering Joint Conf., 1983, pp. 323-329.</w:t>
            </w:r>
          </w:p>
        </w:tc>
      </w:tr>
      <w:tr w:rsidR="00C341E9" w:rsidRPr="0038085B" w:rsidTr="0038085B">
        <w:tc>
          <w:tcPr>
            <w:tcW w:w="466" w:type="dxa"/>
            <w:shd w:val="clear" w:color="auto" w:fill="auto"/>
          </w:tcPr>
          <w:p w:rsidR="00C341E9" w:rsidRPr="0038085B" w:rsidRDefault="00734545" w:rsidP="0038085B">
            <w:pPr>
              <w:pStyle w:val="reference"/>
              <w:spacing w:line="480" w:lineRule="auto"/>
              <w:jc w:val="both"/>
              <w:rPr>
                <w:sz w:val="20"/>
              </w:rPr>
            </w:pPr>
            <w:r w:rsidRPr="0038085B">
              <w:rPr>
                <w:sz w:val="20"/>
              </w:rPr>
              <w:t>20</w:t>
            </w:r>
            <w:r w:rsidR="00C341E9" w:rsidRPr="0038085B">
              <w:rPr>
                <w:sz w:val="20"/>
              </w:rPr>
              <w:t>.</w:t>
            </w:r>
          </w:p>
        </w:tc>
        <w:tc>
          <w:tcPr>
            <w:tcW w:w="8573" w:type="dxa"/>
            <w:shd w:val="clear" w:color="auto" w:fill="auto"/>
          </w:tcPr>
          <w:p w:rsidR="00C341E9" w:rsidRPr="0038085B" w:rsidRDefault="00FD024B" w:rsidP="0038085B">
            <w:pPr>
              <w:pStyle w:val="reference"/>
              <w:spacing w:line="480" w:lineRule="auto"/>
              <w:jc w:val="both"/>
              <w:rPr>
                <w:bCs/>
                <w:sz w:val="20"/>
              </w:rPr>
            </w:pPr>
            <w:r w:rsidRPr="0038085B">
              <w:rPr>
                <w:sz w:val="20"/>
              </w:rPr>
              <w:t xml:space="preserve">Kuyper, R.A., Van Der Meer, T.H., Hoogendoorn, C.J. and Henkes, R.A.W.M., ‘Numerical study of laminar and turbulent convection in an inclined square cavity’, </w:t>
            </w:r>
            <w:r w:rsidRPr="0038085B">
              <w:rPr>
                <w:i/>
                <w:sz w:val="20"/>
              </w:rPr>
              <w:t>Int. J. Heat Mass Transfer</w:t>
            </w:r>
            <w:r w:rsidRPr="0038085B">
              <w:rPr>
                <w:sz w:val="20"/>
              </w:rPr>
              <w:t xml:space="preserve">, </w:t>
            </w:r>
            <w:r w:rsidRPr="0038085B">
              <w:rPr>
                <w:b/>
                <w:sz w:val="20"/>
              </w:rPr>
              <w:t>36</w:t>
            </w:r>
            <w:r w:rsidRPr="0038085B">
              <w:rPr>
                <w:sz w:val="20"/>
              </w:rPr>
              <w:t xml:space="preserve"> (1993) 2899-2911.</w:t>
            </w:r>
          </w:p>
        </w:tc>
      </w:tr>
      <w:tr w:rsidR="00C341E9" w:rsidRPr="0038085B" w:rsidTr="0038085B">
        <w:tc>
          <w:tcPr>
            <w:tcW w:w="466" w:type="dxa"/>
            <w:shd w:val="clear" w:color="auto" w:fill="auto"/>
          </w:tcPr>
          <w:p w:rsidR="00C341E9" w:rsidRPr="0038085B" w:rsidRDefault="00734545" w:rsidP="0038085B">
            <w:pPr>
              <w:pStyle w:val="reference"/>
              <w:spacing w:line="480" w:lineRule="auto"/>
              <w:jc w:val="both"/>
              <w:rPr>
                <w:sz w:val="20"/>
              </w:rPr>
            </w:pPr>
            <w:r w:rsidRPr="0038085B">
              <w:rPr>
                <w:sz w:val="20"/>
              </w:rPr>
              <w:t>2</w:t>
            </w:r>
            <w:r w:rsidR="00547C37" w:rsidRPr="0038085B">
              <w:rPr>
                <w:sz w:val="20"/>
              </w:rPr>
              <w:t>1</w:t>
            </w:r>
            <w:r w:rsidR="00C341E9" w:rsidRPr="0038085B">
              <w:rPr>
                <w:sz w:val="20"/>
              </w:rPr>
              <w:t>.</w:t>
            </w:r>
          </w:p>
        </w:tc>
        <w:tc>
          <w:tcPr>
            <w:tcW w:w="8573" w:type="dxa"/>
            <w:shd w:val="clear" w:color="auto" w:fill="auto"/>
          </w:tcPr>
          <w:p w:rsidR="00C341E9" w:rsidRPr="0038085B" w:rsidRDefault="00FD024B" w:rsidP="0038085B">
            <w:pPr>
              <w:pStyle w:val="reference"/>
              <w:spacing w:line="480" w:lineRule="auto"/>
              <w:jc w:val="both"/>
              <w:rPr>
                <w:bCs/>
                <w:sz w:val="20"/>
              </w:rPr>
            </w:pPr>
            <w:r w:rsidRPr="0038085B">
              <w:rPr>
                <w:sz w:val="20"/>
              </w:rPr>
              <w:t>Oreper, G.M.</w:t>
            </w:r>
            <w:r w:rsidR="00805017" w:rsidRPr="0038085B">
              <w:rPr>
                <w:sz w:val="20"/>
              </w:rPr>
              <w:t xml:space="preserve"> and</w:t>
            </w:r>
            <w:r w:rsidRPr="0038085B">
              <w:rPr>
                <w:sz w:val="20"/>
              </w:rPr>
              <w:t xml:space="preserve"> Szekely, J., ‘The effect of an externally imposed magnetic field on buoyancy driven flow in a rectangular cavity’, </w:t>
            </w:r>
            <w:r w:rsidRPr="0038085B">
              <w:rPr>
                <w:i/>
                <w:sz w:val="20"/>
              </w:rPr>
              <w:t>Journal of Crystal Growth</w:t>
            </w:r>
            <w:r w:rsidRPr="0038085B">
              <w:rPr>
                <w:sz w:val="20"/>
              </w:rPr>
              <w:t>,</w:t>
            </w:r>
            <w:r w:rsidRPr="0038085B">
              <w:rPr>
                <w:b/>
                <w:sz w:val="20"/>
              </w:rPr>
              <w:t xml:space="preserve"> 64</w:t>
            </w:r>
            <w:r w:rsidRPr="0038085B">
              <w:rPr>
                <w:sz w:val="20"/>
              </w:rPr>
              <w:t xml:space="preserve"> (1983) 505-515.</w:t>
            </w:r>
          </w:p>
        </w:tc>
      </w:tr>
      <w:tr w:rsidR="00C341E9" w:rsidRPr="0038085B" w:rsidTr="0038085B">
        <w:tc>
          <w:tcPr>
            <w:tcW w:w="466" w:type="dxa"/>
            <w:shd w:val="clear" w:color="auto" w:fill="auto"/>
          </w:tcPr>
          <w:p w:rsidR="00C341E9" w:rsidRPr="0038085B" w:rsidRDefault="00734545" w:rsidP="0038085B">
            <w:pPr>
              <w:pStyle w:val="reference"/>
              <w:spacing w:line="480" w:lineRule="auto"/>
              <w:jc w:val="both"/>
              <w:rPr>
                <w:sz w:val="20"/>
              </w:rPr>
            </w:pPr>
            <w:r w:rsidRPr="0038085B">
              <w:rPr>
                <w:sz w:val="20"/>
              </w:rPr>
              <w:t>22</w:t>
            </w:r>
            <w:r w:rsidR="00003EFD" w:rsidRPr="0038085B">
              <w:rPr>
                <w:sz w:val="20"/>
              </w:rPr>
              <w:t>.</w:t>
            </w:r>
          </w:p>
        </w:tc>
        <w:tc>
          <w:tcPr>
            <w:tcW w:w="8573" w:type="dxa"/>
            <w:shd w:val="clear" w:color="auto" w:fill="auto"/>
          </w:tcPr>
          <w:p w:rsidR="00C341E9" w:rsidRPr="0038085B" w:rsidRDefault="00875909" w:rsidP="0038085B">
            <w:pPr>
              <w:pStyle w:val="reference"/>
              <w:spacing w:line="480" w:lineRule="auto"/>
              <w:jc w:val="both"/>
              <w:rPr>
                <w:bCs/>
                <w:sz w:val="20"/>
              </w:rPr>
            </w:pPr>
            <w:r w:rsidRPr="0038085B">
              <w:rPr>
                <w:bCs/>
                <w:sz w:val="20"/>
              </w:rPr>
              <w:t>Ozoe,</w:t>
            </w:r>
            <w:r w:rsidR="00805017" w:rsidRPr="0038085B">
              <w:rPr>
                <w:bCs/>
                <w:sz w:val="20"/>
              </w:rPr>
              <w:t xml:space="preserve"> H. and</w:t>
            </w:r>
            <w:r w:rsidRPr="0038085B">
              <w:rPr>
                <w:bCs/>
                <w:sz w:val="20"/>
              </w:rPr>
              <w:t xml:space="preserve"> Maruo, M., ‘Magnetic and gravitational natural convection of melted silicon-two dimensional numerical computations for the rate of heat transfer’, </w:t>
            </w:r>
            <w:r w:rsidRPr="0038085B">
              <w:rPr>
                <w:bCs/>
                <w:i/>
                <w:sz w:val="20"/>
              </w:rPr>
              <w:t>J.S.M.E.</w:t>
            </w:r>
            <w:r w:rsidRPr="0038085B">
              <w:rPr>
                <w:bCs/>
                <w:sz w:val="20"/>
              </w:rPr>
              <w:t xml:space="preserve">, </w:t>
            </w:r>
            <w:r w:rsidRPr="0038085B">
              <w:rPr>
                <w:b/>
                <w:bCs/>
                <w:sz w:val="20"/>
              </w:rPr>
              <w:t>30</w:t>
            </w:r>
            <w:r w:rsidRPr="0038085B">
              <w:rPr>
                <w:bCs/>
                <w:sz w:val="20"/>
              </w:rPr>
              <w:t xml:space="preserve"> (1987) 774-784.</w:t>
            </w:r>
          </w:p>
        </w:tc>
      </w:tr>
      <w:tr w:rsidR="00C341E9" w:rsidRPr="0038085B" w:rsidTr="0038085B">
        <w:tc>
          <w:tcPr>
            <w:tcW w:w="466" w:type="dxa"/>
            <w:shd w:val="clear" w:color="auto" w:fill="auto"/>
          </w:tcPr>
          <w:p w:rsidR="00C341E9" w:rsidRPr="0038085B" w:rsidRDefault="00734545" w:rsidP="0038085B">
            <w:pPr>
              <w:pStyle w:val="reference"/>
              <w:spacing w:line="480" w:lineRule="auto"/>
              <w:jc w:val="both"/>
              <w:rPr>
                <w:sz w:val="20"/>
              </w:rPr>
            </w:pPr>
            <w:r w:rsidRPr="0038085B">
              <w:rPr>
                <w:sz w:val="20"/>
              </w:rPr>
              <w:t>23</w:t>
            </w:r>
            <w:r w:rsidR="00C341E9" w:rsidRPr="0038085B">
              <w:rPr>
                <w:sz w:val="20"/>
              </w:rPr>
              <w:t>.</w:t>
            </w:r>
          </w:p>
        </w:tc>
        <w:tc>
          <w:tcPr>
            <w:tcW w:w="8573" w:type="dxa"/>
            <w:shd w:val="clear" w:color="auto" w:fill="auto"/>
          </w:tcPr>
          <w:p w:rsidR="00C341E9" w:rsidRPr="0038085B" w:rsidRDefault="00805017" w:rsidP="0038085B">
            <w:pPr>
              <w:pStyle w:val="reference"/>
              <w:spacing w:line="480" w:lineRule="auto"/>
              <w:jc w:val="both"/>
              <w:rPr>
                <w:bCs/>
                <w:sz w:val="20"/>
              </w:rPr>
            </w:pPr>
            <w:r w:rsidRPr="0038085B">
              <w:rPr>
                <w:sz w:val="20"/>
              </w:rPr>
              <w:t>Patterson, J.C. and Armfield, S.W., ‘Transient features of natural convection in a cavity’</w:t>
            </w:r>
            <w:r w:rsidR="00902814" w:rsidRPr="0038085B">
              <w:rPr>
                <w:sz w:val="20"/>
              </w:rPr>
              <w:t>,</w:t>
            </w:r>
            <w:r w:rsidRPr="0038085B">
              <w:rPr>
                <w:sz w:val="20"/>
              </w:rPr>
              <w:t xml:space="preserve"> </w:t>
            </w:r>
            <w:r w:rsidRPr="0038085B">
              <w:rPr>
                <w:i/>
                <w:sz w:val="20"/>
              </w:rPr>
              <w:t>J. Fluid     Mechanics</w:t>
            </w:r>
            <w:r w:rsidRPr="0038085B">
              <w:rPr>
                <w:sz w:val="20"/>
              </w:rPr>
              <w:t xml:space="preserve">, </w:t>
            </w:r>
            <w:r w:rsidRPr="0038085B">
              <w:rPr>
                <w:b/>
                <w:sz w:val="20"/>
              </w:rPr>
              <w:t>219</w:t>
            </w:r>
            <w:r w:rsidRPr="0038085B">
              <w:rPr>
                <w:sz w:val="20"/>
              </w:rPr>
              <w:t xml:space="preserve"> (1990) 469-497.</w:t>
            </w:r>
          </w:p>
        </w:tc>
      </w:tr>
      <w:tr w:rsidR="00FC7EC5" w:rsidRPr="0038085B" w:rsidTr="0038085B">
        <w:tc>
          <w:tcPr>
            <w:tcW w:w="466" w:type="dxa"/>
            <w:shd w:val="clear" w:color="auto" w:fill="auto"/>
          </w:tcPr>
          <w:p w:rsidR="00FC7EC5" w:rsidRPr="0038085B" w:rsidRDefault="00547C37" w:rsidP="0038085B">
            <w:pPr>
              <w:pStyle w:val="reference"/>
              <w:spacing w:line="480" w:lineRule="auto"/>
              <w:jc w:val="both"/>
              <w:rPr>
                <w:sz w:val="20"/>
              </w:rPr>
            </w:pPr>
            <w:r w:rsidRPr="0038085B">
              <w:rPr>
                <w:sz w:val="20"/>
              </w:rPr>
              <w:t>2</w:t>
            </w:r>
            <w:r w:rsidR="00734545" w:rsidRPr="0038085B">
              <w:rPr>
                <w:sz w:val="20"/>
              </w:rPr>
              <w:t>4</w:t>
            </w:r>
            <w:r w:rsidR="00165481" w:rsidRPr="0038085B">
              <w:rPr>
                <w:sz w:val="20"/>
              </w:rPr>
              <w:t>.</w:t>
            </w:r>
          </w:p>
        </w:tc>
        <w:tc>
          <w:tcPr>
            <w:tcW w:w="8573" w:type="dxa"/>
            <w:shd w:val="clear" w:color="auto" w:fill="auto"/>
          </w:tcPr>
          <w:p w:rsidR="00FC7EC5" w:rsidRPr="0038085B" w:rsidRDefault="00805017" w:rsidP="0038085B">
            <w:pPr>
              <w:pStyle w:val="reference"/>
              <w:spacing w:line="480" w:lineRule="auto"/>
              <w:jc w:val="both"/>
              <w:rPr>
                <w:sz w:val="20"/>
              </w:rPr>
            </w:pPr>
            <w:r w:rsidRPr="0038085B">
              <w:rPr>
                <w:sz w:val="20"/>
              </w:rPr>
              <w:t xml:space="preserve">Rasoul, J. and Prinos, P., ‘Natural convection in an inclined enclosure’, </w:t>
            </w:r>
            <w:r w:rsidRPr="0038085B">
              <w:rPr>
                <w:i/>
                <w:sz w:val="20"/>
              </w:rPr>
              <w:t>International Journal of Numerical Methods for Heat Fluid Flow,</w:t>
            </w:r>
            <w:r w:rsidRPr="0038085B">
              <w:rPr>
                <w:sz w:val="20"/>
              </w:rPr>
              <w:t xml:space="preserve"> </w:t>
            </w:r>
            <w:r w:rsidRPr="0038085B">
              <w:rPr>
                <w:b/>
                <w:sz w:val="20"/>
              </w:rPr>
              <w:t>7</w:t>
            </w:r>
            <w:r w:rsidRPr="0038085B">
              <w:rPr>
                <w:sz w:val="20"/>
              </w:rPr>
              <w:t xml:space="preserve"> (1997) 438-478.</w:t>
            </w:r>
          </w:p>
        </w:tc>
      </w:tr>
      <w:tr w:rsidR="00C341E9" w:rsidRPr="0038085B" w:rsidTr="0038085B">
        <w:tc>
          <w:tcPr>
            <w:tcW w:w="466" w:type="dxa"/>
            <w:shd w:val="clear" w:color="auto" w:fill="auto"/>
          </w:tcPr>
          <w:p w:rsidR="00C341E9" w:rsidRPr="0038085B" w:rsidRDefault="00C341E9" w:rsidP="0038085B">
            <w:pPr>
              <w:pStyle w:val="reference"/>
              <w:spacing w:line="480" w:lineRule="auto"/>
              <w:jc w:val="both"/>
              <w:rPr>
                <w:sz w:val="20"/>
              </w:rPr>
            </w:pPr>
            <w:r w:rsidRPr="0038085B">
              <w:rPr>
                <w:sz w:val="20"/>
              </w:rPr>
              <w:t>2</w:t>
            </w:r>
            <w:r w:rsidR="00734545" w:rsidRPr="0038085B">
              <w:rPr>
                <w:sz w:val="20"/>
              </w:rPr>
              <w:t>5</w:t>
            </w:r>
            <w:r w:rsidRPr="0038085B">
              <w:rPr>
                <w:sz w:val="20"/>
              </w:rPr>
              <w:t>.</w:t>
            </w:r>
          </w:p>
        </w:tc>
        <w:tc>
          <w:tcPr>
            <w:tcW w:w="8573" w:type="dxa"/>
            <w:shd w:val="clear" w:color="auto" w:fill="auto"/>
          </w:tcPr>
          <w:p w:rsidR="00C341E9" w:rsidRPr="0038085B" w:rsidRDefault="00805017" w:rsidP="0038085B">
            <w:pPr>
              <w:pStyle w:val="reference"/>
              <w:spacing w:line="480" w:lineRule="auto"/>
              <w:jc w:val="both"/>
              <w:rPr>
                <w:bCs/>
                <w:sz w:val="20"/>
              </w:rPr>
            </w:pPr>
            <w:r w:rsidRPr="0038085B">
              <w:rPr>
                <w:sz w:val="20"/>
              </w:rPr>
              <w:t xml:space="preserve">Ravi, M.R., Henkes, R.A.W.M. and Hoogendoorn, C.J., ‘On the high-Rayleigh-number structure of steady laminar natural-convection flow in a square enclosure’, </w:t>
            </w:r>
            <w:r w:rsidRPr="0038085B">
              <w:rPr>
                <w:i/>
                <w:sz w:val="20"/>
              </w:rPr>
              <w:t>J. Fluid Mechanics</w:t>
            </w:r>
            <w:r w:rsidRPr="0038085B">
              <w:rPr>
                <w:sz w:val="20"/>
              </w:rPr>
              <w:t xml:space="preserve">, </w:t>
            </w:r>
            <w:r w:rsidRPr="0038085B">
              <w:rPr>
                <w:b/>
                <w:sz w:val="20"/>
              </w:rPr>
              <w:t>262</w:t>
            </w:r>
            <w:r w:rsidRPr="0038085B">
              <w:rPr>
                <w:sz w:val="20"/>
              </w:rPr>
              <w:t xml:space="preserve"> (1994) 325-351.</w:t>
            </w:r>
          </w:p>
        </w:tc>
      </w:tr>
      <w:tr w:rsidR="00C341E9" w:rsidRPr="0038085B" w:rsidTr="0038085B">
        <w:tc>
          <w:tcPr>
            <w:tcW w:w="466" w:type="dxa"/>
            <w:shd w:val="clear" w:color="auto" w:fill="auto"/>
          </w:tcPr>
          <w:p w:rsidR="00C341E9" w:rsidRPr="0038085B" w:rsidRDefault="00547C37" w:rsidP="0038085B">
            <w:pPr>
              <w:pStyle w:val="reference"/>
              <w:spacing w:line="480" w:lineRule="auto"/>
              <w:jc w:val="both"/>
              <w:rPr>
                <w:sz w:val="20"/>
              </w:rPr>
            </w:pPr>
            <w:r w:rsidRPr="0038085B">
              <w:rPr>
                <w:sz w:val="20"/>
              </w:rPr>
              <w:t>2</w:t>
            </w:r>
            <w:r w:rsidR="00734545" w:rsidRPr="0038085B">
              <w:rPr>
                <w:sz w:val="20"/>
              </w:rPr>
              <w:t>6</w:t>
            </w:r>
            <w:r w:rsidR="00C341E9" w:rsidRPr="0038085B">
              <w:rPr>
                <w:sz w:val="20"/>
              </w:rPr>
              <w:t>.</w:t>
            </w:r>
          </w:p>
        </w:tc>
        <w:tc>
          <w:tcPr>
            <w:tcW w:w="8573" w:type="dxa"/>
            <w:shd w:val="clear" w:color="auto" w:fill="auto"/>
          </w:tcPr>
          <w:p w:rsidR="00C341E9" w:rsidRPr="0038085B" w:rsidRDefault="004A4133" w:rsidP="0038085B">
            <w:pPr>
              <w:pStyle w:val="reference"/>
              <w:spacing w:line="480" w:lineRule="auto"/>
              <w:jc w:val="both"/>
              <w:rPr>
                <w:bCs/>
                <w:sz w:val="20"/>
              </w:rPr>
            </w:pPr>
            <w:r w:rsidRPr="0038085B">
              <w:rPr>
                <w:bCs/>
                <w:sz w:val="20"/>
              </w:rPr>
              <w:t xml:space="preserve">Rudraiah, N., Barron, R.M., Venkatachalappa, M. and Subbaraya, C.K., ‘Effect of a magnetic field on free convection in a rectangular enclosure’, </w:t>
            </w:r>
            <w:r w:rsidRPr="0038085B">
              <w:rPr>
                <w:bCs/>
                <w:i/>
                <w:sz w:val="20"/>
              </w:rPr>
              <w:t>Int. J. Engng. Sci.</w:t>
            </w:r>
            <w:r w:rsidRPr="0038085B">
              <w:rPr>
                <w:bCs/>
                <w:sz w:val="20"/>
              </w:rPr>
              <w:t xml:space="preserve">, </w:t>
            </w:r>
            <w:r w:rsidRPr="0038085B">
              <w:rPr>
                <w:b/>
                <w:bCs/>
                <w:sz w:val="20"/>
              </w:rPr>
              <w:t xml:space="preserve">33 </w:t>
            </w:r>
            <w:r w:rsidRPr="0038085B">
              <w:rPr>
                <w:bCs/>
                <w:sz w:val="20"/>
              </w:rPr>
              <w:t>(1995) 1075-1084.</w:t>
            </w:r>
          </w:p>
        </w:tc>
      </w:tr>
      <w:tr w:rsidR="00C341E9" w:rsidRPr="0038085B" w:rsidTr="0038085B">
        <w:tc>
          <w:tcPr>
            <w:tcW w:w="466" w:type="dxa"/>
            <w:shd w:val="clear" w:color="auto" w:fill="auto"/>
          </w:tcPr>
          <w:p w:rsidR="00C341E9" w:rsidRPr="0038085B" w:rsidRDefault="00165481" w:rsidP="0038085B">
            <w:pPr>
              <w:pStyle w:val="reference"/>
              <w:spacing w:line="480" w:lineRule="auto"/>
              <w:jc w:val="both"/>
              <w:rPr>
                <w:sz w:val="20"/>
              </w:rPr>
            </w:pPr>
            <w:r w:rsidRPr="0038085B">
              <w:rPr>
                <w:sz w:val="20"/>
              </w:rPr>
              <w:t>2</w:t>
            </w:r>
            <w:r w:rsidR="00734545" w:rsidRPr="0038085B">
              <w:rPr>
                <w:sz w:val="20"/>
              </w:rPr>
              <w:t>7</w:t>
            </w:r>
            <w:r w:rsidR="00003EFD" w:rsidRPr="0038085B">
              <w:rPr>
                <w:sz w:val="20"/>
              </w:rPr>
              <w:t>.</w:t>
            </w:r>
          </w:p>
        </w:tc>
        <w:tc>
          <w:tcPr>
            <w:tcW w:w="8573" w:type="dxa"/>
            <w:shd w:val="clear" w:color="auto" w:fill="auto"/>
          </w:tcPr>
          <w:p w:rsidR="00C341E9" w:rsidRPr="0038085B" w:rsidRDefault="004A4133" w:rsidP="0038085B">
            <w:pPr>
              <w:pStyle w:val="reference"/>
              <w:spacing w:line="480" w:lineRule="auto"/>
              <w:jc w:val="both"/>
              <w:rPr>
                <w:bCs/>
                <w:sz w:val="20"/>
              </w:rPr>
            </w:pPr>
            <w:r w:rsidRPr="0038085B">
              <w:rPr>
                <w:bCs/>
                <w:sz w:val="20"/>
              </w:rPr>
              <w:t xml:space="preserve">Shu, C. and Richards, B.E., ‘Application of generalized differential quadrature to solve  two-dimension incompressible Navier-Stokes equations’, </w:t>
            </w:r>
            <w:r w:rsidRPr="0038085B">
              <w:rPr>
                <w:bCs/>
                <w:i/>
                <w:sz w:val="20"/>
              </w:rPr>
              <w:t>Int. J. Numer. Methods Fluids,</w:t>
            </w:r>
            <w:r w:rsidRPr="0038085B">
              <w:rPr>
                <w:bCs/>
                <w:sz w:val="20"/>
              </w:rPr>
              <w:t xml:space="preserve"> </w:t>
            </w:r>
            <w:r w:rsidRPr="0038085B">
              <w:rPr>
                <w:b/>
                <w:bCs/>
                <w:sz w:val="20"/>
              </w:rPr>
              <w:t>15</w:t>
            </w:r>
            <w:r w:rsidRPr="0038085B">
              <w:rPr>
                <w:bCs/>
                <w:sz w:val="20"/>
              </w:rPr>
              <w:t xml:space="preserve"> (1992a) 791-798.</w:t>
            </w:r>
          </w:p>
        </w:tc>
      </w:tr>
      <w:tr w:rsidR="00C341E9" w:rsidRPr="0038085B" w:rsidTr="0038085B">
        <w:tc>
          <w:tcPr>
            <w:tcW w:w="466" w:type="dxa"/>
            <w:shd w:val="clear" w:color="auto" w:fill="auto"/>
          </w:tcPr>
          <w:p w:rsidR="00C341E9" w:rsidRPr="0038085B" w:rsidRDefault="00165481" w:rsidP="0038085B">
            <w:pPr>
              <w:pStyle w:val="reference"/>
              <w:spacing w:line="480" w:lineRule="auto"/>
              <w:jc w:val="both"/>
              <w:rPr>
                <w:sz w:val="20"/>
              </w:rPr>
            </w:pPr>
            <w:r w:rsidRPr="0038085B">
              <w:rPr>
                <w:sz w:val="20"/>
              </w:rPr>
              <w:t>2</w:t>
            </w:r>
            <w:r w:rsidR="00734545" w:rsidRPr="0038085B">
              <w:rPr>
                <w:sz w:val="20"/>
              </w:rPr>
              <w:t>8</w:t>
            </w:r>
            <w:r w:rsidR="00003EFD" w:rsidRPr="0038085B">
              <w:rPr>
                <w:sz w:val="20"/>
              </w:rPr>
              <w:t>.</w:t>
            </w:r>
          </w:p>
        </w:tc>
        <w:tc>
          <w:tcPr>
            <w:tcW w:w="8573" w:type="dxa"/>
            <w:shd w:val="clear" w:color="auto" w:fill="auto"/>
          </w:tcPr>
          <w:p w:rsidR="00C341E9" w:rsidRPr="0038085B" w:rsidRDefault="004A4133" w:rsidP="0038085B">
            <w:pPr>
              <w:pStyle w:val="reference"/>
              <w:spacing w:line="480" w:lineRule="auto"/>
              <w:jc w:val="both"/>
              <w:rPr>
                <w:bCs/>
                <w:sz w:val="20"/>
              </w:rPr>
            </w:pPr>
            <w:r w:rsidRPr="0038085B">
              <w:rPr>
                <w:bCs/>
                <w:sz w:val="20"/>
              </w:rPr>
              <w:t xml:space="preserve">Shu, C. and Richards, B.E., ‘Parallel simulation of incompressible viscous flows by generalized differential quadrature’, </w:t>
            </w:r>
            <w:r w:rsidRPr="0038085B">
              <w:rPr>
                <w:bCs/>
                <w:i/>
                <w:sz w:val="20"/>
              </w:rPr>
              <w:t>Comput. System Eng.</w:t>
            </w:r>
            <w:r w:rsidRPr="0038085B">
              <w:rPr>
                <w:bCs/>
                <w:sz w:val="20"/>
              </w:rPr>
              <w:t xml:space="preserve">, </w:t>
            </w:r>
            <w:r w:rsidRPr="0038085B">
              <w:rPr>
                <w:b/>
                <w:bCs/>
                <w:sz w:val="20"/>
              </w:rPr>
              <w:t>3</w:t>
            </w:r>
            <w:r w:rsidRPr="0038085B">
              <w:rPr>
                <w:bCs/>
                <w:sz w:val="20"/>
              </w:rPr>
              <w:t xml:space="preserve"> (1992b) 271-281.</w:t>
            </w:r>
          </w:p>
        </w:tc>
      </w:tr>
      <w:tr w:rsidR="00C341E9" w:rsidRPr="0038085B" w:rsidTr="0038085B">
        <w:tc>
          <w:tcPr>
            <w:tcW w:w="466" w:type="dxa"/>
            <w:shd w:val="clear" w:color="auto" w:fill="auto"/>
          </w:tcPr>
          <w:p w:rsidR="00C341E9" w:rsidRPr="0038085B" w:rsidRDefault="00165481" w:rsidP="0038085B">
            <w:pPr>
              <w:pStyle w:val="reference"/>
              <w:spacing w:line="480" w:lineRule="auto"/>
              <w:jc w:val="both"/>
              <w:rPr>
                <w:sz w:val="20"/>
              </w:rPr>
            </w:pPr>
            <w:r w:rsidRPr="0038085B">
              <w:rPr>
                <w:sz w:val="20"/>
              </w:rPr>
              <w:t>2</w:t>
            </w:r>
            <w:r w:rsidR="00734545" w:rsidRPr="0038085B">
              <w:rPr>
                <w:sz w:val="20"/>
              </w:rPr>
              <w:t>9</w:t>
            </w:r>
            <w:r w:rsidR="00003EFD" w:rsidRPr="0038085B">
              <w:rPr>
                <w:sz w:val="20"/>
              </w:rPr>
              <w:t>.</w:t>
            </w:r>
          </w:p>
        </w:tc>
        <w:tc>
          <w:tcPr>
            <w:tcW w:w="8573" w:type="dxa"/>
            <w:shd w:val="clear" w:color="auto" w:fill="auto"/>
          </w:tcPr>
          <w:p w:rsidR="00C341E9" w:rsidRPr="0038085B" w:rsidRDefault="004A4133" w:rsidP="0038085B">
            <w:pPr>
              <w:pStyle w:val="reference"/>
              <w:spacing w:line="480" w:lineRule="auto"/>
              <w:jc w:val="both"/>
              <w:rPr>
                <w:bCs/>
                <w:sz w:val="20"/>
              </w:rPr>
            </w:pPr>
            <w:r w:rsidRPr="0038085B">
              <w:rPr>
                <w:sz w:val="20"/>
              </w:rPr>
              <w:t>Shu, C.,</w:t>
            </w:r>
            <w:r w:rsidRPr="0038085B">
              <w:rPr>
                <w:i/>
                <w:sz w:val="20"/>
              </w:rPr>
              <w:t xml:space="preserve"> Differential quadrature and its application in engineering, </w:t>
            </w:r>
            <w:r w:rsidRPr="0038085B">
              <w:rPr>
                <w:sz w:val="20"/>
              </w:rPr>
              <w:t>Springer-Verlag London Limited, 2000, pp. 340.</w:t>
            </w:r>
          </w:p>
        </w:tc>
      </w:tr>
      <w:tr w:rsidR="00C341E9" w:rsidRPr="0038085B" w:rsidTr="0038085B">
        <w:tc>
          <w:tcPr>
            <w:tcW w:w="466" w:type="dxa"/>
            <w:shd w:val="clear" w:color="auto" w:fill="auto"/>
          </w:tcPr>
          <w:p w:rsidR="00C341E9" w:rsidRPr="0038085B" w:rsidRDefault="00734545" w:rsidP="0038085B">
            <w:pPr>
              <w:pStyle w:val="reference"/>
              <w:spacing w:line="480" w:lineRule="auto"/>
              <w:jc w:val="both"/>
              <w:rPr>
                <w:sz w:val="20"/>
              </w:rPr>
            </w:pPr>
            <w:r w:rsidRPr="0038085B">
              <w:rPr>
                <w:sz w:val="20"/>
              </w:rPr>
              <w:t>30</w:t>
            </w:r>
            <w:r w:rsidR="00C341E9" w:rsidRPr="0038085B">
              <w:rPr>
                <w:sz w:val="20"/>
              </w:rPr>
              <w:t>.</w:t>
            </w:r>
          </w:p>
        </w:tc>
        <w:tc>
          <w:tcPr>
            <w:tcW w:w="8573" w:type="dxa"/>
            <w:shd w:val="clear" w:color="auto" w:fill="auto"/>
          </w:tcPr>
          <w:p w:rsidR="00C341E9" w:rsidRPr="0038085B" w:rsidRDefault="00C341E9" w:rsidP="0038085B">
            <w:pPr>
              <w:overflowPunct/>
              <w:autoSpaceDE/>
              <w:autoSpaceDN/>
              <w:adjustRightInd/>
              <w:spacing w:line="480" w:lineRule="auto"/>
              <w:jc w:val="both"/>
              <w:textAlignment w:val="auto"/>
              <w:rPr>
                <w:bCs/>
                <w:sz w:val="20"/>
                <w:lang w:val="tr-TR"/>
              </w:rPr>
            </w:pPr>
            <w:r w:rsidRPr="0038085B">
              <w:rPr>
                <w:bCs/>
                <w:sz w:val="20"/>
              </w:rPr>
              <w:t>Yang</w:t>
            </w:r>
            <w:r w:rsidR="004A4133" w:rsidRPr="0038085B">
              <w:rPr>
                <w:bCs/>
                <w:sz w:val="20"/>
              </w:rPr>
              <w:t>,</w:t>
            </w:r>
            <w:r w:rsidRPr="0038085B">
              <w:rPr>
                <w:bCs/>
                <w:sz w:val="20"/>
              </w:rPr>
              <w:t xml:space="preserve"> K</w:t>
            </w:r>
            <w:r w:rsidR="004A4133" w:rsidRPr="0038085B">
              <w:rPr>
                <w:bCs/>
                <w:sz w:val="20"/>
              </w:rPr>
              <w:t>.</w:t>
            </w:r>
            <w:r w:rsidRPr="0038085B">
              <w:rPr>
                <w:bCs/>
                <w:sz w:val="20"/>
              </w:rPr>
              <w:t>T</w:t>
            </w:r>
            <w:r w:rsidR="004A4133" w:rsidRPr="0038085B">
              <w:rPr>
                <w:bCs/>
                <w:sz w:val="20"/>
              </w:rPr>
              <w:t>.,</w:t>
            </w:r>
            <w:r w:rsidRPr="0038085B">
              <w:rPr>
                <w:bCs/>
                <w:sz w:val="20"/>
              </w:rPr>
              <w:t xml:space="preserve"> </w:t>
            </w:r>
            <w:r w:rsidR="004A4133" w:rsidRPr="0038085B">
              <w:rPr>
                <w:bCs/>
                <w:sz w:val="20"/>
              </w:rPr>
              <w:t>‘</w:t>
            </w:r>
            <w:r w:rsidRPr="0038085B">
              <w:rPr>
                <w:bCs/>
                <w:sz w:val="20"/>
              </w:rPr>
              <w:t>Natural convection in enclosures</w:t>
            </w:r>
            <w:r w:rsidR="004A4133" w:rsidRPr="0038085B">
              <w:rPr>
                <w:bCs/>
                <w:sz w:val="20"/>
              </w:rPr>
              <w:t>’,</w:t>
            </w:r>
            <w:r w:rsidRPr="0038085B">
              <w:rPr>
                <w:bCs/>
                <w:sz w:val="20"/>
              </w:rPr>
              <w:t xml:space="preserve"> </w:t>
            </w:r>
            <w:r w:rsidR="004A4133" w:rsidRPr="0038085B">
              <w:rPr>
                <w:bCs/>
                <w:sz w:val="20"/>
              </w:rPr>
              <w:t>i</w:t>
            </w:r>
            <w:r w:rsidRPr="0038085B">
              <w:rPr>
                <w:bCs/>
                <w:sz w:val="20"/>
              </w:rPr>
              <w:t>n Kakac</w:t>
            </w:r>
            <w:r w:rsidR="004A4133" w:rsidRPr="0038085B">
              <w:rPr>
                <w:bCs/>
                <w:sz w:val="20"/>
              </w:rPr>
              <w:t>,</w:t>
            </w:r>
            <w:r w:rsidRPr="0038085B">
              <w:rPr>
                <w:bCs/>
                <w:sz w:val="20"/>
              </w:rPr>
              <w:t xml:space="preserve"> S</w:t>
            </w:r>
            <w:r w:rsidR="004A4133" w:rsidRPr="0038085B">
              <w:rPr>
                <w:bCs/>
                <w:sz w:val="20"/>
              </w:rPr>
              <w:t>.</w:t>
            </w:r>
            <w:r w:rsidRPr="0038085B">
              <w:rPr>
                <w:bCs/>
                <w:sz w:val="20"/>
              </w:rPr>
              <w:t>, Shah</w:t>
            </w:r>
            <w:r w:rsidR="004A4133" w:rsidRPr="0038085B">
              <w:rPr>
                <w:bCs/>
                <w:sz w:val="20"/>
              </w:rPr>
              <w:t>,</w:t>
            </w:r>
            <w:r w:rsidRPr="0038085B">
              <w:rPr>
                <w:bCs/>
                <w:sz w:val="20"/>
              </w:rPr>
              <w:t xml:space="preserve"> R</w:t>
            </w:r>
            <w:r w:rsidR="004A4133" w:rsidRPr="0038085B">
              <w:rPr>
                <w:bCs/>
                <w:sz w:val="20"/>
              </w:rPr>
              <w:t>. and</w:t>
            </w:r>
            <w:r w:rsidRPr="0038085B">
              <w:rPr>
                <w:bCs/>
                <w:sz w:val="20"/>
              </w:rPr>
              <w:t xml:space="preserve"> Aung</w:t>
            </w:r>
            <w:r w:rsidR="004A4133" w:rsidRPr="0038085B">
              <w:rPr>
                <w:bCs/>
                <w:sz w:val="20"/>
              </w:rPr>
              <w:t>,</w:t>
            </w:r>
            <w:r w:rsidRPr="0038085B">
              <w:rPr>
                <w:bCs/>
                <w:sz w:val="20"/>
              </w:rPr>
              <w:t xml:space="preserve"> W</w:t>
            </w:r>
            <w:r w:rsidR="004A4133" w:rsidRPr="0038085B">
              <w:rPr>
                <w:bCs/>
                <w:sz w:val="20"/>
              </w:rPr>
              <w:t>.</w:t>
            </w:r>
            <w:r w:rsidRPr="0038085B">
              <w:rPr>
                <w:bCs/>
                <w:sz w:val="20"/>
              </w:rPr>
              <w:t xml:space="preserve"> (</w:t>
            </w:r>
            <w:r w:rsidR="004A4133" w:rsidRPr="0038085B">
              <w:rPr>
                <w:bCs/>
                <w:sz w:val="20"/>
              </w:rPr>
              <w:t>E</w:t>
            </w:r>
            <w:r w:rsidRPr="0038085B">
              <w:rPr>
                <w:bCs/>
                <w:sz w:val="20"/>
              </w:rPr>
              <w:t xml:space="preserve">ds.) </w:t>
            </w:r>
            <w:r w:rsidRPr="0038085B">
              <w:rPr>
                <w:bCs/>
                <w:i/>
                <w:sz w:val="20"/>
              </w:rPr>
              <w:t>Handbook of Single-Phase Convective Heat Transfer</w:t>
            </w:r>
            <w:r w:rsidRPr="0038085B">
              <w:rPr>
                <w:bCs/>
                <w:sz w:val="20"/>
              </w:rPr>
              <w:t>, chap. 13, John Wiley, New York</w:t>
            </w:r>
            <w:r w:rsidR="004A4133" w:rsidRPr="0038085B">
              <w:rPr>
                <w:bCs/>
                <w:sz w:val="20"/>
              </w:rPr>
              <w:t xml:space="preserve"> , 1987.</w:t>
            </w:r>
          </w:p>
        </w:tc>
      </w:tr>
    </w:tbl>
    <w:p w:rsidR="00105775" w:rsidRPr="009D21A0" w:rsidRDefault="00105775" w:rsidP="00660719">
      <w:pPr>
        <w:spacing w:line="240" w:lineRule="auto"/>
        <w:ind w:firstLine="709"/>
        <w:rPr>
          <w:sz w:val="20"/>
        </w:rPr>
      </w:pPr>
    </w:p>
    <w:p w:rsidR="00105775" w:rsidRPr="009D21A0" w:rsidRDefault="00105775" w:rsidP="00660719">
      <w:pPr>
        <w:spacing w:line="240" w:lineRule="auto"/>
        <w:ind w:firstLine="709"/>
        <w:rPr>
          <w:sz w:val="20"/>
        </w:rPr>
      </w:pPr>
    </w:p>
    <w:p w:rsidR="00105775" w:rsidRPr="009D21A0" w:rsidRDefault="00105775" w:rsidP="00660719">
      <w:pPr>
        <w:spacing w:line="240" w:lineRule="auto"/>
        <w:ind w:firstLine="709"/>
        <w:rPr>
          <w:sz w:val="20"/>
        </w:rPr>
      </w:pPr>
    </w:p>
    <w:p w:rsidR="00477AB5" w:rsidRPr="009D21A0" w:rsidRDefault="00477AB5" w:rsidP="00660719">
      <w:pPr>
        <w:spacing w:line="240" w:lineRule="auto"/>
        <w:ind w:firstLine="709"/>
        <w:rPr>
          <w:sz w:val="20"/>
        </w:rPr>
      </w:pPr>
    </w:p>
    <w:p w:rsidR="00477AB5" w:rsidRPr="009D21A0" w:rsidRDefault="00477AB5" w:rsidP="00660719">
      <w:pPr>
        <w:spacing w:line="240" w:lineRule="auto"/>
        <w:ind w:firstLine="709"/>
        <w:rPr>
          <w:sz w:val="20"/>
        </w:rPr>
      </w:pPr>
    </w:p>
    <w:p w:rsidR="00477AB5" w:rsidRPr="009D21A0" w:rsidRDefault="00477AB5" w:rsidP="00660719">
      <w:pPr>
        <w:spacing w:line="240" w:lineRule="auto"/>
        <w:ind w:firstLine="709"/>
        <w:rPr>
          <w:sz w:val="20"/>
        </w:rPr>
      </w:pPr>
    </w:p>
    <w:p w:rsidR="00477AB5" w:rsidRPr="009D21A0" w:rsidRDefault="00477AB5" w:rsidP="00660719">
      <w:pPr>
        <w:spacing w:line="240" w:lineRule="auto"/>
        <w:ind w:firstLine="709"/>
        <w:rPr>
          <w:sz w:val="20"/>
        </w:rPr>
      </w:pPr>
    </w:p>
    <w:p w:rsidR="00D0647E" w:rsidRPr="009D21A0" w:rsidRDefault="00D0647E" w:rsidP="00660719">
      <w:pPr>
        <w:spacing w:line="240" w:lineRule="auto"/>
        <w:ind w:firstLine="709"/>
        <w:rPr>
          <w:sz w:val="20"/>
        </w:rPr>
      </w:pPr>
    </w:p>
    <w:p w:rsidR="00D0647E" w:rsidRPr="009D21A0" w:rsidRDefault="00D0647E" w:rsidP="00660719">
      <w:pPr>
        <w:spacing w:line="240" w:lineRule="auto"/>
        <w:ind w:firstLine="709"/>
        <w:rPr>
          <w:sz w:val="20"/>
        </w:rPr>
      </w:pPr>
    </w:p>
    <w:p w:rsidR="00660719" w:rsidRPr="009D21A0" w:rsidRDefault="00660719" w:rsidP="00660719">
      <w:pPr>
        <w:spacing w:line="240" w:lineRule="auto"/>
        <w:ind w:firstLine="709"/>
        <w:rPr>
          <w:sz w:val="20"/>
        </w:rPr>
      </w:pPr>
      <w:r w:rsidRPr="009D21A0">
        <w:rPr>
          <w:sz w:val="20"/>
        </w:rPr>
        <w:t>Table 1: Grid independence study for Gr=10</w:t>
      </w:r>
      <w:r w:rsidRPr="009D21A0">
        <w:rPr>
          <w:sz w:val="20"/>
          <w:vertAlign w:val="superscript"/>
        </w:rPr>
        <w:t>5</w:t>
      </w:r>
      <w:r w:rsidRPr="009D21A0">
        <w:rPr>
          <w:sz w:val="20"/>
        </w:rPr>
        <w:t>.</w:t>
      </w:r>
    </w:p>
    <w:p w:rsidR="00660719" w:rsidRPr="009D21A0" w:rsidRDefault="00660719" w:rsidP="00660719">
      <w:pPr>
        <w:spacing w:line="240" w:lineRule="auto"/>
        <w:ind w:firstLine="709"/>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1080"/>
        <w:gridCol w:w="1080"/>
        <w:gridCol w:w="1260"/>
        <w:gridCol w:w="1260"/>
        <w:gridCol w:w="1260"/>
        <w:gridCol w:w="1219"/>
      </w:tblGrid>
      <w:tr w:rsidR="00660719" w:rsidRPr="0038085B" w:rsidTr="0038085B">
        <w:trPr>
          <w:jc w:val="center"/>
        </w:trPr>
        <w:tc>
          <w:tcPr>
            <w:tcW w:w="3128" w:type="dxa"/>
            <w:gridSpan w:val="3"/>
            <w:shd w:val="clear" w:color="auto" w:fill="auto"/>
          </w:tcPr>
          <w:p w:rsidR="00660719" w:rsidRPr="0038085B" w:rsidRDefault="00660719" w:rsidP="0038085B">
            <w:pPr>
              <w:spacing w:line="240" w:lineRule="auto"/>
              <w:jc w:val="center"/>
              <w:rPr>
                <w:sz w:val="20"/>
              </w:rPr>
            </w:pPr>
            <w:r w:rsidRPr="0038085B">
              <w:rPr>
                <w:sz w:val="20"/>
              </w:rPr>
              <w:t>Grid points</w:t>
            </w:r>
          </w:p>
        </w:tc>
        <w:tc>
          <w:tcPr>
            <w:tcW w:w="2520" w:type="dxa"/>
            <w:gridSpan w:val="2"/>
            <w:shd w:val="clear" w:color="auto" w:fill="auto"/>
          </w:tcPr>
          <w:p w:rsidR="00660719" w:rsidRPr="0038085B" w:rsidRDefault="00660719" w:rsidP="0038085B">
            <w:pPr>
              <w:spacing w:line="240" w:lineRule="auto"/>
              <w:jc w:val="center"/>
              <w:rPr>
                <w:sz w:val="20"/>
              </w:rPr>
            </w:pPr>
            <w:r w:rsidRPr="0038085B">
              <w:rPr>
                <w:sz w:val="20"/>
              </w:rPr>
              <w:t>51x51</w:t>
            </w:r>
          </w:p>
        </w:tc>
        <w:tc>
          <w:tcPr>
            <w:tcW w:w="2479" w:type="dxa"/>
            <w:gridSpan w:val="2"/>
            <w:shd w:val="clear" w:color="auto" w:fill="auto"/>
          </w:tcPr>
          <w:p w:rsidR="00660719" w:rsidRPr="0038085B" w:rsidRDefault="00660719" w:rsidP="0038085B">
            <w:pPr>
              <w:spacing w:line="240" w:lineRule="auto"/>
              <w:jc w:val="center"/>
              <w:rPr>
                <w:sz w:val="20"/>
              </w:rPr>
            </w:pPr>
            <w:r w:rsidRPr="0038085B">
              <w:rPr>
                <w:sz w:val="20"/>
              </w:rPr>
              <w:t>101x101</w:t>
            </w:r>
          </w:p>
        </w:tc>
      </w:tr>
      <w:tr w:rsidR="0038085B" w:rsidRPr="0038085B" w:rsidTr="0038085B">
        <w:trPr>
          <w:jc w:val="center"/>
        </w:trPr>
        <w:tc>
          <w:tcPr>
            <w:tcW w:w="968" w:type="dxa"/>
            <w:shd w:val="clear" w:color="auto" w:fill="auto"/>
          </w:tcPr>
          <w:p w:rsidR="00660719" w:rsidRPr="0038085B" w:rsidRDefault="00660719" w:rsidP="0038085B">
            <w:pPr>
              <w:spacing w:line="240" w:lineRule="auto"/>
              <w:jc w:val="center"/>
              <w:rPr>
                <w:sz w:val="20"/>
              </w:rPr>
            </w:pPr>
            <w:r w:rsidRPr="0038085B">
              <w:rPr>
                <w:sz w:val="20"/>
              </w:rPr>
              <w:t>Ha</w:t>
            </w:r>
          </w:p>
        </w:tc>
        <w:tc>
          <w:tcPr>
            <w:tcW w:w="1080" w:type="dxa"/>
            <w:shd w:val="clear" w:color="auto" w:fill="auto"/>
          </w:tcPr>
          <w:p w:rsidR="00660719" w:rsidRPr="0038085B" w:rsidRDefault="00660719" w:rsidP="0038085B">
            <w:pPr>
              <w:spacing w:line="240" w:lineRule="auto"/>
              <w:jc w:val="center"/>
              <w:rPr>
                <w:sz w:val="20"/>
              </w:rPr>
            </w:pPr>
            <w:r w:rsidRPr="0038085B">
              <w:rPr>
                <w:sz w:val="20"/>
              </w:rPr>
              <w:sym w:font="Symbol" w:char="0066"/>
            </w:r>
          </w:p>
        </w:tc>
        <w:tc>
          <w:tcPr>
            <w:tcW w:w="1080" w:type="dxa"/>
            <w:shd w:val="clear" w:color="auto" w:fill="auto"/>
          </w:tcPr>
          <w:p w:rsidR="00660719" w:rsidRPr="0038085B" w:rsidRDefault="00660719" w:rsidP="0038085B">
            <w:pPr>
              <w:spacing w:line="240" w:lineRule="auto"/>
              <w:jc w:val="center"/>
              <w:rPr>
                <w:sz w:val="20"/>
              </w:rPr>
            </w:pPr>
            <w:r w:rsidRPr="0038085B">
              <w:rPr>
                <w:sz w:val="20"/>
              </w:rPr>
              <w:sym w:font="Symbol" w:char="006A"/>
            </w:r>
          </w:p>
        </w:tc>
        <w:tc>
          <w:tcPr>
            <w:tcW w:w="1260" w:type="dxa"/>
            <w:shd w:val="clear" w:color="auto" w:fill="auto"/>
          </w:tcPr>
          <w:p w:rsidR="00660719" w:rsidRPr="0038085B" w:rsidRDefault="00242B65" w:rsidP="0038085B">
            <w:pPr>
              <w:spacing w:line="240" w:lineRule="auto"/>
              <w:jc w:val="center"/>
              <w:rPr>
                <w:color w:val="000000"/>
                <w:sz w:val="20"/>
              </w:rPr>
            </w:pPr>
            <w:r w:rsidRPr="0038085B">
              <w:rPr>
                <w:color w:val="000000"/>
                <w:sz w:val="20"/>
              </w:rPr>
              <w:t>I</w:t>
            </w:r>
            <w:r w:rsidR="00660719" w:rsidRPr="0038085B">
              <w:rPr>
                <w:color w:val="000000"/>
                <w:sz w:val="20"/>
              </w:rPr>
              <w:t>teration</w:t>
            </w:r>
          </w:p>
        </w:tc>
        <w:tc>
          <w:tcPr>
            <w:tcW w:w="1260" w:type="dxa"/>
            <w:shd w:val="clear" w:color="auto" w:fill="auto"/>
          </w:tcPr>
          <w:p w:rsidR="00660719" w:rsidRPr="0038085B" w:rsidRDefault="00660719" w:rsidP="0038085B">
            <w:pPr>
              <w:spacing w:line="240" w:lineRule="auto"/>
              <w:jc w:val="center"/>
              <w:rPr>
                <w:sz w:val="20"/>
              </w:rPr>
            </w:pPr>
            <w:r w:rsidRPr="0038085B">
              <w:rPr>
                <w:sz w:val="20"/>
              </w:rPr>
              <w:sym w:font="Symbol" w:char="F079"/>
            </w:r>
            <w:r w:rsidRPr="0038085B">
              <w:rPr>
                <w:sz w:val="20"/>
                <w:vertAlign w:val="subscript"/>
              </w:rPr>
              <w:t>max</w:t>
            </w:r>
          </w:p>
        </w:tc>
        <w:tc>
          <w:tcPr>
            <w:tcW w:w="1260" w:type="dxa"/>
            <w:shd w:val="clear" w:color="auto" w:fill="auto"/>
          </w:tcPr>
          <w:p w:rsidR="00660719" w:rsidRPr="0038085B" w:rsidRDefault="00242B65" w:rsidP="0038085B">
            <w:pPr>
              <w:spacing w:line="240" w:lineRule="auto"/>
              <w:jc w:val="center"/>
              <w:rPr>
                <w:color w:val="000000"/>
                <w:sz w:val="20"/>
              </w:rPr>
            </w:pPr>
            <w:r w:rsidRPr="0038085B">
              <w:rPr>
                <w:color w:val="000000"/>
                <w:sz w:val="20"/>
              </w:rPr>
              <w:t>I</w:t>
            </w:r>
            <w:r w:rsidR="00660719" w:rsidRPr="0038085B">
              <w:rPr>
                <w:color w:val="000000"/>
                <w:sz w:val="20"/>
              </w:rPr>
              <w:t>teration</w:t>
            </w:r>
          </w:p>
        </w:tc>
        <w:tc>
          <w:tcPr>
            <w:tcW w:w="1219" w:type="dxa"/>
            <w:shd w:val="clear" w:color="auto" w:fill="auto"/>
          </w:tcPr>
          <w:p w:rsidR="00660719" w:rsidRPr="0038085B" w:rsidRDefault="00660719" w:rsidP="0038085B">
            <w:pPr>
              <w:spacing w:line="240" w:lineRule="auto"/>
              <w:jc w:val="center"/>
              <w:rPr>
                <w:sz w:val="20"/>
              </w:rPr>
            </w:pPr>
            <w:r w:rsidRPr="0038085B">
              <w:rPr>
                <w:sz w:val="20"/>
              </w:rPr>
              <w:sym w:font="Symbol" w:char="F079"/>
            </w:r>
            <w:r w:rsidRPr="0038085B">
              <w:rPr>
                <w:sz w:val="20"/>
                <w:vertAlign w:val="subscript"/>
              </w:rPr>
              <w:t>max</w:t>
            </w:r>
          </w:p>
        </w:tc>
      </w:tr>
      <w:tr w:rsidR="0038085B" w:rsidRPr="0038085B" w:rsidTr="0038085B">
        <w:trPr>
          <w:jc w:val="center"/>
        </w:trPr>
        <w:tc>
          <w:tcPr>
            <w:tcW w:w="968" w:type="dxa"/>
            <w:vMerge w:val="restart"/>
            <w:shd w:val="clear" w:color="auto" w:fill="auto"/>
          </w:tcPr>
          <w:p w:rsidR="00660719" w:rsidRPr="0038085B" w:rsidRDefault="00660719" w:rsidP="0038085B">
            <w:pPr>
              <w:spacing w:line="240" w:lineRule="auto"/>
              <w:jc w:val="center"/>
              <w:rPr>
                <w:sz w:val="20"/>
              </w:rPr>
            </w:pPr>
          </w:p>
          <w:p w:rsidR="00660719" w:rsidRPr="0038085B" w:rsidRDefault="00660719" w:rsidP="0038085B">
            <w:pPr>
              <w:spacing w:line="240" w:lineRule="auto"/>
              <w:jc w:val="center"/>
              <w:rPr>
                <w:sz w:val="20"/>
              </w:rPr>
            </w:pPr>
            <w:r w:rsidRPr="0038085B">
              <w:rPr>
                <w:sz w:val="20"/>
              </w:rPr>
              <w:t>0</w:t>
            </w: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080" w:type="dxa"/>
            <w:shd w:val="clear" w:color="auto" w:fill="auto"/>
          </w:tcPr>
          <w:p w:rsidR="00660719" w:rsidRPr="0038085B" w:rsidRDefault="00660719" w:rsidP="0038085B">
            <w:pPr>
              <w:spacing w:line="240" w:lineRule="auto"/>
              <w:jc w:val="center"/>
              <w:rPr>
                <w:sz w:val="20"/>
              </w:rPr>
            </w:pPr>
          </w:p>
        </w:tc>
        <w:tc>
          <w:tcPr>
            <w:tcW w:w="1260" w:type="dxa"/>
            <w:shd w:val="clear" w:color="auto" w:fill="auto"/>
          </w:tcPr>
          <w:p w:rsidR="00660719" w:rsidRPr="0038085B" w:rsidRDefault="00660719" w:rsidP="0038085B">
            <w:pPr>
              <w:spacing w:line="240" w:lineRule="auto"/>
              <w:jc w:val="center"/>
              <w:rPr>
                <w:sz w:val="20"/>
              </w:rPr>
            </w:pPr>
            <w:r w:rsidRPr="0038085B">
              <w:rPr>
                <w:sz w:val="20"/>
              </w:rPr>
              <w:t>4608</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-13.0627</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17007</w:t>
            </w:r>
          </w:p>
        </w:tc>
        <w:tc>
          <w:tcPr>
            <w:tcW w:w="1219" w:type="dxa"/>
            <w:shd w:val="clear" w:color="auto" w:fill="auto"/>
          </w:tcPr>
          <w:p w:rsidR="00660719" w:rsidRPr="0038085B" w:rsidRDefault="00660719" w:rsidP="0038085B">
            <w:pPr>
              <w:spacing w:line="240" w:lineRule="auto"/>
              <w:jc w:val="center"/>
              <w:rPr>
                <w:sz w:val="20"/>
              </w:rPr>
            </w:pPr>
            <w:r w:rsidRPr="0038085B">
              <w:rPr>
                <w:sz w:val="20"/>
              </w:rPr>
              <w:t>-13.0633</w:t>
            </w:r>
          </w:p>
        </w:tc>
      </w:tr>
      <w:tr w:rsidR="0038085B" w:rsidRPr="0038085B" w:rsidTr="0038085B">
        <w:trPr>
          <w:jc w:val="center"/>
        </w:trPr>
        <w:tc>
          <w:tcPr>
            <w:tcW w:w="968" w:type="dxa"/>
            <w:vMerge/>
            <w:shd w:val="clear" w:color="auto" w:fill="auto"/>
          </w:tcPr>
          <w:p w:rsidR="00660719" w:rsidRPr="0038085B" w:rsidRDefault="00660719" w:rsidP="0038085B">
            <w:pPr>
              <w:spacing w:line="240" w:lineRule="auto"/>
              <w:jc w:val="center"/>
              <w:rPr>
                <w:sz w:val="20"/>
              </w:rPr>
            </w:pPr>
          </w:p>
        </w:tc>
        <w:tc>
          <w:tcPr>
            <w:tcW w:w="1080" w:type="dxa"/>
            <w:shd w:val="clear" w:color="auto" w:fill="auto"/>
          </w:tcPr>
          <w:p w:rsidR="00660719" w:rsidRPr="0038085B" w:rsidRDefault="00660719" w:rsidP="0038085B">
            <w:pPr>
              <w:spacing w:line="240" w:lineRule="auto"/>
              <w:jc w:val="center"/>
              <w:rPr>
                <w:sz w:val="20"/>
              </w:rPr>
            </w:pPr>
            <w:r w:rsidRPr="0038085B">
              <w:rPr>
                <w:sz w:val="20"/>
              </w:rPr>
              <w:t>0</w:t>
            </w:r>
            <w:r w:rsidRPr="0038085B">
              <w:rPr>
                <w:sz w:val="20"/>
              </w:rPr>
              <w:sym w:font="Symbol" w:char="00B0"/>
            </w:r>
          </w:p>
        </w:tc>
        <w:tc>
          <w:tcPr>
            <w:tcW w:w="1080" w:type="dxa"/>
            <w:shd w:val="clear" w:color="auto" w:fill="auto"/>
          </w:tcPr>
          <w:p w:rsidR="00660719" w:rsidRPr="0038085B" w:rsidRDefault="00660719" w:rsidP="0038085B">
            <w:pPr>
              <w:spacing w:line="240" w:lineRule="auto"/>
              <w:jc w:val="center"/>
              <w:rPr>
                <w:sz w:val="20"/>
              </w:rPr>
            </w:pPr>
          </w:p>
        </w:tc>
        <w:tc>
          <w:tcPr>
            <w:tcW w:w="1260" w:type="dxa"/>
            <w:shd w:val="clear" w:color="auto" w:fill="auto"/>
          </w:tcPr>
          <w:p w:rsidR="00660719" w:rsidRPr="0038085B" w:rsidRDefault="00660719" w:rsidP="0038085B">
            <w:pPr>
              <w:spacing w:line="240" w:lineRule="auto"/>
              <w:jc w:val="center"/>
              <w:rPr>
                <w:sz w:val="20"/>
              </w:rPr>
            </w:pPr>
            <w:r w:rsidRPr="0038085B">
              <w:rPr>
                <w:sz w:val="20"/>
              </w:rPr>
              <w:t>4151</w:t>
            </w:r>
          </w:p>
        </w:tc>
        <w:tc>
          <w:tcPr>
            <w:tcW w:w="1260" w:type="dxa"/>
            <w:shd w:val="clear" w:color="auto" w:fill="auto"/>
          </w:tcPr>
          <w:p w:rsidR="00660719" w:rsidRPr="0038085B" w:rsidRDefault="00660719" w:rsidP="0038085B">
            <w:pPr>
              <w:spacing w:line="240" w:lineRule="auto"/>
              <w:jc w:val="center"/>
              <w:rPr>
                <w:sz w:val="20"/>
              </w:rPr>
            </w:pPr>
            <w:r w:rsidRPr="0038085B">
              <w:rPr>
                <w:sz w:val="20"/>
              </w:rPr>
              <w:t>-20.3580</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14382</w:t>
            </w:r>
          </w:p>
        </w:tc>
        <w:tc>
          <w:tcPr>
            <w:tcW w:w="1219" w:type="dxa"/>
            <w:shd w:val="clear" w:color="auto" w:fill="auto"/>
          </w:tcPr>
          <w:p w:rsidR="00660719" w:rsidRPr="0038085B" w:rsidRDefault="00660719" w:rsidP="0038085B">
            <w:pPr>
              <w:spacing w:line="240" w:lineRule="auto"/>
              <w:jc w:val="center"/>
              <w:rPr>
                <w:sz w:val="20"/>
              </w:rPr>
            </w:pPr>
            <w:r w:rsidRPr="0038085B">
              <w:rPr>
                <w:sz w:val="20"/>
              </w:rPr>
              <w:t>-20.3694</w:t>
            </w:r>
          </w:p>
        </w:tc>
      </w:tr>
      <w:tr w:rsidR="0038085B" w:rsidRPr="0038085B" w:rsidTr="0038085B">
        <w:trPr>
          <w:jc w:val="center"/>
        </w:trPr>
        <w:tc>
          <w:tcPr>
            <w:tcW w:w="968" w:type="dxa"/>
            <w:vMerge/>
            <w:shd w:val="clear" w:color="auto" w:fill="auto"/>
          </w:tcPr>
          <w:p w:rsidR="00660719" w:rsidRPr="0038085B" w:rsidRDefault="00660719" w:rsidP="0038085B">
            <w:pPr>
              <w:spacing w:line="240" w:lineRule="auto"/>
              <w:jc w:val="center"/>
              <w:rPr>
                <w:sz w:val="20"/>
              </w:rPr>
            </w:pP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080" w:type="dxa"/>
            <w:shd w:val="clear" w:color="auto" w:fill="auto"/>
          </w:tcPr>
          <w:p w:rsidR="00660719" w:rsidRPr="0038085B" w:rsidRDefault="00660719" w:rsidP="0038085B">
            <w:pPr>
              <w:spacing w:line="240" w:lineRule="auto"/>
              <w:jc w:val="center"/>
              <w:rPr>
                <w:sz w:val="20"/>
              </w:rPr>
            </w:pPr>
          </w:p>
        </w:tc>
        <w:tc>
          <w:tcPr>
            <w:tcW w:w="1260" w:type="dxa"/>
            <w:shd w:val="clear" w:color="auto" w:fill="auto"/>
          </w:tcPr>
          <w:p w:rsidR="00660719" w:rsidRPr="0038085B" w:rsidRDefault="00660719" w:rsidP="0038085B">
            <w:pPr>
              <w:spacing w:line="240" w:lineRule="auto"/>
              <w:jc w:val="center"/>
              <w:rPr>
                <w:sz w:val="20"/>
              </w:rPr>
            </w:pPr>
            <w:r w:rsidRPr="0038085B">
              <w:rPr>
                <w:sz w:val="20"/>
              </w:rPr>
              <w:t>3865</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-11.4623</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13851</w:t>
            </w:r>
          </w:p>
        </w:tc>
        <w:tc>
          <w:tcPr>
            <w:tcW w:w="1219" w:type="dxa"/>
            <w:shd w:val="clear" w:color="auto" w:fill="auto"/>
          </w:tcPr>
          <w:p w:rsidR="00660719" w:rsidRPr="0038085B" w:rsidRDefault="00660719" w:rsidP="0038085B">
            <w:pPr>
              <w:spacing w:line="240" w:lineRule="auto"/>
              <w:jc w:val="center"/>
              <w:rPr>
                <w:sz w:val="20"/>
              </w:rPr>
            </w:pPr>
            <w:r w:rsidRPr="0038085B">
              <w:rPr>
                <w:sz w:val="20"/>
              </w:rPr>
              <w:t>-11.4715</w:t>
            </w:r>
          </w:p>
        </w:tc>
      </w:tr>
      <w:tr w:rsidR="0038085B" w:rsidRPr="0038085B" w:rsidTr="0038085B">
        <w:trPr>
          <w:jc w:val="center"/>
        </w:trPr>
        <w:tc>
          <w:tcPr>
            <w:tcW w:w="968" w:type="dxa"/>
            <w:vMerge w:val="restart"/>
            <w:shd w:val="clear" w:color="auto" w:fill="auto"/>
          </w:tcPr>
          <w:p w:rsidR="00660719" w:rsidRPr="0038085B" w:rsidRDefault="00660719" w:rsidP="0038085B">
            <w:pPr>
              <w:spacing w:line="240" w:lineRule="auto"/>
              <w:jc w:val="center"/>
              <w:rPr>
                <w:sz w:val="20"/>
              </w:rPr>
            </w:pPr>
          </w:p>
          <w:p w:rsidR="00660719" w:rsidRPr="0038085B" w:rsidRDefault="00660719" w:rsidP="0038085B">
            <w:pPr>
              <w:spacing w:line="240" w:lineRule="auto"/>
              <w:jc w:val="center"/>
              <w:rPr>
                <w:sz w:val="20"/>
              </w:rPr>
            </w:pPr>
            <w:r w:rsidRPr="0038085B">
              <w:rPr>
                <w:sz w:val="20"/>
              </w:rPr>
              <w:t>100</w:t>
            </w: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260" w:type="dxa"/>
            <w:shd w:val="clear" w:color="auto" w:fill="auto"/>
          </w:tcPr>
          <w:p w:rsidR="00660719" w:rsidRPr="0038085B" w:rsidRDefault="00660719" w:rsidP="0038085B">
            <w:pPr>
              <w:spacing w:line="240" w:lineRule="auto"/>
              <w:jc w:val="center"/>
              <w:rPr>
                <w:sz w:val="20"/>
              </w:rPr>
            </w:pPr>
            <w:r w:rsidRPr="0038085B">
              <w:rPr>
                <w:sz w:val="20"/>
              </w:rPr>
              <w:t>4282</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-1.4059</w:t>
            </w:r>
            <w:r w:rsidR="00C72DED" w:rsidRPr="0038085B">
              <w:rPr>
                <w:sz w:val="20"/>
              </w:rPr>
              <w:t>2</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15006</w:t>
            </w:r>
          </w:p>
        </w:tc>
        <w:tc>
          <w:tcPr>
            <w:tcW w:w="1219" w:type="dxa"/>
            <w:shd w:val="clear" w:color="auto" w:fill="auto"/>
          </w:tcPr>
          <w:p w:rsidR="00660719" w:rsidRPr="0038085B" w:rsidRDefault="00660719" w:rsidP="0038085B">
            <w:pPr>
              <w:spacing w:line="240" w:lineRule="auto"/>
              <w:jc w:val="center"/>
              <w:rPr>
                <w:sz w:val="20"/>
              </w:rPr>
            </w:pPr>
            <w:r w:rsidRPr="0038085B">
              <w:rPr>
                <w:sz w:val="20"/>
              </w:rPr>
              <w:t>-1.400</w:t>
            </w:r>
            <w:r w:rsidR="00C72DED" w:rsidRPr="0038085B">
              <w:rPr>
                <w:sz w:val="20"/>
              </w:rPr>
              <w:t>58</w:t>
            </w:r>
          </w:p>
        </w:tc>
      </w:tr>
      <w:tr w:rsidR="0038085B" w:rsidRPr="0038085B" w:rsidTr="0038085B">
        <w:trPr>
          <w:jc w:val="center"/>
        </w:trPr>
        <w:tc>
          <w:tcPr>
            <w:tcW w:w="968" w:type="dxa"/>
            <w:vMerge/>
            <w:shd w:val="clear" w:color="auto" w:fill="auto"/>
          </w:tcPr>
          <w:p w:rsidR="00660719" w:rsidRPr="0038085B" w:rsidRDefault="00660719" w:rsidP="0038085B">
            <w:pPr>
              <w:spacing w:line="240" w:lineRule="auto"/>
              <w:jc w:val="center"/>
              <w:rPr>
                <w:sz w:val="20"/>
              </w:rPr>
            </w:pPr>
          </w:p>
        </w:tc>
        <w:tc>
          <w:tcPr>
            <w:tcW w:w="1080" w:type="dxa"/>
            <w:shd w:val="clear" w:color="auto" w:fill="auto"/>
          </w:tcPr>
          <w:p w:rsidR="00660719" w:rsidRPr="0038085B" w:rsidRDefault="00660719" w:rsidP="0038085B">
            <w:pPr>
              <w:spacing w:line="240" w:lineRule="auto"/>
              <w:jc w:val="center"/>
              <w:rPr>
                <w:sz w:val="20"/>
              </w:rPr>
            </w:pPr>
            <w:r w:rsidRPr="0038085B">
              <w:rPr>
                <w:sz w:val="20"/>
              </w:rPr>
              <w:t>0</w:t>
            </w:r>
            <w:r w:rsidRPr="0038085B">
              <w:rPr>
                <w:sz w:val="20"/>
              </w:rPr>
              <w:sym w:font="Symbol" w:char="00B0"/>
            </w: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260" w:type="dxa"/>
            <w:shd w:val="clear" w:color="auto" w:fill="auto"/>
          </w:tcPr>
          <w:p w:rsidR="00660719" w:rsidRPr="0038085B" w:rsidRDefault="00660719" w:rsidP="0038085B">
            <w:pPr>
              <w:spacing w:line="240" w:lineRule="auto"/>
              <w:jc w:val="center"/>
              <w:rPr>
                <w:sz w:val="20"/>
              </w:rPr>
            </w:pPr>
            <w:r w:rsidRPr="0038085B">
              <w:rPr>
                <w:sz w:val="20"/>
              </w:rPr>
              <w:t>5053</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-1.495</w:t>
            </w:r>
            <w:r w:rsidR="00C72DED" w:rsidRPr="0038085B">
              <w:rPr>
                <w:sz w:val="20"/>
              </w:rPr>
              <w:t>88</w:t>
            </w:r>
          </w:p>
        </w:tc>
        <w:tc>
          <w:tcPr>
            <w:tcW w:w="1260" w:type="dxa"/>
            <w:shd w:val="clear" w:color="auto" w:fill="auto"/>
          </w:tcPr>
          <w:p w:rsidR="00660719" w:rsidRPr="0038085B" w:rsidRDefault="00660719" w:rsidP="0038085B">
            <w:pPr>
              <w:spacing w:line="240" w:lineRule="auto"/>
              <w:jc w:val="center"/>
              <w:rPr>
                <w:sz w:val="20"/>
              </w:rPr>
            </w:pPr>
            <w:r w:rsidRPr="0038085B">
              <w:rPr>
                <w:sz w:val="20"/>
              </w:rPr>
              <w:t>18309</w:t>
            </w:r>
          </w:p>
        </w:tc>
        <w:tc>
          <w:tcPr>
            <w:tcW w:w="1219" w:type="dxa"/>
            <w:shd w:val="clear" w:color="auto" w:fill="auto"/>
          </w:tcPr>
          <w:p w:rsidR="00660719" w:rsidRPr="0038085B" w:rsidRDefault="00660719" w:rsidP="0038085B">
            <w:pPr>
              <w:spacing w:line="240" w:lineRule="auto"/>
              <w:jc w:val="center"/>
              <w:rPr>
                <w:sz w:val="20"/>
              </w:rPr>
            </w:pPr>
            <w:r w:rsidRPr="0038085B">
              <w:rPr>
                <w:sz w:val="20"/>
              </w:rPr>
              <w:t>-1.490</w:t>
            </w:r>
            <w:r w:rsidR="00C72DED" w:rsidRPr="0038085B">
              <w:rPr>
                <w:sz w:val="20"/>
              </w:rPr>
              <w:t>45</w:t>
            </w:r>
          </w:p>
        </w:tc>
      </w:tr>
      <w:tr w:rsidR="0038085B" w:rsidRPr="0038085B" w:rsidTr="0038085B">
        <w:trPr>
          <w:jc w:val="center"/>
        </w:trPr>
        <w:tc>
          <w:tcPr>
            <w:tcW w:w="968" w:type="dxa"/>
            <w:vMerge/>
            <w:shd w:val="clear" w:color="auto" w:fill="auto"/>
          </w:tcPr>
          <w:p w:rsidR="00660719" w:rsidRPr="0038085B" w:rsidRDefault="00660719" w:rsidP="0038085B">
            <w:pPr>
              <w:spacing w:line="240" w:lineRule="auto"/>
              <w:jc w:val="center"/>
              <w:rPr>
                <w:sz w:val="20"/>
              </w:rPr>
            </w:pP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080" w:type="dxa"/>
            <w:shd w:val="clear" w:color="auto" w:fill="auto"/>
          </w:tcPr>
          <w:p w:rsidR="00660719" w:rsidRPr="0038085B" w:rsidRDefault="00660719" w:rsidP="0038085B">
            <w:pPr>
              <w:spacing w:line="240" w:lineRule="auto"/>
              <w:jc w:val="center"/>
              <w:rPr>
                <w:sz w:val="20"/>
              </w:rPr>
            </w:pPr>
            <w:r w:rsidRPr="0038085B">
              <w:rPr>
                <w:sz w:val="20"/>
              </w:rPr>
              <w:t>45</w:t>
            </w:r>
            <w:r w:rsidRPr="0038085B">
              <w:rPr>
                <w:sz w:val="20"/>
              </w:rPr>
              <w:sym w:font="Symbol" w:char="00B0"/>
            </w:r>
          </w:p>
        </w:tc>
        <w:tc>
          <w:tcPr>
            <w:tcW w:w="1260" w:type="dxa"/>
            <w:shd w:val="clear" w:color="auto" w:fill="auto"/>
          </w:tcPr>
          <w:p w:rsidR="00660719" w:rsidRPr="0038085B" w:rsidRDefault="00660719" w:rsidP="0038085B">
            <w:pPr>
              <w:spacing w:line="240" w:lineRule="auto"/>
              <w:jc w:val="center"/>
              <w:rPr>
                <w:sz w:val="20"/>
              </w:rPr>
            </w:pPr>
            <w:r w:rsidRPr="0038085B">
              <w:rPr>
                <w:sz w:val="20"/>
              </w:rPr>
              <w:t>5795</w:t>
            </w:r>
          </w:p>
        </w:tc>
        <w:tc>
          <w:tcPr>
            <w:tcW w:w="1260" w:type="dxa"/>
            <w:shd w:val="clear" w:color="auto" w:fill="auto"/>
          </w:tcPr>
          <w:p w:rsidR="00660719" w:rsidRPr="0038085B" w:rsidRDefault="00660719" w:rsidP="0038085B">
            <w:pPr>
              <w:spacing w:line="240" w:lineRule="auto"/>
              <w:jc w:val="center"/>
              <w:rPr>
                <w:sz w:val="20"/>
              </w:rPr>
            </w:pPr>
            <w:r w:rsidRPr="0038085B">
              <w:rPr>
                <w:sz w:val="20"/>
              </w:rPr>
              <w:t>-0.508664</w:t>
            </w:r>
          </w:p>
        </w:tc>
        <w:tc>
          <w:tcPr>
            <w:tcW w:w="1260" w:type="dxa"/>
            <w:shd w:val="clear" w:color="auto" w:fill="auto"/>
          </w:tcPr>
          <w:p w:rsidR="00660719" w:rsidRPr="0038085B" w:rsidRDefault="00660719" w:rsidP="0038085B">
            <w:pPr>
              <w:spacing w:line="240" w:lineRule="auto"/>
              <w:jc w:val="center"/>
              <w:rPr>
                <w:sz w:val="20"/>
              </w:rPr>
            </w:pPr>
            <w:r w:rsidRPr="0038085B">
              <w:rPr>
                <w:sz w:val="20"/>
              </w:rPr>
              <w:t>21183</w:t>
            </w:r>
          </w:p>
        </w:tc>
        <w:tc>
          <w:tcPr>
            <w:tcW w:w="1219" w:type="dxa"/>
            <w:shd w:val="clear" w:color="auto" w:fill="auto"/>
          </w:tcPr>
          <w:p w:rsidR="00660719" w:rsidRPr="0038085B" w:rsidRDefault="00660719" w:rsidP="0038085B">
            <w:pPr>
              <w:spacing w:line="240" w:lineRule="auto"/>
              <w:jc w:val="center"/>
              <w:rPr>
                <w:sz w:val="20"/>
              </w:rPr>
            </w:pPr>
            <w:r w:rsidRPr="0038085B">
              <w:rPr>
                <w:sz w:val="20"/>
              </w:rPr>
              <w:t>-0.504060</w:t>
            </w:r>
          </w:p>
        </w:tc>
      </w:tr>
    </w:tbl>
    <w:p w:rsidR="00660719" w:rsidRPr="009D21A0" w:rsidRDefault="00660719" w:rsidP="00660719">
      <w:pPr>
        <w:spacing w:line="480" w:lineRule="auto"/>
        <w:rPr>
          <w:sz w:val="20"/>
        </w:rPr>
      </w:pPr>
    </w:p>
    <w:p w:rsidR="00A44435" w:rsidRPr="009D21A0" w:rsidRDefault="00A44435" w:rsidP="00C341E9">
      <w:pPr>
        <w:rPr>
          <w:sz w:val="20"/>
        </w:rPr>
      </w:pPr>
    </w:p>
    <w:p w:rsidR="00105775" w:rsidRPr="009D21A0" w:rsidRDefault="00105775" w:rsidP="00105775">
      <w:pPr>
        <w:spacing w:line="240" w:lineRule="auto"/>
        <w:ind w:firstLine="709"/>
        <w:rPr>
          <w:sz w:val="20"/>
        </w:rPr>
      </w:pPr>
    </w:p>
    <w:p w:rsidR="00105775" w:rsidRPr="009D21A0" w:rsidRDefault="00105775" w:rsidP="00105775">
      <w:pPr>
        <w:spacing w:line="240" w:lineRule="auto"/>
        <w:ind w:firstLine="709"/>
        <w:rPr>
          <w:sz w:val="20"/>
        </w:rPr>
      </w:pPr>
      <w:r w:rsidRPr="009D21A0">
        <w:rPr>
          <w:sz w:val="20"/>
        </w:rPr>
        <w:t xml:space="preserve">Table 2: Comparison of results </w:t>
      </w:r>
      <w:r w:rsidR="008F7AC2" w:rsidRPr="009D21A0">
        <w:rPr>
          <w:sz w:val="20"/>
        </w:rPr>
        <w:t xml:space="preserve">for </w:t>
      </w:r>
      <w:r w:rsidR="003D549F" w:rsidRPr="009D21A0">
        <w:rPr>
          <w:sz w:val="20"/>
        </w:rPr>
        <w:t xml:space="preserve">Pr=0.71 and </w:t>
      </w:r>
      <w:r w:rsidR="008F7AC2" w:rsidRPr="009D21A0">
        <w:rPr>
          <w:sz w:val="20"/>
        </w:rPr>
        <w:t>Ha=0.</w:t>
      </w:r>
    </w:p>
    <w:p w:rsidR="004320F6" w:rsidRPr="009D21A0" w:rsidRDefault="004320F6" w:rsidP="004320F6">
      <w:pPr>
        <w:spacing w:line="240" w:lineRule="auto"/>
        <w:rPr>
          <w:sz w:val="2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09"/>
        <w:gridCol w:w="1843"/>
        <w:gridCol w:w="1701"/>
        <w:gridCol w:w="1984"/>
        <w:gridCol w:w="1559"/>
      </w:tblGrid>
      <w:tr w:rsidR="0038085B" w:rsidRPr="0038085B" w:rsidTr="0038085B">
        <w:tc>
          <w:tcPr>
            <w:tcW w:w="1418" w:type="dxa"/>
            <w:gridSpan w:val="2"/>
            <w:tcBorders>
              <w:top w:val="nil"/>
              <w:left w:val="nil"/>
            </w:tcBorders>
            <w:shd w:val="clear" w:color="auto" w:fill="auto"/>
          </w:tcPr>
          <w:p w:rsidR="00F5359E" w:rsidRPr="0038085B" w:rsidRDefault="00F5359E" w:rsidP="0038085B">
            <w:pPr>
              <w:spacing w:line="240" w:lineRule="auto"/>
              <w:rPr>
                <w:sz w:val="20"/>
              </w:rPr>
            </w:pPr>
          </w:p>
        </w:tc>
        <w:tc>
          <w:tcPr>
            <w:tcW w:w="3544" w:type="dxa"/>
            <w:gridSpan w:val="2"/>
            <w:shd w:val="clear" w:color="auto" w:fill="auto"/>
          </w:tcPr>
          <w:p w:rsidR="00F5359E" w:rsidRPr="0038085B" w:rsidRDefault="00F5359E" w:rsidP="0038085B">
            <w:pPr>
              <w:spacing w:line="240" w:lineRule="auto"/>
              <w:jc w:val="center"/>
              <w:rPr>
                <w:sz w:val="20"/>
              </w:rPr>
            </w:pPr>
            <w:r w:rsidRPr="0038085B">
              <w:rPr>
                <w:position w:val="-10"/>
                <w:sz w:val="20"/>
              </w:rPr>
              <w:object w:dxaOrig="440" w:dyaOrig="320">
                <v:shape id="_x0000_i1047" type="#_x0000_t75" style="width:22pt;height:16pt" o:ole="">
                  <v:imagedata r:id="rId52" o:title=""/>
                </v:shape>
                <o:OLEObject Type="Embed" ProgID="Equation.3" ShapeID="_x0000_i1047" DrawAspect="Content" ObjectID="_1428071830" r:id="rId53"/>
              </w:object>
            </w:r>
          </w:p>
        </w:tc>
        <w:tc>
          <w:tcPr>
            <w:tcW w:w="3543" w:type="dxa"/>
            <w:gridSpan w:val="2"/>
            <w:shd w:val="clear" w:color="auto" w:fill="auto"/>
          </w:tcPr>
          <w:p w:rsidR="00F5359E" w:rsidRPr="0038085B" w:rsidRDefault="00F5359E" w:rsidP="0038085B">
            <w:pPr>
              <w:spacing w:line="240" w:lineRule="auto"/>
              <w:jc w:val="center"/>
              <w:rPr>
                <w:sz w:val="20"/>
              </w:rPr>
            </w:pPr>
            <w:r w:rsidRPr="0038085B">
              <w:rPr>
                <w:position w:val="-14"/>
                <w:sz w:val="20"/>
              </w:rPr>
              <w:object w:dxaOrig="440" w:dyaOrig="360">
                <v:shape id="_x0000_i1048" type="#_x0000_t75" style="width:22pt;height:18pt" o:ole="">
                  <v:imagedata r:id="rId54" o:title=""/>
                </v:shape>
                <o:OLEObject Type="Embed" ProgID="Equation.3" ShapeID="_x0000_i1048" DrawAspect="Content" ObjectID="_1428071831" r:id="rId55"/>
              </w:object>
            </w:r>
          </w:p>
        </w:tc>
      </w:tr>
      <w:tr w:rsidR="0038085B" w:rsidRPr="0038085B" w:rsidTr="0038085B">
        <w:tc>
          <w:tcPr>
            <w:tcW w:w="709" w:type="dxa"/>
            <w:shd w:val="clear" w:color="auto" w:fill="auto"/>
          </w:tcPr>
          <w:p w:rsidR="00F5359E" w:rsidRPr="0038085B" w:rsidRDefault="00F5359E" w:rsidP="0038085B">
            <w:pPr>
              <w:spacing w:line="240" w:lineRule="auto"/>
              <w:jc w:val="center"/>
              <w:rPr>
                <w:sz w:val="20"/>
              </w:rPr>
            </w:pPr>
            <w:r w:rsidRPr="0038085B">
              <w:rPr>
                <w:sz w:val="20"/>
              </w:rPr>
              <w:t>Ra</w:t>
            </w:r>
          </w:p>
        </w:tc>
        <w:tc>
          <w:tcPr>
            <w:tcW w:w="709" w:type="dxa"/>
            <w:shd w:val="clear" w:color="auto" w:fill="auto"/>
          </w:tcPr>
          <w:p w:rsidR="00F5359E" w:rsidRPr="0038085B" w:rsidRDefault="00F5359E" w:rsidP="0038085B">
            <w:pPr>
              <w:spacing w:line="240" w:lineRule="auto"/>
              <w:jc w:val="center"/>
              <w:rPr>
                <w:sz w:val="20"/>
              </w:rPr>
            </w:pPr>
            <w:r w:rsidRPr="0038085B">
              <w:rPr>
                <w:sz w:val="20"/>
              </w:rPr>
              <w:sym w:font="Symbol" w:char="0066"/>
            </w:r>
          </w:p>
        </w:tc>
        <w:tc>
          <w:tcPr>
            <w:tcW w:w="1843" w:type="dxa"/>
            <w:shd w:val="clear" w:color="auto" w:fill="auto"/>
          </w:tcPr>
          <w:p w:rsidR="00F5359E" w:rsidRPr="0038085B" w:rsidRDefault="00F5359E" w:rsidP="0038085B">
            <w:pPr>
              <w:spacing w:line="240" w:lineRule="auto"/>
              <w:jc w:val="center"/>
              <w:rPr>
                <w:sz w:val="20"/>
              </w:rPr>
            </w:pPr>
            <w:r w:rsidRPr="0038085B">
              <w:rPr>
                <w:sz w:val="20"/>
              </w:rPr>
              <w:t>Cianfrini et al. [9]</w:t>
            </w:r>
          </w:p>
        </w:tc>
        <w:tc>
          <w:tcPr>
            <w:tcW w:w="1701" w:type="dxa"/>
            <w:shd w:val="clear" w:color="auto" w:fill="auto"/>
          </w:tcPr>
          <w:p w:rsidR="00F5359E" w:rsidRPr="0038085B" w:rsidRDefault="00F5359E" w:rsidP="0038085B">
            <w:pPr>
              <w:spacing w:line="240" w:lineRule="auto"/>
              <w:jc w:val="center"/>
              <w:rPr>
                <w:sz w:val="20"/>
              </w:rPr>
            </w:pPr>
            <w:r w:rsidRPr="0038085B">
              <w:rPr>
                <w:sz w:val="20"/>
              </w:rPr>
              <w:t>Present Result</w:t>
            </w:r>
          </w:p>
        </w:tc>
        <w:tc>
          <w:tcPr>
            <w:tcW w:w="1984" w:type="dxa"/>
            <w:shd w:val="clear" w:color="auto" w:fill="auto"/>
          </w:tcPr>
          <w:p w:rsidR="00F5359E" w:rsidRPr="0038085B" w:rsidRDefault="00F5359E" w:rsidP="0038085B">
            <w:pPr>
              <w:spacing w:line="240" w:lineRule="auto"/>
              <w:jc w:val="center"/>
              <w:rPr>
                <w:sz w:val="20"/>
              </w:rPr>
            </w:pPr>
            <w:r w:rsidRPr="0038085B">
              <w:rPr>
                <w:sz w:val="20"/>
              </w:rPr>
              <w:t>Cianfrini et al. [9]</w:t>
            </w:r>
          </w:p>
        </w:tc>
        <w:tc>
          <w:tcPr>
            <w:tcW w:w="1559" w:type="dxa"/>
            <w:shd w:val="clear" w:color="auto" w:fill="auto"/>
          </w:tcPr>
          <w:p w:rsidR="00F5359E" w:rsidRPr="0038085B" w:rsidRDefault="00F5359E" w:rsidP="0038085B">
            <w:pPr>
              <w:spacing w:line="240" w:lineRule="auto"/>
              <w:jc w:val="center"/>
              <w:rPr>
                <w:sz w:val="20"/>
              </w:rPr>
            </w:pPr>
            <w:r w:rsidRPr="0038085B">
              <w:rPr>
                <w:sz w:val="20"/>
              </w:rPr>
              <w:t>Present Result</w:t>
            </w:r>
          </w:p>
        </w:tc>
      </w:tr>
      <w:tr w:rsidR="0038085B" w:rsidRPr="0038085B" w:rsidTr="0038085B">
        <w:tc>
          <w:tcPr>
            <w:tcW w:w="709" w:type="dxa"/>
            <w:vMerge w:val="restart"/>
            <w:shd w:val="clear" w:color="auto" w:fill="auto"/>
          </w:tcPr>
          <w:p w:rsidR="00A0638D" w:rsidRPr="0038085B" w:rsidRDefault="00A0638D" w:rsidP="0038085B">
            <w:pPr>
              <w:spacing w:line="240" w:lineRule="auto"/>
              <w:jc w:val="center"/>
              <w:rPr>
                <w:sz w:val="20"/>
              </w:rPr>
            </w:pPr>
          </w:p>
          <w:p w:rsidR="00A0638D" w:rsidRPr="0038085B" w:rsidRDefault="00A0638D" w:rsidP="0038085B">
            <w:pPr>
              <w:spacing w:line="240" w:lineRule="auto"/>
              <w:jc w:val="center"/>
              <w:rPr>
                <w:sz w:val="20"/>
              </w:rPr>
            </w:pPr>
            <w:r w:rsidRPr="0038085B">
              <w:rPr>
                <w:sz w:val="20"/>
              </w:rPr>
              <w:t>10</w:t>
            </w:r>
            <w:r w:rsidRPr="0038085B">
              <w:rPr>
                <w:sz w:val="20"/>
                <w:vertAlign w:val="superscript"/>
              </w:rPr>
              <w:t>4</w:t>
            </w:r>
          </w:p>
        </w:tc>
        <w:tc>
          <w:tcPr>
            <w:tcW w:w="709" w:type="dxa"/>
            <w:shd w:val="clear" w:color="auto" w:fill="auto"/>
          </w:tcPr>
          <w:p w:rsidR="00A0638D" w:rsidRPr="0038085B" w:rsidRDefault="00A0638D" w:rsidP="0038085B">
            <w:pPr>
              <w:spacing w:line="240" w:lineRule="auto"/>
              <w:jc w:val="center"/>
              <w:rPr>
                <w:sz w:val="20"/>
              </w:rPr>
            </w:pPr>
            <w:r w:rsidRPr="0038085B">
              <w:rPr>
                <w:sz w:val="20"/>
              </w:rPr>
              <w:t>-45</w:t>
            </w:r>
            <w:r w:rsidRPr="0038085B">
              <w:rPr>
                <w:sz w:val="20"/>
              </w:rPr>
              <w:sym w:font="Symbol" w:char="00B0"/>
            </w:r>
          </w:p>
        </w:tc>
        <w:tc>
          <w:tcPr>
            <w:tcW w:w="1843" w:type="dxa"/>
            <w:shd w:val="clear" w:color="auto" w:fill="auto"/>
          </w:tcPr>
          <w:p w:rsidR="00A0638D" w:rsidRPr="0038085B" w:rsidRDefault="00A0638D" w:rsidP="0038085B">
            <w:pPr>
              <w:spacing w:line="240" w:lineRule="auto"/>
              <w:jc w:val="center"/>
              <w:rPr>
                <w:sz w:val="20"/>
              </w:rPr>
            </w:pPr>
            <w:r w:rsidRPr="0038085B">
              <w:rPr>
                <w:sz w:val="20"/>
              </w:rPr>
              <w:t>3.90</w:t>
            </w:r>
          </w:p>
        </w:tc>
        <w:tc>
          <w:tcPr>
            <w:tcW w:w="1701" w:type="dxa"/>
            <w:shd w:val="clear" w:color="auto" w:fill="auto"/>
          </w:tcPr>
          <w:p w:rsidR="00A0638D" w:rsidRPr="0038085B" w:rsidRDefault="00A0638D" w:rsidP="0038085B">
            <w:pPr>
              <w:spacing w:line="240" w:lineRule="auto"/>
              <w:jc w:val="center"/>
              <w:rPr>
                <w:sz w:val="20"/>
              </w:rPr>
            </w:pPr>
            <w:r w:rsidRPr="0038085B">
              <w:rPr>
                <w:sz w:val="20"/>
              </w:rPr>
              <w:t>2.641518</w:t>
            </w:r>
          </w:p>
        </w:tc>
        <w:tc>
          <w:tcPr>
            <w:tcW w:w="1984" w:type="dxa"/>
            <w:shd w:val="clear" w:color="auto" w:fill="auto"/>
          </w:tcPr>
          <w:p w:rsidR="00A0638D" w:rsidRPr="0038085B" w:rsidRDefault="00A0638D" w:rsidP="0038085B">
            <w:pPr>
              <w:spacing w:line="240" w:lineRule="auto"/>
              <w:jc w:val="center"/>
              <w:rPr>
                <w:sz w:val="20"/>
              </w:rPr>
            </w:pPr>
            <w:r w:rsidRPr="0038085B">
              <w:rPr>
                <w:sz w:val="20"/>
              </w:rPr>
              <w:t>5.80</w:t>
            </w:r>
          </w:p>
        </w:tc>
        <w:tc>
          <w:tcPr>
            <w:tcW w:w="1559" w:type="dxa"/>
            <w:shd w:val="clear" w:color="auto" w:fill="auto"/>
          </w:tcPr>
          <w:p w:rsidR="00A0638D" w:rsidRPr="0038085B" w:rsidRDefault="00A0638D" w:rsidP="0038085B">
            <w:pPr>
              <w:spacing w:line="240" w:lineRule="auto"/>
              <w:jc w:val="center"/>
              <w:rPr>
                <w:sz w:val="20"/>
              </w:rPr>
            </w:pPr>
            <w:r w:rsidRPr="0038085B">
              <w:rPr>
                <w:sz w:val="20"/>
              </w:rPr>
              <w:t>4.551091</w:t>
            </w:r>
          </w:p>
        </w:tc>
      </w:tr>
      <w:tr w:rsidR="0038085B" w:rsidRPr="0038085B" w:rsidTr="0038085B">
        <w:tc>
          <w:tcPr>
            <w:tcW w:w="709" w:type="dxa"/>
            <w:vMerge/>
            <w:shd w:val="clear" w:color="auto" w:fill="auto"/>
          </w:tcPr>
          <w:p w:rsidR="00A0638D" w:rsidRPr="0038085B" w:rsidRDefault="00A0638D" w:rsidP="0038085B">
            <w:pPr>
              <w:spacing w:line="240" w:lineRule="auto"/>
              <w:rPr>
                <w:sz w:val="20"/>
              </w:rPr>
            </w:pPr>
          </w:p>
        </w:tc>
        <w:tc>
          <w:tcPr>
            <w:tcW w:w="709" w:type="dxa"/>
            <w:shd w:val="clear" w:color="auto" w:fill="auto"/>
          </w:tcPr>
          <w:p w:rsidR="00A0638D" w:rsidRPr="0038085B" w:rsidRDefault="00A0638D" w:rsidP="0038085B">
            <w:pPr>
              <w:spacing w:line="240" w:lineRule="auto"/>
              <w:jc w:val="center"/>
              <w:rPr>
                <w:sz w:val="20"/>
              </w:rPr>
            </w:pPr>
            <w:r w:rsidRPr="0038085B">
              <w:rPr>
                <w:sz w:val="20"/>
              </w:rPr>
              <w:t>0</w:t>
            </w:r>
            <w:r w:rsidRPr="0038085B">
              <w:rPr>
                <w:sz w:val="20"/>
              </w:rPr>
              <w:sym w:font="Symbol" w:char="00B0"/>
            </w:r>
          </w:p>
        </w:tc>
        <w:tc>
          <w:tcPr>
            <w:tcW w:w="1843" w:type="dxa"/>
            <w:shd w:val="clear" w:color="auto" w:fill="auto"/>
          </w:tcPr>
          <w:p w:rsidR="00A0638D" w:rsidRPr="0038085B" w:rsidRDefault="00A0638D" w:rsidP="0038085B">
            <w:pPr>
              <w:spacing w:line="240" w:lineRule="auto"/>
              <w:jc w:val="center"/>
              <w:rPr>
                <w:sz w:val="20"/>
              </w:rPr>
            </w:pPr>
            <w:r w:rsidRPr="0038085B">
              <w:rPr>
                <w:sz w:val="20"/>
              </w:rPr>
              <w:t>4.05</w:t>
            </w:r>
          </w:p>
        </w:tc>
        <w:tc>
          <w:tcPr>
            <w:tcW w:w="1701" w:type="dxa"/>
            <w:shd w:val="clear" w:color="auto" w:fill="auto"/>
          </w:tcPr>
          <w:p w:rsidR="00A0638D" w:rsidRPr="0038085B" w:rsidRDefault="00A0638D" w:rsidP="0038085B">
            <w:pPr>
              <w:spacing w:line="240" w:lineRule="auto"/>
              <w:jc w:val="center"/>
              <w:rPr>
                <w:sz w:val="20"/>
              </w:rPr>
            </w:pPr>
            <w:r w:rsidRPr="0038085B">
              <w:rPr>
                <w:sz w:val="20"/>
              </w:rPr>
              <w:t>2.805510</w:t>
            </w:r>
          </w:p>
        </w:tc>
        <w:tc>
          <w:tcPr>
            <w:tcW w:w="1984" w:type="dxa"/>
            <w:shd w:val="clear" w:color="auto" w:fill="auto"/>
          </w:tcPr>
          <w:p w:rsidR="00A0638D" w:rsidRPr="0038085B" w:rsidRDefault="00A0638D" w:rsidP="0038085B">
            <w:pPr>
              <w:spacing w:line="240" w:lineRule="auto"/>
              <w:jc w:val="center"/>
              <w:rPr>
                <w:sz w:val="20"/>
              </w:rPr>
            </w:pPr>
            <w:r w:rsidRPr="0038085B">
              <w:rPr>
                <w:sz w:val="20"/>
              </w:rPr>
              <w:t>5.80</w:t>
            </w:r>
          </w:p>
        </w:tc>
        <w:tc>
          <w:tcPr>
            <w:tcW w:w="1559" w:type="dxa"/>
            <w:shd w:val="clear" w:color="auto" w:fill="auto"/>
          </w:tcPr>
          <w:p w:rsidR="00A0638D" w:rsidRPr="0038085B" w:rsidRDefault="00A0638D" w:rsidP="0038085B">
            <w:pPr>
              <w:spacing w:line="240" w:lineRule="auto"/>
              <w:jc w:val="center"/>
              <w:rPr>
                <w:sz w:val="20"/>
              </w:rPr>
            </w:pPr>
            <w:r w:rsidRPr="0038085B">
              <w:rPr>
                <w:sz w:val="20"/>
              </w:rPr>
              <w:t>4.499424</w:t>
            </w:r>
          </w:p>
        </w:tc>
      </w:tr>
      <w:tr w:rsidR="0038085B" w:rsidRPr="0038085B" w:rsidTr="0038085B">
        <w:tc>
          <w:tcPr>
            <w:tcW w:w="709" w:type="dxa"/>
            <w:vMerge/>
            <w:shd w:val="clear" w:color="auto" w:fill="auto"/>
          </w:tcPr>
          <w:p w:rsidR="00A0638D" w:rsidRPr="0038085B" w:rsidRDefault="00A0638D" w:rsidP="0038085B">
            <w:pPr>
              <w:spacing w:line="240" w:lineRule="auto"/>
              <w:rPr>
                <w:sz w:val="20"/>
              </w:rPr>
            </w:pPr>
          </w:p>
        </w:tc>
        <w:tc>
          <w:tcPr>
            <w:tcW w:w="709" w:type="dxa"/>
            <w:shd w:val="clear" w:color="auto" w:fill="auto"/>
          </w:tcPr>
          <w:p w:rsidR="00A0638D" w:rsidRPr="0038085B" w:rsidRDefault="00A0638D" w:rsidP="0038085B">
            <w:pPr>
              <w:spacing w:line="240" w:lineRule="auto"/>
              <w:jc w:val="center"/>
              <w:rPr>
                <w:sz w:val="20"/>
              </w:rPr>
            </w:pPr>
            <w:r w:rsidRPr="0038085B">
              <w:rPr>
                <w:sz w:val="20"/>
              </w:rPr>
              <w:t>45</w:t>
            </w:r>
            <w:r w:rsidRPr="0038085B">
              <w:rPr>
                <w:sz w:val="20"/>
              </w:rPr>
              <w:sym w:font="Symbol" w:char="00B0"/>
            </w:r>
          </w:p>
        </w:tc>
        <w:tc>
          <w:tcPr>
            <w:tcW w:w="1843" w:type="dxa"/>
            <w:shd w:val="clear" w:color="auto" w:fill="auto"/>
          </w:tcPr>
          <w:p w:rsidR="00A0638D" w:rsidRPr="0038085B" w:rsidRDefault="00A0638D" w:rsidP="0038085B">
            <w:pPr>
              <w:spacing w:line="240" w:lineRule="auto"/>
              <w:jc w:val="center"/>
              <w:rPr>
                <w:sz w:val="20"/>
              </w:rPr>
            </w:pPr>
            <w:r w:rsidRPr="0038085B">
              <w:rPr>
                <w:sz w:val="20"/>
              </w:rPr>
              <w:t>4.95</w:t>
            </w:r>
          </w:p>
        </w:tc>
        <w:tc>
          <w:tcPr>
            <w:tcW w:w="1701" w:type="dxa"/>
            <w:shd w:val="clear" w:color="auto" w:fill="auto"/>
          </w:tcPr>
          <w:p w:rsidR="00A0638D" w:rsidRPr="0038085B" w:rsidRDefault="00A0638D" w:rsidP="0038085B">
            <w:pPr>
              <w:spacing w:line="240" w:lineRule="auto"/>
              <w:jc w:val="center"/>
              <w:rPr>
                <w:sz w:val="20"/>
              </w:rPr>
            </w:pPr>
            <w:r w:rsidRPr="0038085B">
              <w:rPr>
                <w:sz w:val="20"/>
              </w:rPr>
              <w:t>3.074480</w:t>
            </w:r>
          </w:p>
        </w:tc>
        <w:tc>
          <w:tcPr>
            <w:tcW w:w="1984" w:type="dxa"/>
            <w:shd w:val="clear" w:color="auto" w:fill="auto"/>
          </w:tcPr>
          <w:p w:rsidR="00A0638D" w:rsidRPr="0038085B" w:rsidRDefault="00A0638D" w:rsidP="0038085B">
            <w:pPr>
              <w:spacing w:line="240" w:lineRule="auto"/>
              <w:jc w:val="center"/>
              <w:rPr>
                <w:sz w:val="20"/>
              </w:rPr>
            </w:pPr>
            <w:r w:rsidRPr="0038085B">
              <w:rPr>
                <w:sz w:val="20"/>
              </w:rPr>
              <w:t>4.95</w:t>
            </w:r>
          </w:p>
        </w:tc>
        <w:tc>
          <w:tcPr>
            <w:tcW w:w="1559" w:type="dxa"/>
            <w:shd w:val="clear" w:color="auto" w:fill="auto"/>
          </w:tcPr>
          <w:p w:rsidR="00A0638D" w:rsidRPr="0038085B" w:rsidRDefault="00A0638D" w:rsidP="0038085B">
            <w:pPr>
              <w:spacing w:line="240" w:lineRule="auto"/>
              <w:jc w:val="center"/>
              <w:rPr>
                <w:sz w:val="20"/>
              </w:rPr>
            </w:pPr>
            <w:r w:rsidRPr="0038085B">
              <w:rPr>
                <w:sz w:val="20"/>
              </w:rPr>
              <w:t>3.074480</w:t>
            </w:r>
          </w:p>
        </w:tc>
      </w:tr>
      <w:tr w:rsidR="0038085B" w:rsidRPr="0038085B" w:rsidTr="0038085B">
        <w:tc>
          <w:tcPr>
            <w:tcW w:w="709" w:type="dxa"/>
            <w:vMerge w:val="restart"/>
            <w:shd w:val="clear" w:color="auto" w:fill="auto"/>
          </w:tcPr>
          <w:p w:rsidR="00A0638D" w:rsidRPr="0038085B" w:rsidRDefault="00A0638D" w:rsidP="0038085B">
            <w:pPr>
              <w:spacing w:line="240" w:lineRule="auto"/>
              <w:jc w:val="center"/>
              <w:rPr>
                <w:sz w:val="20"/>
              </w:rPr>
            </w:pPr>
          </w:p>
          <w:p w:rsidR="00A0638D" w:rsidRPr="0038085B" w:rsidRDefault="00A0638D" w:rsidP="0038085B">
            <w:pPr>
              <w:spacing w:line="240" w:lineRule="auto"/>
              <w:jc w:val="center"/>
              <w:rPr>
                <w:sz w:val="20"/>
              </w:rPr>
            </w:pPr>
            <w:r w:rsidRPr="0038085B">
              <w:rPr>
                <w:sz w:val="20"/>
              </w:rPr>
              <w:t>10</w:t>
            </w:r>
            <w:r w:rsidRPr="0038085B">
              <w:rPr>
                <w:sz w:val="20"/>
                <w:vertAlign w:val="superscript"/>
              </w:rPr>
              <w:t>5</w:t>
            </w:r>
          </w:p>
        </w:tc>
        <w:tc>
          <w:tcPr>
            <w:tcW w:w="709" w:type="dxa"/>
            <w:shd w:val="clear" w:color="auto" w:fill="auto"/>
          </w:tcPr>
          <w:p w:rsidR="00A0638D" w:rsidRPr="0038085B" w:rsidRDefault="00A0638D" w:rsidP="0038085B">
            <w:pPr>
              <w:spacing w:line="240" w:lineRule="auto"/>
              <w:jc w:val="center"/>
              <w:rPr>
                <w:sz w:val="20"/>
              </w:rPr>
            </w:pPr>
            <w:r w:rsidRPr="0038085B">
              <w:rPr>
                <w:sz w:val="20"/>
              </w:rPr>
              <w:t>-45</w:t>
            </w:r>
            <w:r w:rsidRPr="0038085B">
              <w:rPr>
                <w:sz w:val="20"/>
              </w:rPr>
              <w:sym w:font="Symbol" w:char="00B0"/>
            </w:r>
          </w:p>
        </w:tc>
        <w:tc>
          <w:tcPr>
            <w:tcW w:w="1843" w:type="dxa"/>
            <w:shd w:val="clear" w:color="auto" w:fill="auto"/>
          </w:tcPr>
          <w:p w:rsidR="00A0638D" w:rsidRPr="0038085B" w:rsidRDefault="0014045E" w:rsidP="0038085B">
            <w:pPr>
              <w:spacing w:line="240" w:lineRule="auto"/>
              <w:jc w:val="center"/>
              <w:rPr>
                <w:sz w:val="20"/>
              </w:rPr>
            </w:pPr>
            <w:r w:rsidRPr="0038085B">
              <w:rPr>
                <w:sz w:val="20"/>
              </w:rPr>
              <w:t>4.40</w:t>
            </w:r>
          </w:p>
        </w:tc>
        <w:tc>
          <w:tcPr>
            <w:tcW w:w="1701" w:type="dxa"/>
            <w:shd w:val="clear" w:color="auto" w:fill="auto"/>
          </w:tcPr>
          <w:p w:rsidR="00A0638D" w:rsidRPr="0038085B" w:rsidRDefault="00D63973" w:rsidP="0038085B">
            <w:pPr>
              <w:spacing w:line="240" w:lineRule="auto"/>
              <w:jc w:val="center"/>
              <w:rPr>
                <w:sz w:val="20"/>
              </w:rPr>
            </w:pPr>
            <w:r w:rsidRPr="0038085B">
              <w:rPr>
                <w:sz w:val="20"/>
              </w:rPr>
              <w:t>3.272340</w:t>
            </w:r>
          </w:p>
        </w:tc>
        <w:tc>
          <w:tcPr>
            <w:tcW w:w="1984" w:type="dxa"/>
            <w:shd w:val="clear" w:color="auto" w:fill="auto"/>
          </w:tcPr>
          <w:p w:rsidR="00A0638D" w:rsidRPr="0038085B" w:rsidRDefault="0014045E" w:rsidP="0038085B">
            <w:pPr>
              <w:spacing w:line="240" w:lineRule="auto"/>
              <w:jc w:val="center"/>
              <w:rPr>
                <w:sz w:val="20"/>
              </w:rPr>
            </w:pPr>
            <w:r w:rsidRPr="0038085B">
              <w:rPr>
                <w:sz w:val="20"/>
              </w:rPr>
              <w:t>8.10</w:t>
            </w:r>
          </w:p>
        </w:tc>
        <w:tc>
          <w:tcPr>
            <w:tcW w:w="1559" w:type="dxa"/>
            <w:shd w:val="clear" w:color="auto" w:fill="auto"/>
          </w:tcPr>
          <w:p w:rsidR="00A0638D" w:rsidRPr="0038085B" w:rsidRDefault="00D63973" w:rsidP="0038085B">
            <w:pPr>
              <w:spacing w:line="240" w:lineRule="auto"/>
              <w:jc w:val="center"/>
              <w:rPr>
                <w:sz w:val="20"/>
              </w:rPr>
            </w:pPr>
            <w:r w:rsidRPr="0038085B">
              <w:rPr>
                <w:sz w:val="20"/>
              </w:rPr>
              <w:t>6.899918</w:t>
            </w:r>
          </w:p>
        </w:tc>
      </w:tr>
      <w:tr w:rsidR="0038085B" w:rsidRPr="0038085B" w:rsidTr="0038085B">
        <w:tc>
          <w:tcPr>
            <w:tcW w:w="709" w:type="dxa"/>
            <w:vMerge/>
            <w:shd w:val="clear" w:color="auto" w:fill="auto"/>
          </w:tcPr>
          <w:p w:rsidR="00A0638D" w:rsidRPr="0038085B" w:rsidRDefault="00A0638D" w:rsidP="0038085B">
            <w:pPr>
              <w:spacing w:line="240" w:lineRule="auto"/>
              <w:rPr>
                <w:sz w:val="20"/>
              </w:rPr>
            </w:pPr>
          </w:p>
        </w:tc>
        <w:tc>
          <w:tcPr>
            <w:tcW w:w="709" w:type="dxa"/>
            <w:shd w:val="clear" w:color="auto" w:fill="auto"/>
          </w:tcPr>
          <w:p w:rsidR="00A0638D" w:rsidRPr="0038085B" w:rsidRDefault="00A0638D" w:rsidP="0038085B">
            <w:pPr>
              <w:spacing w:line="240" w:lineRule="auto"/>
              <w:jc w:val="center"/>
              <w:rPr>
                <w:sz w:val="20"/>
              </w:rPr>
            </w:pPr>
            <w:r w:rsidRPr="0038085B">
              <w:rPr>
                <w:sz w:val="20"/>
              </w:rPr>
              <w:t>0</w:t>
            </w:r>
            <w:r w:rsidRPr="0038085B">
              <w:rPr>
                <w:sz w:val="20"/>
              </w:rPr>
              <w:sym w:font="Symbol" w:char="00B0"/>
            </w:r>
          </w:p>
        </w:tc>
        <w:tc>
          <w:tcPr>
            <w:tcW w:w="1843" w:type="dxa"/>
            <w:shd w:val="clear" w:color="auto" w:fill="auto"/>
          </w:tcPr>
          <w:p w:rsidR="00A0638D" w:rsidRPr="0038085B" w:rsidRDefault="00A0638D" w:rsidP="0038085B">
            <w:pPr>
              <w:spacing w:line="240" w:lineRule="auto"/>
              <w:jc w:val="center"/>
              <w:rPr>
                <w:sz w:val="20"/>
              </w:rPr>
            </w:pPr>
            <w:r w:rsidRPr="0038085B">
              <w:rPr>
                <w:sz w:val="20"/>
              </w:rPr>
              <w:t>5.00</w:t>
            </w:r>
          </w:p>
        </w:tc>
        <w:tc>
          <w:tcPr>
            <w:tcW w:w="1701" w:type="dxa"/>
            <w:shd w:val="clear" w:color="auto" w:fill="auto"/>
          </w:tcPr>
          <w:p w:rsidR="00A0638D" w:rsidRPr="0038085B" w:rsidRDefault="007F14A3" w:rsidP="0038085B">
            <w:pPr>
              <w:spacing w:line="240" w:lineRule="auto"/>
              <w:jc w:val="center"/>
              <w:rPr>
                <w:sz w:val="20"/>
              </w:rPr>
            </w:pPr>
            <w:r w:rsidRPr="0038085B">
              <w:rPr>
                <w:sz w:val="20"/>
              </w:rPr>
              <w:t>3.720636</w:t>
            </w:r>
          </w:p>
        </w:tc>
        <w:tc>
          <w:tcPr>
            <w:tcW w:w="1984" w:type="dxa"/>
            <w:shd w:val="clear" w:color="auto" w:fill="auto"/>
          </w:tcPr>
          <w:p w:rsidR="00A0638D" w:rsidRPr="0038085B" w:rsidRDefault="00A0638D" w:rsidP="0038085B">
            <w:pPr>
              <w:spacing w:line="240" w:lineRule="auto"/>
              <w:jc w:val="center"/>
              <w:rPr>
                <w:sz w:val="20"/>
              </w:rPr>
            </w:pPr>
            <w:r w:rsidRPr="0038085B">
              <w:rPr>
                <w:sz w:val="20"/>
              </w:rPr>
              <w:t>8.10</w:t>
            </w:r>
          </w:p>
        </w:tc>
        <w:tc>
          <w:tcPr>
            <w:tcW w:w="1559" w:type="dxa"/>
            <w:shd w:val="clear" w:color="auto" w:fill="auto"/>
          </w:tcPr>
          <w:p w:rsidR="00A0638D" w:rsidRPr="0038085B" w:rsidRDefault="007F14A3" w:rsidP="0038085B">
            <w:pPr>
              <w:spacing w:line="240" w:lineRule="auto"/>
              <w:jc w:val="center"/>
              <w:rPr>
                <w:sz w:val="20"/>
              </w:rPr>
            </w:pPr>
            <w:r w:rsidRPr="0038085B">
              <w:rPr>
                <w:sz w:val="20"/>
              </w:rPr>
              <w:t>6.736634</w:t>
            </w:r>
          </w:p>
        </w:tc>
      </w:tr>
      <w:tr w:rsidR="0038085B" w:rsidRPr="0038085B" w:rsidTr="0038085B">
        <w:tc>
          <w:tcPr>
            <w:tcW w:w="709" w:type="dxa"/>
            <w:vMerge/>
            <w:shd w:val="clear" w:color="auto" w:fill="auto"/>
          </w:tcPr>
          <w:p w:rsidR="00A0638D" w:rsidRPr="0038085B" w:rsidRDefault="00A0638D" w:rsidP="0038085B">
            <w:pPr>
              <w:spacing w:line="240" w:lineRule="auto"/>
              <w:rPr>
                <w:sz w:val="20"/>
              </w:rPr>
            </w:pPr>
          </w:p>
        </w:tc>
        <w:tc>
          <w:tcPr>
            <w:tcW w:w="709" w:type="dxa"/>
            <w:shd w:val="clear" w:color="auto" w:fill="auto"/>
          </w:tcPr>
          <w:p w:rsidR="00A0638D" w:rsidRPr="0038085B" w:rsidRDefault="00A0638D" w:rsidP="0038085B">
            <w:pPr>
              <w:spacing w:line="240" w:lineRule="auto"/>
              <w:jc w:val="center"/>
              <w:rPr>
                <w:sz w:val="20"/>
              </w:rPr>
            </w:pPr>
            <w:r w:rsidRPr="0038085B">
              <w:rPr>
                <w:sz w:val="20"/>
              </w:rPr>
              <w:t>45</w:t>
            </w:r>
            <w:r w:rsidRPr="0038085B">
              <w:rPr>
                <w:sz w:val="20"/>
              </w:rPr>
              <w:sym w:font="Symbol" w:char="00B0"/>
            </w:r>
          </w:p>
        </w:tc>
        <w:tc>
          <w:tcPr>
            <w:tcW w:w="1843" w:type="dxa"/>
            <w:shd w:val="clear" w:color="auto" w:fill="auto"/>
          </w:tcPr>
          <w:p w:rsidR="00A0638D" w:rsidRPr="0038085B" w:rsidRDefault="009F1747" w:rsidP="0038085B">
            <w:pPr>
              <w:spacing w:line="240" w:lineRule="auto"/>
              <w:jc w:val="center"/>
              <w:rPr>
                <w:sz w:val="20"/>
              </w:rPr>
            </w:pPr>
            <w:r w:rsidRPr="0038085B">
              <w:rPr>
                <w:sz w:val="20"/>
              </w:rPr>
              <w:t>4</w:t>
            </w:r>
            <w:r w:rsidR="00984152" w:rsidRPr="0038085B">
              <w:rPr>
                <w:sz w:val="20"/>
              </w:rPr>
              <w:t>.</w:t>
            </w:r>
            <w:r w:rsidRPr="0038085B">
              <w:rPr>
                <w:sz w:val="20"/>
              </w:rPr>
              <w:t>95</w:t>
            </w:r>
          </w:p>
        </w:tc>
        <w:tc>
          <w:tcPr>
            <w:tcW w:w="1701" w:type="dxa"/>
            <w:shd w:val="clear" w:color="auto" w:fill="auto"/>
          </w:tcPr>
          <w:p w:rsidR="00A0638D" w:rsidRPr="0038085B" w:rsidRDefault="00C525C0" w:rsidP="0038085B">
            <w:pPr>
              <w:spacing w:line="240" w:lineRule="auto"/>
              <w:jc w:val="center"/>
              <w:rPr>
                <w:sz w:val="20"/>
              </w:rPr>
            </w:pPr>
            <w:r w:rsidRPr="0038085B">
              <w:rPr>
                <w:sz w:val="20"/>
              </w:rPr>
              <w:t>3.660521</w:t>
            </w:r>
          </w:p>
        </w:tc>
        <w:tc>
          <w:tcPr>
            <w:tcW w:w="1984" w:type="dxa"/>
            <w:shd w:val="clear" w:color="auto" w:fill="auto"/>
          </w:tcPr>
          <w:p w:rsidR="00A0638D" w:rsidRPr="0038085B" w:rsidRDefault="00984152" w:rsidP="0038085B">
            <w:pPr>
              <w:spacing w:line="240" w:lineRule="auto"/>
              <w:jc w:val="center"/>
              <w:rPr>
                <w:sz w:val="20"/>
              </w:rPr>
            </w:pPr>
            <w:r w:rsidRPr="0038085B">
              <w:rPr>
                <w:sz w:val="20"/>
              </w:rPr>
              <w:t>6.50</w:t>
            </w:r>
          </w:p>
        </w:tc>
        <w:tc>
          <w:tcPr>
            <w:tcW w:w="1559" w:type="dxa"/>
            <w:shd w:val="clear" w:color="auto" w:fill="auto"/>
          </w:tcPr>
          <w:p w:rsidR="00A0638D" w:rsidRPr="0038085B" w:rsidRDefault="00C525C0" w:rsidP="0038085B">
            <w:pPr>
              <w:spacing w:line="240" w:lineRule="auto"/>
              <w:jc w:val="center"/>
              <w:rPr>
                <w:sz w:val="20"/>
              </w:rPr>
            </w:pPr>
            <w:r w:rsidRPr="0038085B">
              <w:rPr>
                <w:sz w:val="20"/>
              </w:rPr>
              <w:t>5.357398</w:t>
            </w:r>
          </w:p>
        </w:tc>
      </w:tr>
    </w:tbl>
    <w:p w:rsidR="00A44435" w:rsidRPr="009D21A0" w:rsidRDefault="00A44435" w:rsidP="00487384">
      <w:pPr>
        <w:spacing w:line="240" w:lineRule="auto"/>
        <w:rPr>
          <w:sz w:val="20"/>
        </w:rPr>
      </w:pPr>
    </w:p>
    <w:sectPr w:rsidR="00A44435" w:rsidRPr="009D21A0" w:rsidSect="00A44435">
      <w:footerReference w:type="default" r:id="rId56"/>
      <w:pgSz w:w="11907"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85B" w:rsidRDefault="0038085B">
      <w:r>
        <w:separator/>
      </w:r>
    </w:p>
  </w:endnote>
  <w:endnote w:type="continuationSeparator" w:id="0">
    <w:p w:rsidR="0038085B" w:rsidRDefault="0038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78" w:rsidRDefault="00EA1C78">
    <w:pPr>
      <w:pStyle w:val="Footer"/>
      <w:jc w:val="right"/>
    </w:pPr>
    <w:r>
      <w:rPr>
        <w:rStyle w:val="PageNumber"/>
      </w:rPr>
      <w:fldChar w:fldCharType="begin"/>
    </w:r>
    <w:r>
      <w:rPr>
        <w:rStyle w:val="PageNumber"/>
      </w:rPr>
      <w:instrText xml:space="preserve"> PAGE </w:instrText>
    </w:r>
    <w:r>
      <w:rPr>
        <w:rStyle w:val="PageNumber"/>
      </w:rPr>
      <w:fldChar w:fldCharType="separate"/>
    </w:r>
    <w:r w:rsidR="00F64EF1">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85B" w:rsidRDefault="0038085B">
      <w:r>
        <w:separator/>
      </w:r>
    </w:p>
  </w:footnote>
  <w:footnote w:type="continuationSeparator" w:id="0">
    <w:p w:rsidR="0038085B" w:rsidRDefault="003808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6A0B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8657CE"/>
    <w:multiLevelType w:val="hybridMultilevel"/>
    <w:tmpl w:val="DB142AC8"/>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31F"/>
    <w:rsid w:val="00002109"/>
    <w:rsid w:val="000039B1"/>
    <w:rsid w:val="00003EFD"/>
    <w:rsid w:val="00004ABD"/>
    <w:rsid w:val="00006E15"/>
    <w:rsid w:val="00010029"/>
    <w:rsid w:val="00011DBD"/>
    <w:rsid w:val="00014EA2"/>
    <w:rsid w:val="00015D2E"/>
    <w:rsid w:val="000170D1"/>
    <w:rsid w:val="00021585"/>
    <w:rsid w:val="00026047"/>
    <w:rsid w:val="000304A6"/>
    <w:rsid w:val="00037B5B"/>
    <w:rsid w:val="00046EF2"/>
    <w:rsid w:val="00054377"/>
    <w:rsid w:val="00056F75"/>
    <w:rsid w:val="00062E5E"/>
    <w:rsid w:val="00064804"/>
    <w:rsid w:val="00064D83"/>
    <w:rsid w:val="000719BA"/>
    <w:rsid w:val="00090391"/>
    <w:rsid w:val="00093A61"/>
    <w:rsid w:val="00097DB4"/>
    <w:rsid w:val="000A0992"/>
    <w:rsid w:val="000A42C3"/>
    <w:rsid w:val="000A71D1"/>
    <w:rsid w:val="000B2165"/>
    <w:rsid w:val="000B4A6D"/>
    <w:rsid w:val="000B78F3"/>
    <w:rsid w:val="000C05DA"/>
    <w:rsid w:val="000C2256"/>
    <w:rsid w:val="000C578E"/>
    <w:rsid w:val="000D3172"/>
    <w:rsid w:val="000E7615"/>
    <w:rsid w:val="000F4291"/>
    <w:rsid w:val="00100CA1"/>
    <w:rsid w:val="00105775"/>
    <w:rsid w:val="00110606"/>
    <w:rsid w:val="00113DF9"/>
    <w:rsid w:val="001155CD"/>
    <w:rsid w:val="00116B1F"/>
    <w:rsid w:val="00117747"/>
    <w:rsid w:val="00123F8E"/>
    <w:rsid w:val="0012517B"/>
    <w:rsid w:val="00125BCF"/>
    <w:rsid w:val="001272B2"/>
    <w:rsid w:val="00130394"/>
    <w:rsid w:val="00130F07"/>
    <w:rsid w:val="00131B4F"/>
    <w:rsid w:val="0013627B"/>
    <w:rsid w:val="00136281"/>
    <w:rsid w:val="00136951"/>
    <w:rsid w:val="0014045E"/>
    <w:rsid w:val="0014049E"/>
    <w:rsid w:val="00141FFB"/>
    <w:rsid w:val="001465A3"/>
    <w:rsid w:val="001520AB"/>
    <w:rsid w:val="001522ED"/>
    <w:rsid w:val="001572C1"/>
    <w:rsid w:val="001609F9"/>
    <w:rsid w:val="00164D7D"/>
    <w:rsid w:val="00165481"/>
    <w:rsid w:val="001701F7"/>
    <w:rsid w:val="001701FB"/>
    <w:rsid w:val="0017063B"/>
    <w:rsid w:val="001727CF"/>
    <w:rsid w:val="0018201F"/>
    <w:rsid w:val="00186BF8"/>
    <w:rsid w:val="001913CC"/>
    <w:rsid w:val="00195E53"/>
    <w:rsid w:val="001A1592"/>
    <w:rsid w:val="001A15FF"/>
    <w:rsid w:val="001A1CEC"/>
    <w:rsid w:val="001A4035"/>
    <w:rsid w:val="001A49C5"/>
    <w:rsid w:val="001B06DB"/>
    <w:rsid w:val="001B0F96"/>
    <w:rsid w:val="001B3CDD"/>
    <w:rsid w:val="001C6276"/>
    <w:rsid w:val="001D04E7"/>
    <w:rsid w:val="001D105E"/>
    <w:rsid w:val="001D12C5"/>
    <w:rsid w:val="001D34BA"/>
    <w:rsid w:val="001D360B"/>
    <w:rsid w:val="001D4FC6"/>
    <w:rsid w:val="001E052D"/>
    <w:rsid w:val="001E42A4"/>
    <w:rsid w:val="001E7592"/>
    <w:rsid w:val="001F054A"/>
    <w:rsid w:val="001F2C64"/>
    <w:rsid w:val="001F4160"/>
    <w:rsid w:val="001F471B"/>
    <w:rsid w:val="002230C6"/>
    <w:rsid w:val="002230DD"/>
    <w:rsid w:val="00224EBD"/>
    <w:rsid w:val="00225D3D"/>
    <w:rsid w:val="00231355"/>
    <w:rsid w:val="002332CD"/>
    <w:rsid w:val="00233C43"/>
    <w:rsid w:val="002356CA"/>
    <w:rsid w:val="00242B65"/>
    <w:rsid w:val="00243F26"/>
    <w:rsid w:val="002457C3"/>
    <w:rsid w:val="00246C24"/>
    <w:rsid w:val="00262024"/>
    <w:rsid w:val="002632AF"/>
    <w:rsid w:val="00265225"/>
    <w:rsid w:val="00271652"/>
    <w:rsid w:val="00271BD4"/>
    <w:rsid w:val="00273071"/>
    <w:rsid w:val="00274F60"/>
    <w:rsid w:val="00276141"/>
    <w:rsid w:val="0028573F"/>
    <w:rsid w:val="00286821"/>
    <w:rsid w:val="0029037F"/>
    <w:rsid w:val="002923F3"/>
    <w:rsid w:val="002938AA"/>
    <w:rsid w:val="002943D3"/>
    <w:rsid w:val="002A2AFA"/>
    <w:rsid w:val="002A6375"/>
    <w:rsid w:val="002C2839"/>
    <w:rsid w:val="002D2863"/>
    <w:rsid w:val="002D6224"/>
    <w:rsid w:val="002E2F28"/>
    <w:rsid w:val="002E76CB"/>
    <w:rsid w:val="00307B77"/>
    <w:rsid w:val="00310B35"/>
    <w:rsid w:val="00322F7F"/>
    <w:rsid w:val="00324148"/>
    <w:rsid w:val="003251BB"/>
    <w:rsid w:val="0032548A"/>
    <w:rsid w:val="003265AF"/>
    <w:rsid w:val="0033078E"/>
    <w:rsid w:val="00332A52"/>
    <w:rsid w:val="003333A0"/>
    <w:rsid w:val="00334525"/>
    <w:rsid w:val="00334575"/>
    <w:rsid w:val="00340B39"/>
    <w:rsid w:val="00344D75"/>
    <w:rsid w:val="00347269"/>
    <w:rsid w:val="0036116B"/>
    <w:rsid w:val="0036465E"/>
    <w:rsid w:val="0038085B"/>
    <w:rsid w:val="003817B1"/>
    <w:rsid w:val="00392981"/>
    <w:rsid w:val="00397ADC"/>
    <w:rsid w:val="00397E81"/>
    <w:rsid w:val="003B0348"/>
    <w:rsid w:val="003B2A22"/>
    <w:rsid w:val="003B67E1"/>
    <w:rsid w:val="003C3401"/>
    <w:rsid w:val="003C782F"/>
    <w:rsid w:val="003D50B4"/>
    <w:rsid w:val="003D549F"/>
    <w:rsid w:val="003D7347"/>
    <w:rsid w:val="003E1A9E"/>
    <w:rsid w:val="003E2111"/>
    <w:rsid w:val="003E30EB"/>
    <w:rsid w:val="003E5F76"/>
    <w:rsid w:val="003E65F5"/>
    <w:rsid w:val="003E6DF4"/>
    <w:rsid w:val="003F0099"/>
    <w:rsid w:val="00402F34"/>
    <w:rsid w:val="00405A02"/>
    <w:rsid w:val="00412967"/>
    <w:rsid w:val="00414B52"/>
    <w:rsid w:val="00420A20"/>
    <w:rsid w:val="0042172D"/>
    <w:rsid w:val="00423E5A"/>
    <w:rsid w:val="00423FB7"/>
    <w:rsid w:val="00426642"/>
    <w:rsid w:val="004320F6"/>
    <w:rsid w:val="004357E5"/>
    <w:rsid w:val="00436E15"/>
    <w:rsid w:val="00447932"/>
    <w:rsid w:val="00447C61"/>
    <w:rsid w:val="0045056B"/>
    <w:rsid w:val="0045336F"/>
    <w:rsid w:val="004558C4"/>
    <w:rsid w:val="00466793"/>
    <w:rsid w:val="00470D96"/>
    <w:rsid w:val="00477AB5"/>
    <w:rsid w:val="00480BCF"/>
    <w:rsid w:val="00483288"/>
    <w:rsid w:val="00487384"/>
    <w:rsid w:val="0048761D"/>
    <w:rsid w:val="00491305"/>
    <w:rsid w:val="004A2954"/>
    <w:rsid w:val="004A4133"/>
    <w:rsid w:val="004A6E74"/>
    <w:rsid w:val="004B2D1F"/>
    <w:rsid w:val="004B2F34"/>
    <w:rsid w:val="004B4347"/>
    <w:rsid w:val="004B69B4"/>
    <w:rsid w:val="004E42DA"/>
    <w:rsid w:val="004F4C82"/>
    <w:rsid w:val="004F7575"/>
    <w:rsid w:val="00510A96"/>
    <w:rsid w:val="0051793A"/>
    <w:rsid w:val="005261B9"/>
    <w:rsid w:val="00536E4F"/>
    <w:rsid w:val="005408EC"/>
    <w:rsid w:val="00545672"/>
    <w:rsid w:val="00547C37"/>
    <w:rsid w:val="005502F4"/>
    <w:rsid w:val="005507D5"/>
    <w:rsid w:val="00554154"/>
    <w:rsid w:val="00555478"/>
    <w:rsid w:val="00555E75"/>
    <w:rsid w:val="00561C81"/>
    <w:rsid w:val="00562020"/>
    <w:rsid w:val="0057362F"/>
    <w:rsid w:val="00580A50"/>
    <w:rsid w:val="005957EF"/>
    <w:rsid w:val="00596438"/>
    <w:rsid w:val="005A6CCC"/>
    <w:rsid w:val="005B4A2A"/>
    <w:rsid w:val="005C253D"/>
    <w:rsid w:val="005C44E7"/>
    <w:rsid w:val="005C657B"/>
    <w:rsid w:val="005C7BF8"/>
    <w:rsid w:val="005D3748"/>
    <w:rsid w:val="005E480B"/>
    <w:rsid w:val="005F0DD7"/>
    <w:rsid w:val="005F1E8A"/>
    <w:rsid w:val="0060133C"/>
    <w:rsid w:val="00603A2B"/>
    <w:rsid w:val="006048A5"/>
    <w:rsid w:val="006113AC"/>
    <w:rsid w:val="00611ACE"/>
    <w:rsid w:val="006169BC"/>
    <w:rsid w:val="0061712F"/>
    <w:rsid w:val="00617E89"/>
    <w:rsid w:val="00620ED7"/>
    <w:rsid w:val="00621044"/>
    <w:rsid w:val="006372F8"/>
    <w:rsid w:val="00640218"/>
    <w:rsid w:val="00641395"/>
    <w:rsid w:val="00644460"/>
    <w:rsid w:val="00645CE5"/>
    <w:rsid w:val="00645F37"/>
    <w:rsid w:val="00651CA0"/>
    <w:rsid w:val="00656F72"/>
    <w:rsid w:val="006605D9"/>
    <w:rsid w:val="00660719"/>
    <w:rsid w:val="00660A8D"/>
    <w:rsid w:val="00662A82"/>
    <w:rsid w:val="00664417"/>
    <w:rsid w:val="00676E64"/>
    <w:rsid w:val="006821DB"/>
    <w:rsid w:val="00690D89"/>
    <w:rsid w:val="00693C6F"/>
    <w:rsid w:val="006A3F82"/>
    <w:rsid w:val="006A4A6B"/>
    <w:rsid w:val="006A6D32"/>
    <w:rsid w:val="006A7F61"/>
    <w:rsid w:val="006C4768"/>
    <w:rsid w:val="006C5B22"/>
    <w:rsid w:val="006D25DE"/>
    <w:rsid w:val="006E0F1D"/>
    <w:rsid w:val="006E1A73"/>
    <w:rsid w:val="006E3A4E"/>
    <w:rsid w:val="006E44C6"/>
    <w:rsid w:val="006E48F9"/>
    <w:rsid w:val="006E55F9"/>
    <w:rsid w:val="006E7FE4"/>
    <w:rsid w:val="006F7CA4"/>
    <w:rsid w:val="00712F9B"/>
    <w:rsid w:val="00726C5F"/>
    <w:rsid w:val="00732294"/>
    <w:rsid w:val="00734545"/>
    <w:rsid w:val="007347A7"/>
    <w:rsid w:val="007415F2"/>
    <w:rsid w:val="00752DCC"/>
    <w:rsid w:val="00755564"/>
    <w:rsid w:val="00763FC6"/>
    <w:rsid w:val="00764594"/>
    <w:rsid w:val="00772CBB"/>
    <w:rsid w:val="00773B4E"/>
    <w:rsid w:val="00777B8E"/>
    <w:rsid w:val="00784DA2"/>
    <w:rsid w:val="00790826"/>
    <w:rsid w:val="00790B7D"/>
    <w:rsid w:val="007959F9"/>
    <w:rsid w:val="007A12B2"/>
    <w:rsid w:val="007A3FDA"/>
    <w:rsid w:val="007A6800"/>
    <w:rsid w:val="007A78A0"/>
    <w:rsid w:val="007B1F7F"/>
    <w:rsid w:val="007B3B65"/>
    <w:rsid w:val="007B529B"/>
    <w:rsid w:val="007C49C2"/>
    <w:rsid w:val="007C63EF"/>
    <w:rsid w:val="007C6B97"/>
    <w:rsid w:val="007E1E60"/>
    <w:rsid w:val="007E29F3"/>
    <w:rsid w:val="007E553E"/>
    <w:rsid w:val="007F14A3"/>
    <w:rsid w:val="007F4A29"/>
    <w:rsid w:val="00803561"/>
    <w:rsid w:val="00805017"/>
    <w:rsid w:val="00805382"/>
    <w:rsid w:val="008126CC"/>
    <w:rsid w:val="0082509D"/>
    <w:rsid w:val="00830241"/>
    <w:rsid w:val="0084367D"/>
    <w:rsid w:val="00853B3F"/>
    <w:rsid w:val="008552A3"/>
    <w:rsid w:val="00857FA4"/>
    <w:rsid w:val="00866B52"/>
    <w:rsid w:val="00875909"/>
    <w:rsid w:val="00876831"/>
    <w:rsid w:val="00880C29"/>
    <w:rsid w:val="008840C2"/>
    <w:rsid w:val="008939B9"/>
    <w:rsid w:val="0089691D"/>
    <w:rsid w:val="008A02FC"/>
    <w:rsid w:val="008A31E1"/>
    <w:rsid w:val="008A331F"/>
    <w:rsid w:val="008A4D0C"/>
    <w:rsid w:val="008A6951"/>
    <w:rsid w:val="008A7F00"/>
    <w:rsid w:val="008B57B7"/>
    <w:rsid w:val="008C2569"/>
    <w:rsid w:val="008C2E5F"/>
    <w:rsid w:val="008C4213"/>
    <w:rsid w:val="008C7B10"/>
    <w:rsid w:val="008E6757"/>
    <w:rsid w:val="008E6B6C"/>
    <w:rsid w:val="008F16E5"/>
    <w:rsid w:val="008F1E1E"/>
    <w:rsid w:val="008F6E27"/>
    <w:rsid w:val="008F7AC2"/>
    <w:rsid w:val="00900B65"/>
    <w:rsid w:val="00901501"/>
    <w:rsid w:val="00902814"/>
    <w:rsid w:val="00905F04"/>
    <w:rsid w:val="009104B0"/>
    <w:rsid w:val="00917249"/>
    <w:rsid w:val="00920DC2"/>
    <w:rsid w:val="00925233"/>
    <w:rsid w:val="00925591"/>
    <w:rsid w:val="00925840"/>
    <w:rsid w:val="00925861"/>
    <w:rsid w:val="009303D5"/>
    <w:rsid w:val="00937530"/>
    <w:rsid w:val="00945488"/>
    <w:rsid w:val="00953C79"/>
    <w:rsid w:val="0095632D"/>
    <w:rsid w:val="009576F3"/>
    <w:rsid w:val="0096254B"/>
    <w:rsid w:val="00963F55"/>
    <w:rsid w:val="0097005B"/>
    <w:rsid w:val="00973347"/>
    <w:rsid w:val="009737D4"/>
    <w:rsid w:val="00976206"/>
    <w:rsid w:val="00977346"/>
    <w:rsid w:val="00977838"/>
    <w:rsid w:val="00977F1C"/>
    <w:rsid w:val="009815A5"/>
    <w:rsid w:val="009818BD"/>
    <w:rsid w:val="009819CF"/>
    <w:rsid w:val="00984152"/>
    <w:rsid w:val="00985DF4"/>
    <w:rsid w:val="00985E82"/>
    <w:rsid w:val="00996B6D"/>
    <w:rsid w:val="0099742F"/>
    <w:rsid w:val="009A0015"/>
    <w:rsid w:val="009A0670"/>
    <w:rsid w:val="009A44A7"/>
    <w:rsid w:val="009A5DDF"/>
    <w:rsid w:val="009B27C0"/>
    <w:rsid w:val="009B2D18"/>
    <w:rsid w:val="009B480C"/>
    <w:rsid w:val="009B6535"/>
    <w:rsid w:val="009B7778"/>
    <w:rsid w:val="009C55A6"/>
    <w:rsid w:val="009C63F4"/>
    <w:rsid w:val="009D21A0"/>
    <w:rsid w:val="009E6BF6"/>
    <w:rsid w:val="009E76C0"/>
    <w:rsid w:val="009F1747"/>
    <w:rsid w:val="009F394A"/>
    <w:rsid w:val="009F7799"/>
    <w:rsid w:val="00A0638D"/>
    <w:rsid w:val="00A07E30"/>
    <w:rsid w:val="00A117B7"/>
    <w:rsid w:val="00A126C8"/>
    <w:rsid w:val="00A14391"/>
    <w:rsid w:val="00A15609"/>
    <w:rsid w:val="00A22880"/>
    <w:rsid w:val="00A24756"/>
    <w:rsid w:val="00A251DB"/>
    <w:rsid w:val="00A2574D"/>
    <w:rsid w:val="00A3265C"/>
    <w:rsid w:val="00A40115"/>
    <w:rsid w:val="00A40862"/>
    <w:rsid w:val="00A44435"/>
    <w:rsid w:val="00A44BD2"/>
    <w:rsid w:val="00A507E5"/>
    <w:rsid w:val="00A50AA7"/>
    <w:rsid w:val="00A54B3C"/>
    <w:rsid w:val="00A56AE8"/>
    <w:rsid w:val="00A60C95"/>
    <w:rsid w:val="00A65161"/>
    <w:rsid w:val="00A837EB"/>
    <w:rsid w:val="00A85623"/>
    <w:rsid w:val="00A92119"/>
    <w:rsid w:val="00A92435"/>
    <w:rsid w:val="00A93F32"/>
    <w:rsid w:val="00AA083E"/>
    <w:rsid w:val="00AA14A6"/>
    <w:rsid w:val="00AA1BFA"/>
    <w:rsid w:val="00AA5015"/>
    <w:rsid w:val="00AB10F4"/>
    <w:rsid w:val="00AB28D9"/>
    <w:rsid w:val="00AB4D90"/>
    <w:rsid w:val="00AB73B7"/>
    <w:rsid w:val="00AC213A"/>
    <w:rsid w:val="00AC7134"/>
    <w:rsid w:val="00AD1C67"/>
    <w:rsid w:val="00AD7D81"/>
    <w:rsid w:val="00AF7E4B"/>
    <w:rsid w:val="00B01BBB"/>
    <w:rsid w:val="00B01EC8"/>
    <w:rsid w:val="00B04577"/>
    <w:rsid w:val="00B04864"/>
    <w:rsid w:val="00B07805"/>
    <w:rsid w:val="00B20DB6"/>
    <w:rsid w:val="00B27A5D"/>
    <w:rsid w:val="00B327DA"/>
    <w:rsid w:val="00B370AD"/>
    <w:rsid w:val="00B45378"/>
    <w:rsid w:val="00B60E6A"/>
    <w:rsid w:val="00B61128"/>
    <w:rsid w:val="00B72897"/>
    <w:rsid w:val="00B7749D"/>
    <w:rsid w:val="00B80686"/>
    <w:rsid w:val="00B84CB7"/>
    <w:rsid w:val="00B86568"/>
    <w:rsid w:val="00B86A4C"/>
    <w:rsid w:val="00B878EC"/>
    <w:rsid w:val="00B9290F"/>
    <w:rsid w:val="00B97996"/>
    <w:rsid w:val="00BA11D6"/>
    <w:rsid w:val="00BA4550"/>
    <w:rsid w:val="00BA4D5A"/>
    <w:rsid w:val="00BB1279"/>
    <w:rsid w:val="00BB5112"/>
    <w:rsid w:val="00BC00B4"/>
    <w:rsid w:val="00BC2B35"/>
    <w:rsid w:val="00BD0E82"/>
    <w:rsid w:val="00BD4362"/>
    <w:rsid w:val="00BD6F8C"/>
    <w:rsid w:val="00BE17BE"/>
    <w:rsid w:val="00BE6E82"/>
    <w:rsid w:val="00BF0F86"/>
    <w:rsid w:val="00BF25A4"/>
    <w:rsid w:val="00BF3993"/>
    <w:rsid w:val="00BF66B3"/>
    <w:rsid w:val="00C02BC8"/>
    <w:rsid w:val="00C05A72"/>
    <w:rsid w:val="00C076B5"/>
    <w:rsid w:val="00C1083F"/>
    <w:rsid w:val="00C11B94"/>
    <w:rsid w:val="00C1372F"/>
    <w:rsid w:val="00C146AD"/>
    <w:rsid w:val="00C24204"/>
    <w:rsid w:val="00C26BA1"/>
    <w:rsid w:val="00C341E9"/>
    <w:rsid w:val="00C36B9C"/>
    <w:rsid w:val="00C525C0"/>
    <w:rsid w:val="00C57BE6"/>
    <w:rsid w:val="00C62375"/>
    <w:rsid w:val="00C62483"/>
    <w:rsid w:val="00C67436"/>
    <w:rsid w:val="00C72DED"/>
    <w:rsid w:val="00C75DA0"/>
    <w:rsid w:val="00C77A19"/>
    <w:rsid w:val="00C90EE3"/>
    <w:rsid w:val="00C92E23"/>
    <w:rsid w:val="00C95DDC"/>
    <w:rsid w:val="00C97489"/>
    <w:rsid w:val="00CA3591"/>
    <w:rsid w:val="00CA3E7B"/>
    <w:rsid w:val="00CC2778"/>
    <w:rsid w:val="00CC3440"/>
    <w:rsid w:val="00CC3B60"/>
    <w:rsid w:val="00CD77B0"/>
    <w:rsid w:val="00CE3FD6"/>
    <w:rsid w:val="00CF57BF"/>
    <w:rsid w:val="00CF7B82"/>
    <w:rsid w:val="00D02012"/>
    <w:rsid w:val="00D03595"/>
    <w:rsid w:val="00D0647E"/>
    <w:rsid w:val="00D22438"/>
    <w:rsid w:val="00D25533"/>
    <w:rsid w:val="00D26CC7"/>
    <w:rsid w:val="00D27209"/>
    <w:rsid w:val="00D322B7"/>
    <w:rsid w:val="00D33E2C"/>
    <w:rsid w:val="00D4112B"/>
    <w:rsid w:val="00D56F4B"/>
    <w:rsid w:val="00D61881"/>
    <w:rsid w:val="00D636DA"/>
    <w:rsid w:val="00D63973"/>
    <w:rsid w:val="00D81406"/>
    <w:rsid w:val="00D90F94"/>
    <w:rsid w:val="00D927B2"/>
    <w:rsid w:val="00D938A2"/>
    <w:rsid w:val="00D940E2"/>
    <w:rsid w:val="00DA00C6"/>
    <w:rsid w:val="00DA262F"/>
    <w:rsid w:val="00DC0A25"/>
    <w:rsid w:val="00DC64EF"/>
    <w:rsid w:val="00DC7E13"/>
    <w:rsid w:val="00DD1C8F"/>
    <w:rsid w:val="00DD441E"/>
    <w:rsid w:val="00DD5E4D"/>
    <w:rsid w:val="00DE22B4"/>
    <w:rsid w:val="00DF4563"/>
    <w:rsid w:val="00DF5197"/>
    <w:rsid w:val="00E04ADD"/>
    <w:rsid w:val="00E11A9A"/>
    <w:rsid w:val="00E11E8E"/>
    <w:rsid w:val="00E137ED"/>
    <w:rsid w:val="00E155DA"/>
    <w:rsid w:val="00E168D2"/>
    <w:rsid w:val="00E1789E"/>
    <w:rsid w:val="00E2168C"/>
    <w:rsid w:val="00E2438F"/>
    <w:rsid w:val="00E26C58"/>
    <w:rsid w:val="00E4024B"/>
    <w:rsid w:val="00E42878"/>
    <w:rsid w:val="00E43605"/>
    <w:rsid w:val="00E47E29"/>
    <w:rsid w:val="00E50879"/>
    <w:rsid w:val="00E55725"/>
    <w:rsid w:val="00E55BE3"/>
    <w:rsid w:val="00E578AE"/>
    <w:rsid w:val="00E60E11"/>
    <w:rsid w:val="00E65F4C"/>
    <w:rsid w:val="00E714E4"/>
    <w:rsid w:val="00E71DE0"/>
    <w:rsid w:val="00E8265C"/>
    <w:rsid w:val="00EA1C78"/>
    <w:rsid w:val="00EA2F0B"/>
    <w:rsid w:val="00EA4817"/>
    <w:rsid w:val="00EA49EC"/>
    <w:rsid w:val="00EA4BD7"/>
    <w:rsid w:val="00EA5605"/>
    <w:rsid w:val="00EB2970"/>
    <w:rsid w:val="00EB401A"/>
    <w:rsid w:val="00EB613C"/>
    <w:rsid w:val="00EC0E01"/>
    <w:rsid w:val="00EC3F87"/>
    <w:rsid w:val="00ED06DD"/>
    <w:rsid w:val="00ED3F32"/>
    <w:rsid w:val="00EF31F2"/>
    <w:rsid w:val="00EF3230"/>
    <w:rsid w:val="00EF5DFA"/>
    <w:rsid w:val="00F0241B"/>
    <w:rsid w:val="00F071AD"/>
    <w:rsid w:val="00F0792A"/>
    <w:rsid w:val="00F116C0"/>
    <w:rsid w:val="00F13DD2"/>
    <w:rsid w:val="00F25AC4"/>
    <w:rsid w:val="00F32056"/>
    <w:rsid w:val="00F40310"/>
    <w:rsid w:val="00F42FEC"/>
    <w:rsid w:val="00F43268"/>
    <w:rsid w:val="00F4473E"/>
    <w:rsid w:val="00F52C7D"/>
    <w:rsid w:val="00F5359E"/>
    <w:rsid w:val="00F551BF"/>
    <w:rsid w:val="00F55F53"/>
    <w:rsid w:val="00F6032D"/>
    <w:rsid w:val="00F60F17"/>
    <w:rsid w:val="00F64EF1"/>
    <w:rsid w:val="00F66D1C"/>
    <w:rsid w:val="00F67600"/>
    <w:rsid w:val="00F75F9B"/>
    <w:rsid w:val="00F76FD3"/>
    <w:rsid w:val="00F83F3F"/>
    <w:rsid w:val="00F84A92"/>
    <w:rsid w:val="00F864FE"/>
    <w:rsid w:val="00F86E22"/>
    <w:rsid w:val="00F97395"/>
    <w:rsid w:val="00FA4903"/>
    <w:rsid w:val="00FB2D6E"/>
    <w:rsid w:val="00FB6FEE"/>
    <w:rsid w:val="00FC714B"/>
    <w:rsid w:val="00FC7284"/>
    <w:rsid w:val="00FC7EC5"/>
    <w:rsid w:val="00FD024B"/>
    <w:rsid w:val="00FD26C8"/>
    <w:rsid w:val="00FD35A6"/>
    <w:rsid w:val="00FD7FB0"/>
    <w:rsid w:val="00FE1601"/>
    <w:rsid w:val="00FF2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pPr>
      <w:overflowPunct w:val="0"/>
      <w:autoSpaceDE w:val="0"/>
      <w:autoSpaceDN w:val="0"/>
      <w:adjustRightInd w:val="0"/>
      <w:spacing w:line="360" w:lineRule="auto"/>
      <w:textAlignment w:val="baseline"/>
    </w:pPr>
    <w:rPr>
      <w:sz w:val="24"/>
      <w:lang w:eastAsia="tr-TR"/>
    </w:rPr>
  </w:style>
  <w:style w:type="paragraph" w:styleId="Heading1">
    <w:name w:val="heading 1"/>
    <w:basedOn w:val="Normal"/>
    <w:next w:val="Normal"/>
    <w:qFormat/>
    <w:pPr>
      <w:keepNext/>
      <w:overflowPunct/>
      <w:autoSpaceDE/>
      <w:autoSpaceDN/>
      <w:adjustRightInd/>
      <w:spacing w:line="240" w:lineRule="auto"/>
      <w:jc w:val="both"/>
      <w:textAlignment w:val="auto"/>
      <w:outlineLvl w:val="0"/>
    </w:pPr>
    <w:rPr>
      <w:rFonts w:ascii="Arial" w:hAnsi="Arial" w:cs="Arial"/>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abbreviations">
    <w:name w:val="abbreviations"/>
    <w:basedOn w:val="Normal"/>
    <w:next w:val="Normal"/>
    <w:pPr>
      <w:tabs>
        <w:tab w:val="left" w:pos="3402"/>
      </w:tabs>
      <w:ind w:left="3402" w:hanging="3402"/>
    </w:pPr>
  </w:style>
  <w:style w:type="paragraph" w:customStyle="1" w:styleId="title">
    <w:name w:val="title"/>
    <w:basedOn w:val="Normal"/>
    <w:next w:val="Normal"/>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
    <w:name w:val="heading2"/>
    <w:basedOn w:val="Normal"/>
    <w:next w:val="Normal"/>
    <w:pPr>
      <w:keepNext/>
      <w:spacing w:before="240" w:after="180"/>
    </w:pPr>
    <w:rPr>
      <w:rFonts w:ascii="Arial" w:hAnsi="Arial"/>
      <w:b/>
      <w:sz w:val="28"/>
    </w:rPr>
  </w:style>
  <w:style w:type="paragraph" w:customStyle="1" w:styleId="heading3">
    <w:name w:val="heading3"/>
    <w:basedOn w:val="Normal"/>
    <w:next w:val="Normal"/>
    <w:pPr>
      <w:keepNext/>
      <w:spacing w:before="240" w:after="180"/>
    </w:pPr>
    <w:rPr>
      <w:rFonts w:ascii="Arial" w:hAnsi="Arial"/>
      <w:b/>
      <w:i/>
      <w:sz w:val="28"/>
    </w:rPr>
  </w:style>
  <w:style w:type="paragraph" w:customStyle="1" w:styleId="heading4">
    <w:name w:val="heading4"/>
    <w:basedOn w:val="Normal"/>
    <w:next w:val="Normal"/>
    <w:pPr>
      <w:keepNext/>
      <w:spacing w:before="240" w:after="180"/>
    </w:pPr>
    <w:rPr>
      <w:rFonts w:ascii="Arial" w:hAnsi="Arial"/>
      <w:b/>
    </w:rPr>
  </w:style>
  <w:style w:type="paragraph" w:customStyle="1" w:styleId="tablecitation">
    <w:name w:val="tablecitation"/>
    <w:basedOn w:val="figurecitation"/>
  </w:style>
  <w:style w:type="paragraph" w:customStyle="1" w:styleId="figurecitation">
    <w:name w:val="figurecitation"/>
    <w:basedOn w:val="Normal"/>
    <w:rPr>
      <w:rFonts w:ascii="Arial" w:hAnsi="Arial"/>
      <w:b/>
      <w:sz w:val="36"/>
    </w:rPr>
  </w:style>
  <w:style w:type="paragraph" w:customStyle="1" w:styleId="acknowledgements">
    <w:name w:val="acknowledgements"/>
    <w:basedOn w:val="Normal"/>
    <w:next w:val="Normal"/>
    <w:pPr>
      <w:spacing w:before="120"/>
    </w:pPr>
  </w:style>
  <w:style w:type="paragraph" w:customStyle="1" w:styleId="author">
    <w:name w:val="author"/>
    <w:basedOn w:val="Normal"/>
    <w:pPr>
      <w:spacing w:before="120" w:after="120"/>
    </w:pPr>
    <w:rPr>
      <w:smallCaps/>
    </w:rPr>
  </w:style>
  <w:style w:type="paragraph" w:customStyle="1" w:styleId="authorinfo">
    <w:name w:val="authorinfo"/>
    <w:basedOn w:val="Normal"/>
    <w:pPr>
      <w:spacing w:before="120" w:after="120" w:line="240" w:lineRule="auto"/>
    </w:pPr>
    <w:rPr>
      <w:i/>
    </w:rPr>
  </w:style>
  <w:style w:type="paragraph" w:customStyle="1" w:styleId="email">
    <w:name w:val="email"/>
    <w:basedOn w:val="Normal"/>
    <w:next w:val="telephone"/>
    <w:pPr>
      <w:spacing w:before="120" w:line="240" w:lineRule="auto"/>
    </w:pPr>
    <w:rPr>
      <w:sz w:val="20"/>
    </w:rPr>
  </w:style>
  <w:style w:type="paragraph" w:customStyle="1" w:styleId="telephone">
    <w:name w:val="telephone"/>
    <w:basedOn w:val="email"/>
    <w:next w:val="fax"/>
    <w:pPr>
      <w:spacing w:before="0"/>
    </w:pPr>
  </w:style>
  <w:style w:type="paragraph" w:customStyle="1" w:styleId="fax">
    <w:name w:val="fax"/>
    <w:basedOn w:val="email"/>
    <w:next w:val="Normal"/>
    <w:pPr>
      <w:spacing w:before="0" w:after="120"/>
    </w:pPr>
  </w:style>
  <w:style w:type="paragraph" w:customStyle="1" w:styleId="abstract">
    <w:name w:val="abstract"/>
    <w:basedOn w:val="Normal"/>
    <w:next w:val="Normal"/>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18"/>
    </w:rPr>
  </w:style>
  <w:style w:type="paragraph" w:customStyle="1" w:styleId="equation">
    <w:name w:val="equation"/>
    <w:basedOn w:val="Normal"/>
    <w:next w:val="Normal"/>
    <w:pPr>
      <w:spacing w:before="120" w:after="120"/>
      <w:jc w:val="center"/>
    </w:pPr>
  </w:style>
  <w:style w:type="paragraph" w:customStyle="1" w:styleId="comment">
    <w:name w:val="comment"/>
    <w:basedOn w:val="Normal"/>
    <w:pPr>
      <w:spacing w:line="240" w:lineRule="auto"/>
    </w:pPr>
    <w:rPr>
      <w:sz w:val="22"/>
    </w:rPr>
  </w:style>
  <w:style w:type="paragraph" w:customStyle="1" w:styleId="figlegend">
    <w:name w:val="figlegend"/>
    <w:basedOn w:val="Normal"/>
    <w:next w:val="Normal"/>
    <w:rPr>
      <w:sz w:val="20"/>
    </w:rPr>
  </w:style>
  <w:style w:type="paragraph" w:customStyle="1" w:styleId="tablelegend">
    <w:name w:val="tablelegend"/>
    <w:basedOn w:val="Normal"/>
    <w:next w:val="Normal"/>
    <w:rPr>
      <w:sz w:val="20"/>
    </w:rPr>
  </w:style>
  <w:style w:type="character" w:styleId="Hyperlink">
    <w:name w:val="Hyperlink"/>
    <w:rPr>
      <w:color w:val="0000FF"/>
      <w:u w:val="single"/>
    </w:rPr>
  </w:style>
  <w:style w:type="paragraph" w:styleId="BodyText">
    <w:name w:val="Body Text"/>
    <w:basedOn w:val="Normal"/>
    <w:pPr>
      <w:overflowPunct/>
      <w:autoSpaceDE/>
      <w:autoSpaceDN/>
      <w:adjustRightInd/>
      <w:spacing w:line="240" w:lineRule="auto"/>
      <w:jc w:val="both"/>
      <w:textAlignment w:val="auto"/>
    </w:pPr>
    <w:rPr>
      <w:rFonts w:ascii="Arial" w:hAnsi="Arial" w:cs="Arial"/>
      <w:color w:val="000000"/>
      <w:szCs w:val="15"/>
    </w:rPr>
  </w:style>
  <w:style w:type="paragraph" w:styleId="PlainText">
    <w:name w:val="Plain Text"/>
    <w:basedOn w:val="Normal"/>
    <w:pPr>
      <w:overflowPunct/>
      <w:autoSpaceDE/>
      <w:autoSpaceDN/>
      <w:adjustRightInd/>
      <w:spacing w:line="240" w:lineRule="auto"/>
      <w:textAlignment w:val="auto"/>
    </w:pPr>
    <w:rPr>
      <w:rFonts w:ascii="Courier New" w:hAnsi="Courier New" w:cs="Courier New"/>
      <w:sz w:val="20"/>
    </w:rPr>
  </w:style>
  <w:style w:type="paragraph" w:styleId="BodyText2">
    <w:name w:val="Body Text 2"/>
    <w:basedOn w:val="Normal"/>
    <w:pPr>
      <w:jc w:val="center"/>
    </w:pPr>
    <w:rPr>
      <w:rFonts w:ascii="Arial" w:hAnsi="Arial" w:cs="Arial"/>
      <w:b/>
      <w:bCs/>
      <w:sz w:val="20"/>
    </w:rPr>
  </w:style>
  <w:style w:type="paragraph" w:customStyle="1" w:styleId="equationChar">
    <w:name w:val="equation Char"/>
    <w:basedOn w:val="Normal"/>
    <w:next w:val="Normal"/>
    <w:pPr>
      <w:overflowPunct/>
      <w:autoSpaceDE/>
      <w:autoSpaceDN/>
      <w:adjustRightInd/>
      <w:spacing w:before="120" w:after="120" w:line="240" w:lineRule="auto"/>
      <w:jc w:val="center"/>
      <w:textAlignment w:val="auto"/>
    </w:pPr>
    <w:rPr>
      <w:sz w:val="20"/>
      <w:lang w:val="fr-FR" w:eastAsia="en-US"/>
    </w:rPr>
  </w:style>
  <w:style w:type="paragraph" w:styleId="BodyTextIndent">
    <w:name w:val="Body Text Indent"/>
    <w:basedOn w:val="Normal"/>
    <w:pPr>
      <w:spacing w:line="480" w:lineRule="auto"/>
      <w:ind w:firstLine="708"/>
    </w:pPr>
    <w:rPr>
      <w:sz w:val="20"/>
    </w:rPr>
  </w:style>
  <w:style w:type="table" w:styleId="TableGrid">
    <w:name w:val="Table Grid"/>
    <w:basedOn w:val="TableNormal"/>
    <w:rsid w:val="001E7592"/>
    <w:pPr>
      <w:overflowPunct w:val="0"/>
      <w:autoSpaceDE w:val="0"/>
      <w:autoSpaceDN w:val="0"/>
      <w:adjustRightInd w:val="0"/>
      <w:spacing w:line="360"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790B7D"/>
    <w:rPr>
      <w:b/>
      <w:bCs/>
    </w:rPr>
  </w:style>
  <w:style w:type="character" w:customStyle="1" w:styleId="hit">
    <w:name w:val="hit"/>
    <w:rsid w:val="00902814"/>
    <w:rPr>
      <w:b/>
      <w:bCs/>
      <w:color w:val="FF0000"/>
    </w:rPr>
  </w:style>
  <w:style w:type="paragraph" w:styleId="BalloonText">
    <w:name w:val="Balloon Text"/>
    <w:basedOn w:val="Normal"/>
    <w:semiHidden/>
    <w:rsid w:val="00690D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pPr>
      <w:overflowPunct w:val="0"/>
      <w:autoSpaceDE w:val="0"/>
      <w:autoSpaceDN w:val="0"/>
      <w:adjustRightInd w:val="0"/>
      <w:spacing w:line="360" w:lineRule="auto"/>
      <w:textAlignment w:val="baseline"/>
    </w:pPr>
    <w:rPr>
      <w:sz w:val="24"/>
      <w:lang w:eastAsia="tr-TR"/>
    </w:rPr>
  </w:style>
  <w:style w:type="paragraph" w:styleId="Heading1">
    <w:name w:val="heading 1"/>
    <w:basedOn w:val="Normal"/>
    <w:next w:val="Normal"/>
    <w:qFormat/>
    <w:pPr>
      <w:keepNext/>
      <w:overflowPunct/>
      <w:autoSpaceDE/>
      <w:autoSpaceDN/>
      <w:adjustRightInd/>
      <w:spacing w:line="240" w:lineRule="auto"/>
      <w:jc w:val="both"/>
      <w:textAlignment w:val="auto"/>
      <w:outlineLvl w:val="0"/>
    </w:pPr>
    <w:rPr>
      <w:rFonts w:ascii="Arial" w:hAnsi="Arial" w:cs="Arial"/>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abbreviations">
    <w:name w:val="abbreviations"/>
    <w:basedOn w:val="Normal"/>
    <w:next w:val="Normal"/>
    <w:pPr>
      <w:tabs>
        <w:tab w:val="left" w:pos="3402"/>
      </w:tabs>
      <w:ind w:left="3402" w:hanging="3402"/>
    </w:pPr>
  </w:style>
  <w:style w:type="paragraph" w:customStyle="1" w:styleId="title">
    <w:name w:val="title"/>
    <w:basedOn w:val="Normal"/>
    <w:next w:val="Normal"/>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
    <w:name w:val="heading2"/>
    <w:basedOn w:val="Normal"/>
    <w:next w:val="Normal"/>
    <w:pPr>
      <w:keepNext/>
      <w:spacing w:before="240" w:after="180"/>
    </w:pPr>
    <w:rPr>
      <w:rFonts w:ascii="Arial" w:hAnsi="Arial"/>
      <w:b/>
      <w:sz w:val="28"/>
    </w:rPr>
  </w:style>
  <w:style w:type="paragraph" w:customStyle="1" w:styleId="heading3">
    <w:name w:val="heading3"/>
    <w:basedOn w:val="Normal"/>
    <w:next w:val="Normal"/>
    <w:pPr>
      <w:keepNext/>
      <w:spacing w:before="240" w:after="180"/>
    </w:pPr>
    <w:rPr>
      <w:rFonts w:ascii="Arial" w:hAnsi="Arial"/>
      <w:b/>
      <w:i/>
      <w:sz w:val="28"/>
    </w:rPr>
  </w:style>
  <w:style w:type="paragraph" w:customStyle="1" w:styleId="heading4">
    <w:name w:val="heading4"/>
    <w:basedOn w:val="Normal"/>
    <w:next w:val="Normal"/>
    <w:pPr>
      <w:keepNext/>
      <w:spacing w:before="240" w:after="180"/>
    </w:pPr>
    <w:rPr>
      <w:rFonts w:ascii="Arial" w:hAnsi="Arial"/>
      <w:b/>
    </w:rPr>
  </w:style>
  <w:style w:type="paragraph" w:customStyle="1" w:styleId="tablecitation">
    <w:name w:val="tablecitation"/>
    <w:basedOn w:val="figurecitation"/>
  </w:style>
  <w:style w:type="paragraph" w:customStyle="1" w:styleId="figurecitation">
    <w:name w:val="figurecitation"/>
    <w:basedOn w:val="Normal"/>
    <w:rPr>
      <w:rFonts w:ascii="Arial" w:hAnsi="Arial"/>
      <w:b/>
      <w:sz w:val="36"/>
    </w:rPr>
  </w:style>
  <w:style w:type="paragraph" w:customStyle="1" w:styleId="acknowledgements">
    <w:name w:val="acknowledgements"/>
    <w:basedOn w:val="Normal"/>
    <w:next w:val="Normal"/>
    <w:pPr>
      <w:spacing w:before="120"/>
    </w:pPr>
  </w:style>
  <w:style w:type="paragraph" w:customStyle="1" w:styleId="author">
    <w:name w:val="author"/>
    <w:basedOn w:val="Normal"/>
    <w:pPr>
      <w:spacing w:before="120" w:after="120"/>
    </w:pPr>
    <w:rPr>
      <w:smallCaps/>
    </w:rPr>
  </w:style>
  <w:style w:type="paragraph" w:customStyle="1" w:styleId="authorinfo">
    <w:name w:val="authorinfo"/>
    <w:basedOn w:val="Normal"/>
    <w:pPr>
      <w:spacing w:before="120" w:after="120" w:line="240" w:lineRule="auto"/>
    </w:pPr>
    <w:rPr>
      <w:i/>
    </w:rPr>
  </w:style>
  <w:style w:type="paragraph" w:customStyle="1" w:styleId="email">
    <w:name w:val="email"/>
    <w:basedOn w:val="Normal"/>
    <w:next w:val="telephone"/>
    <w:pPr>
      <w:spacing w:before="120" w:line="240" w:lineRule="auto"/>
    </w:pPr>
    <w:rPr>
      <w:sz w:val="20"/>
    </w:rPr>
  </w:style>
  <w:style w:type="paragraph" w:customStyle="1" w:styleId="telephone">
    <w:name w:val="telephone"/>
    <w:basedOn w:val="email"/>
    <w:next w:val="fax"/>
    <w:pPr>
      <w:spacing w:before="0"/>
    </w:pPr>
  </w:style>
  <w:style w:type="paragraph" w:customStyle="1" w:styleId="fax">
    <w:name w:val="fax"/>
    <w:basedOn w:val="email"/>
    <w:next w:val="Normal"/>
    <w:pPr>
      <w:spacing w:before="0" w:after="120"/>
    </w:pPr>
  </w:style>
  <w:style w:type="paragraph" w:customStyle="1" w:styleId="abstract">
    <w:name w:val="abstract"/>
    <w:basedOn w:val="Normal"/>
    <w:next w:val="Normal"/>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18"/>
    </w:rPr>
  </w:style>
  <w:style w:type="paragraph" w:customStyle="1" w:styleId="equation">
    <w:name w:val="equation"/>
    <w:basedOn w:val="Normal"/>
    <w:next w:val="Normal"/>
    <w:pPr>
      <w:spacing w:before="120" w:after="120"/>
      <w:jc w:val="center"/>
    </w:pPr>
  </w:style>
  <w:style w:type="paragraph" w:customStyle="1" w:styleId="comment">
    <w:name w:val="comment"/>
    <w:basedOn w:val="Normal"/>
    <w:pPr>
      <w:spacing w:line="240" w:lineRule="auto"/>
    </w:pPr>
    <w:rPr>
      <w:sz w:val="22"/>
    </w:rPr>
  </w:style>
  <w:style w:type="paragraph" w:customStyle="1" w:styleId="figlegend">
    <w:name w:val="figlegend"/>
    <w:basedOn w:val="Normal"/>
    <w:next w:val="Normal"/>
    <w:rPr>
      <w:sz w:val="20"/>
    </w:rPr>
  </w:style>
  <w:style w:type="paragraph" w:customStyle="1" w:styleId="tablelegend">
    <w:name w:val="tablelegend"/>
    <w:basedOn w:val="Normal"/>
    <w:next w:val="Normal"/>
    <w:rPr>
      <w:sz w:val="20"/>
    </w:rPr>
  </w:style>
  <w:style w:type="character" w:styleId="Hyperlink">
    <w:name w:val="Hyperlink"/>
    <w:rPr>
      <w:color w:val="0000FF"/>
      <w:u w:val="single"/>
    </w:rPr>
  </w:style>
  <w:style w:type="paragraph" w:styleId="BodyText">
    <w:name w:val="Body Text"/>
    <w:basedOn w:val="Normal"/>
    <w:pPr>
      <w:overflowPunct/>
      <w:autoSpaceDE/>
      <w:autoSpaceDN/>
      <w:adjustRightInd/>
      <w:spacing w:line="240" w:lineRule="auto"/>
      <w:jc w:val="both"/>
      <w:textAlignment w:val="auto"/>
    </w:pPr>
    <w:rPr>
      <w:rFonts w:ascii="Arial" w:hAnsi="Arial" w:cs="Arial"/>
      <w:color w:val="000000"/>
      <w:szCs w:val="15"/>
    </w:rPr>
  </w:style>
  <w:style w:type="paragraph" w:styleId="PlainText">
    <w:name w:val="Plain Text"/>
    <w:basedOn w:val="Normal"/>
    <w:pPr>
      <w:overflowPunct/>
      <w:autoSpaceDE/>
      <w:autoSpaceDN/>
      <w:adjustRightInd/>
      <w:spacing w:line="240" w:lineRule="auto"/>
      <w:textAlignment w:val="auto"/>
    </w:pPr>
    <w:rPr>
      <w:rFonts w:ascii="Courier New" w:hAnsi="Courier New" w:cs="Courier New"/>
      <w:sz w:val="20"/>
    </w:rPr>
  </w:style>
  <w:style w:type="paragraph" w:styleId="BodyText2">
    <w:name w:val="Body Text 2"/>
    <w:basedOn w:val="Normal"/>
    <w:pPr>
      <w:jc w:val="center"/>
    </w:pPr>
    <w:rPr>
      <w:rFonts w:ascii="Arial" w:hAnsi="Arial" w:cs="Arial"/>
      <w:b/>
      <w:bCs/>
      <w:sz w:val="20"/>
    </w:rPr>
  </w:style>
  <w:style w:type="paragraph" w:customStyle="1" w:styleId="equationChar">
    <w:name w:val="equation Char"/>
    <w:basedOn w:val="Normal"/>
    <w:next w:val="Normal"/>
    <w:pPr>
      <w:overflowPunct/>
      <w:autoSpaceDE/>
      <w:autoSpaceDN/>
      <w:adjustRightInd/>
      <w:spacing w:before="120" w:after="120" w:line="240" w:lineRule="auto"/>
      <w:jc w:val="center"/>
      <w:textAlignment w:val="auto"/>
    </w:pPr>
    <w:rPr>
      <w:sz w:val="20"/>
      <w:lang w:val="fr-FR" w:eastAsia="en-US"/>
    </w:rPr>
  </w:style>
  <w:style w:type="paragraph" w:styleId="BodyTextIndent">
    <w:name w:val="Body Text Indent"/>
    <w:basedOn w:val="Normal"/>
    <w:pPr>
      <w:spacing w:line="480" w:lineRule="auto"/>
      <w:ind w:firstLine="708"/>
    </w:pPr>
    <w:rPr>
      <w:sz w:val="20"/>
    </w:rPr>
  </w:style>
  <w:style w:type="table" w:styleId="TableGrid">
    <w:name w:val="Table Grid"/>
    <w:basedOn w:val="TableNormal"/>
    <w:rsid w:val="001E7592"/>
    <w:pPr>
      <w:overflowPunct w:val="0"/>
      <w:autoSpaceDE w:val="0"/>
      <w:autoSpaceDN w:val="0"/>
      <w:adjustRightInd w:val="0"/>
      <w:spacing w:line="360"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790B7D"/>
    <w:rPr>
      <w:b/>
      <w:bCs/>
    </w:rPr>
  </w:style>
  <w:style w:type="character" w:customStyle="1" w:styleId="hit">
    <w:name w:val="hit"/>
    <w:rsid w:val="00902814"/>
    <w:rPr>
      <w:b/>
      <w:bCs/>
      <w:color w:val="FF0000"/>
    </w:rPr>
  </w:style>
  <w:style w:type="paragraph" w:styleId="BalloonText">
    <w:name w:val="Balloon Text"/>
    <w:basedOn w:val="Normal"/>
    <w:semiHidden/>
    <w:rsid w:val="0069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50" Type="http://schemas.openxmlformats.org/officeDocument/2006/relationships/image" Target="media/image22.wmf"/><Relationship Id="rId51" Type="http://schemas.openxmlformats.org/officeDocument/2006/relationships/oleObject" Target="embeddings/Microsoft_Equation22.bin"/><Relationship Id="rId52" Type="http://schemas.openxmlformats.org/officeDocument/2006/relationships/image" Target="media/image23.wmf"/><Relationship Id="rId53" Type="http://schemas.openxmlformats.org/officeDocument/2006/relationships/oleObject" Target="embeddings/Microsoft_Equation23.bin"/><Relationship Id="rId54" Type="http://schemas.openxmlformats.org/officeDocument/2006/relationships/image" Target="media/image24.wmf"/><Relationship Id="rId55" Type="http://schemas.openxmlformats.org/officeDocument/2006/relationships/oleObject" Target="embeddings/Microsoft_Equation24.bin"/><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17.wmf"/><Relationship Id="rId41" Type="http://schemas.openxmlformats.org/officeDocument/2006/relationships/oleObject" Target="embeddings/Microsoft_Equation17.bin"/><Relationship Id="rId42" Type="http://schemas.openxmlformats.org/officeDocument/2006/relationships/image" Target="media/image18.wmf"/><Relationship Id="rId43" Type="http://schemas.openxmlformats.org/officeDocument/2006/relationships/oleObject" Target="embeddings/Microsoft_Equation18.bin"/><Relationship Id="rId44" Type="http://schemas.openxmlformats.org/officeDocument/2006/relationships/image" Target="media/image19.wmf"/><Relationship Id="rId45" Type="http://schemas.openxmlformats.org/officeDocument/2006/relationships/oleObject" Target="embeddings/Microsoft_Equation19.bin"/><Relationship Id="rId46" Type="http://schemas.openxmlformats.org/officeDocument/2006/relationships/image" Target="media/image20.wmf"/><Relationship Id="rId47" Type="http://schemas.openxmlformats.org/officeDocument/2006/relationships/oleObject" Target="embeddings/Microsoft_Equation20.bin"/><Relationship Id="rId48" Type="http://schemas.openxmlformats.org/officeDocument/2006/relationships/image" Target="media/image21.wmf"/><Relationship Id="rId49" Type="http://schemas.openxmlformats.org/officeDocument/2006/relationships/oleObject" Target="embeddings/Microsoft_Equation2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30" Type="http://schemas.openxmlformats.org/officeDocument/2006/relationships/image" Target="media/image12.wmf"/><Relationship Id="rId31" Type="http://schemas.openxmlformats.org/officeDocument/2006/relationships/oleObject" Target="embeddings/Microsoft_Equation12.bin"/><Relationship Id="rId32" Type="http://schemas.openxmlformats.org/officeDocument/2006/relationships/image" Target="media/image13.wmf"/><Relationship Id="rId33" Type="http://schemas.openxmlformats.org/officeDocument/2006/relationships/oleObject" Target="embeddings/Microsoft_Equation13.bin"/><Relationship Id="rId34" Type="http://schemas.openxmlformats.org/officeDocument/2006/relationships/image" Target="media/image14.wmf"/><Relationship Id="rId35" Type="http://schemas.openxmlformats.org/officeDocument/2006/relationships/oleObject" Target="embeddings/Microsoft_Equation14.bin"/><Relationship Id="rId36" Type="http://schemas.openxmlformats.org/officeDocument/2006/relationships/image" Target="media/image15.wmf"/><Relationship Id="rId37" Type="http://schemas.openxmlformats.org/officeDocument/2006/relationships/oleObject" Target="embeddings/Microsoft_Equation15.bin"/><Relationship Id="rId38" Type="http://schemas.openxmlformats.org/officeDocument/2006/relationships/image" Target="media/image16.wmf"/><Relationship Id="rId39" Type="http://schemas.openxmlformats.org/officeDocument/2006/relationships/oleObject" Target="embeddings/Microsoft_Equation16.bin"/><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oleObject" Target="embeddings/Microsoft_Equation11.bin"/><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ISIPLIN\BESPY\HNTMK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\DISIPLIN\BESPY\HNTMKL1.dot</Template>
  <TotalTime>0</TotalTime>
  <Pages>13</Pages>
  <Words>5431</Words>
  <Characters>30962</Characters>
  <Application>Microsoft Macintosh Word</Application>
  <DocSecurity>0</DocSecurity>
  <Lines>258</Lines>
  <Paragraphs>72</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sv-journ</vt:lpstr>
      <vt:lpstr>sv-journ</vt:lpstr>
    </vt:vector>
  </TitlesOfParts>
  <Company>Springer Verlag</Company>
  <LinksUpToDate>false</LinksUpToDate>
  <CharactersWithSpaces>36321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sv-journ</dc:title>
  <dc:subject/>
  <dc:creator>User</dc:creator>
  <cp:keywords/>
  <dc:description>Copyright Springer-Verlag Heidelberg Berlin 2002</dc:description>
  <cp:lastModifiedBy>sumit chourasia</cp:lastModifiedBy>
  <cp:revision>2</cp:revision>
  <cp:lastPrinted>2007-01-14T08:16:00Z</cp:lastPrinted>
  <dcterms:created xsi:type="dcterms:W3CDTF">2017-04-20T12:18:00Z</dcterms:created>
  <dcterms:modified xsi:type="dcterms:W3CDTF">2017-04-20T12:18:00Z</dcterms:modified>
</cp:coreProperties>
</file>