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800"/>
      </w:pPr>
      <w:r>
        <w:rPr>
          <w:b/>
          <w:bCs/>
          <w:color w:val="141A29"/>
          <w:sz w:val="48"/>
          <w:szCs w:val="48"/>
        </w:rPr>
        <w:t xml:space="preserve">LEGALDOC BJ</w:t>
      </w:r>
    </w:p>
    <w:p>
      <w:pPr>
        <w:spacing w:after="400"/>
      </w:pPr>
      <w:r>
        <w:rPr>
          <w:b/>
          <w:bCs/>
          <w:color w:val="B08B2E"/>
          <w:sz w:val="28"/>
          <w:szCs w:val="28"/>
        </w:rPr>
        <w:t xml:space="preserve">Analyse du besoin, audit de l'existant et feuille de route produit</w:t>
      </w:r>
    </w:p>
    <w:p>
      <w:pPr>
        <w:spacing w:after="60"/>
      </w:pPr>
      <w:r>
        <w:rPr>
          <w:i/>
          <w:iCs/>
          <w:color w:val="5B6472"/>
          <w:sz w:val="20"/>
          <w:szCs w:val="20"/>
        </w:rPr>
        <w:t xml:space="preserve">Document préparé à partir de :</w:t>
      </w:r>
    </w:p>
    <w:p>
      <w:pPr>
        <w:pStyle w:val="ListParagraph"/>
        <w:numPr>
          <w:ilvl w:val="0"/>
          <w:numId w:val="2"/>
        </w:numPr>
        <w:spacing w:after="80" w:line="280"/>
      </w:pPr>
      <w:r>
        <w:t xml:space="preserve">Architecture_LegalTech_Benin_inspiree_de_Legalstart.docx (cahier des charges client)</w:t>
      </w:r>
    </w:p>
    <w:p>
      <w:pPr>
        <w:pStyle w:val="ListParagraph"/>
        <w:numPr>
          <w:ilvl w:val="0"/>
          <w:numId w:val="2"/>
        </w:numPr>
        <w:spacing w:after="80" w:line="280"/>
      </w:pPr>
      <w:r>
        <w:t xml:space="preserve">Le site déployé : legaldocbj.vercel.app</w:t>
      </w:r>
    </w:p>
    <w:p>
      <w:pPr>
        <w:pStyle w:val="ListParagraph"/>
        <w:numPr>
          <w:ilvl w:val="0"/>
          <w:numId w:val="2"/>
        </w:numPr>
        <w:spacing w:after="80" w:line="280"/>
      </w:pPr>
      <w:r>
        <w:t xml:space="preserve">Le dépôt de code source : github.com/Bull1016/legaldocbj</w:t>
      </w:r>
    </w:p>
    <w:p>
      <w:pPr>
        <w:spacing w:before="300"/>
      </w:pPr>
      <w:r>
        <w:rPr>
          <w:color w:val="5B6472"/>
          <w:sz w:val="20"/>
          <w:szCs w:val="20"/>
        </w:rPr>
        <w:t xml:space="preserve">Août 2026</w:t>
      </w:r>
    </w:p>
    <w:p>
      <w:pPr>
        <w:pageBreakBefore/>
      </w:pPr>
      <w:r>
        <w:br/>
        <w:t xml:space="preserve"/>
      </w:r>
    </w:p>
    <w:p>
      <w:pPr>
        <w:pStyle w:val="Heading1"/>
        <w:spacing w:after="200" w:before="400"/>
      </w:pPr>
      <w:r>
        <w:t xml:space="preserve">1. Résumé exécutif</w:t>
      </w:r>
    </w:p>
    <w:p>
      <w:pPr>
        <w:spacing w:after="150" w:line="300"/>
      </w:pPr>
      <w:r>
        <w:t xml:space="preserve">Le client souhaite une plateforme LegalTech béninoise complète, inspirée de Legalstart : un point d'entrée numérique unique pour créer une entreprise, gérer ses formalités, obtenir des documents administratifs et juridiques, être accompagné par des juristes, et suivre l'ensemble de son "dossier juridique" dans la durée.</w:t>
      </w:r>
    </w:p>
    <w:p>
      <w:pPr>
        <w:spacing w:after="150" w:line="300"/>
      </w:pPr>
      <w:r>
        <w:t xml:space="preserve">Ce qui existe aujourd'hui (LegalDoc BJ) est un socle technique solide mais fonctionnellement restreint : une plateforme de demande de 3 documents administratifs (casier judiciaire, certificat de nationalité, certificat de résidence), avec authentification, upload de pièces, suivi de statut et un back-office avec gestion des rôles (client / agent / admin) et un éditeur de formulaires dynamiques. C'est un excellent MVP "guichet documentaire", mais cela ne couvre qu'une petite partie de la vision du cahier des charges : la création d'entreprise, les formalités de modification/cessation, le conseil juridique, les modèles de documents, les simulateurs, le paiement en ligne et l'espace "mon entreprise" restent à construire.</w:t>
      </w:r>
    </w:p>
    <w:p>
      <w:pPr>
        <w:spacing w:after="150" w:line="300"/>
      </w:pPr>
      <w:r>
        <w:t xml:space="preserve">Ce document : (1) liste toutes les fonctionnalités attendues, classées par priorité, avec pour chacune le quoi / pourquoi / comment ; (2) détaille les règles de sécurité et de tests indispensables vu la sensibilité des données traitées (identité, casier judiciaire, documents d'entreprise) ; (3) propose une roadmap séquencée, phase par phase, pour aller de l'existant à la vision cible.</w:t>
      </w:r>
    </w:p>
    <w:p>
      <w:pPr>
        <w:pStyle w:val="Heading1"/>
        <w:spacing w:after="200" w:before="400"/>
      </w:pPr>
      <w:r>
        <w:t xml:space="preserve">2. Analyse du besoin client</w:t>
      </w:r>
    </w:p>
    <w:p>
      <w:pPr>
        <w:spacing w:after="150" w:line="300"/>
      </w:pPr>
      <w:r>
        <w:t xml:space="preserve">Le cahier des charges positionne le produit avec la promesse « Votre entreprise. Vos démarches. En quelques clics. » et définit une architecture en 7 grandes rubriques :</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600"/>
        <w:gridCol w:w="6900"/>
      </w:tblGrid>
      <w:tr>
        <w:trPr>
          <w:tblHeader/>
        </w:trPr>
        <w:tc>
          <w:tcPr>
            <w:tcW w:type="dxa" w:w="2600"/>
            <w:shd w:fill="141A29" w:val="clear"/>
          </w:tcPr>
          <w:p>
            <w:r>
              <w:rPr>
                <w:b/>
                <w:bCs/>
                <w:color w:val="FFFFFF"/>
                <w:sz w:val="20"/>
                <w:szCs w:val="20"/>
              </w:rPr>
              <w:t xml:space="preserve">Rubrique</w:t>
            </w:r>
          </w:p>
        </w:tc>
        <w:tc>
          <w:tcPr>
            <w:tcW w:type="dxa" w:w="6900"/>
            <w:shd w:fill="141A29" w:val="clear"/>
          </w:tcPr>
          <w:p>
            <w:r>
              <w:rPr>
                <w:b/>
                <w:bCs/>
                <w:color w:val="FFFFFF"/>
                <w:sz w:val="20"/>
                <w:szCs w:val="20"/>
              </w:rPr>
              <w:t xml:space="preserve">Fonction attendue</w:t>
            </w:r>
          </w:p>
        </w:tc>
      </w:tr>
      <w:tr>
        <w:tc>
          <w:tcPr>
            <w:tcW w:type="dxa" w:w="2600"/>
            <w:shd w:fill="FFFFFF" w:val="clear"/>
          </w:tcPr>
          <w:p>
            <w:pPr>
              <w:spacing w:line="260"/>
            </w:pPr>
            <w:r>
              <w:rPr>
                <w:sz w:val="20"/>
                <w:szCs w:val="20"/>
              </w:rPr>
              <w:t xml:space="preserve">Accueil</w:t>
            </w:r>
          </w:p>
        </w:tc>
        <w:tc>
          <w:tcPr>
            <w:tcW w:type="dxa" w:w="6900"/>
            <w:shd w:fill="FFFFFF" w:val="clear"/>
          </w:tcPr>
          <w:p>
            <w:pPr>
              <w:spacing w:line="260"/>
            </w:pPr>
            <w:r>
              <w:rPr>
                <w:sz w:val="20"/>
                <w:szCs w:val="20"/>
              </w:rPr>
              <w:t xml:space="preserve">Présenter la plateforme, rassurer, orienter rapidement l'utilisateur</w:t>
            </w:r>
          </w:p>
        </w:tc>
      </w:tr>
      <w:tr>
        <w:tc>
          <w:tcPr>
            <w:tcW w:type="dxa" w:w="2600"/>
            <w:shd w:fill="F2F2F2" w:val="clear"/>
          </w:tcPr>
          <w:p>
            <w:pPr>
              <w:spacing w:line="260"/>
            </w:pPr>
            <w:r>
              <w:rPr>
                <w:sz w:val="20"/>
                <w:szCs w:val="20"/>
              </w:rPr>
              <w:t xml:space="preserve">Créer mon entreprise</w:t>
            </w:r>
          </w:p>
        </w:tc>
        <w:tc>
          <w:tcPr>
            <w:tcW w:type="dxa" w:w="6900"/>
            <w:shd w:fill="F2F2F2" w:val="clear"/>
          </w:tcPr>
          <w:p>
            <w:pPr>
              <w:spacing w:line="260"/>
            </w:pPr>
            <w:r>
              <w:rPr>
                <w:sz w:val="20"/>
                <w:szCs w:val="20"/>
              </w:rPr>
              <w:t xml:space="preserve">Constitution : Établissement, SARL/SUARL, SAS, SA, GIE… + quiz de forme juridique</w:t>
            </w:r>
          </w:p>
        </w:tc>
      </w:tr>
      <w:tr>
        <w:tc>
          <w:tcPr>
            <w:tcW w:type="dxa" w:w="2600"/>
            <w:shd w:fill="FFFFFF" w:val="clear"/>
          </w:tcPr>
          <w:p>
            <w:pPr>
              <w:spacing w:line="260"/>
            </w:pPr>
            <w:r>
              <w:rPr>
                <w:sz w:val="20"/>
                <w:szCs w:val="20"/>
              </w:rPr>
              <w:t xml:space="preserve">Mes formalités</w:t>
            </w:r>
          </w:p>
        </w:tc>
        <w:tc>
          <w:tcPr>
            <w:tcW w:type="dxa" w:w="6900"/>
            <w:shd w:fill="FFFFFF" w:val="clear"/>
          </w:tcPr>
          <w:p>
            <w:pPr>
              <w:spacing w:line="260"/>
            </w:pPr>
            <w:r>
              <w:rPr>
                <w:sz w:val="20"/>
                <w:szCs w:val="20"/>
              </w:rPr>
              <w:t xml:space="preserve">Avant de créer / Créer / Modifier / Cesser (dirigeant, adresse, objet social, capital, cession…)</w:t>
            </w:r>
          </w:p>
        </w:tc>
      </w:tr>
      <w:tr>
        <w:tc>
          <w:tcPr>
            <w:tcW w:type="dxa" w:w="2600"/>
            <w:shd w:fill="F2F2F2" w:val="clear"/>
          </w:tcPr>
          <w:p>
            <w:pPr>
              <w:spacing w:line="260"/>
            </w:pPr>
            <w:r>
              <w:rPr>
                <w:sz w:val="20"/>
                <w:szCs w:val="20"/>
              </w:rPr>
              <w:t xml:space="preserve">Documents</w:t>
            </w:r>
          </w:p>
        </w:tc>
        <w:tc>
          <w:tcPr>
            <w:tcW w:type="dxa" w:w="6900"/>
            <w:shd w:fill="F2F2F2" w:val="clear"/>
          </w:tcPr>
          <w:p>
            <w:pPr>
              <w:spacing w:line="260"/>
            </w:pPr>
            <w:r>
              <w:rPr>
                <w:sz w:val="20"/>
                <w:szCs w:val="20"/>
              </w:rPr>
              <w:t xml:space="preserve">Documents administratifs, d'entreprise (RCCM, IFU, CNSS, fiscaux) et juridiques (statuts, PV, contrats)</w:t>
            </w:r>
          </w:p>
        </w:tc>
      </w:tr>
      <w:tr>
        <w:tc>
          <w:tcPr>
            <w:tcW w:type="dxa" w:w="2600"/>
            <w:shd w:fill="FFFFFF" w:val="clear"/>
          </w:tcPr>
          <w:p>
            <w:pPr>
              <w:spacing w:line="260"/>
            </w:pPr>
            <w:r>
              <w:rPr>
                <w:sz w:val="20"/>
                <w:szCs w:val="20"/>
              </w:rPr>
              <w:t xml:space="preserve">Solutions entreprises</w:t>
            </w:r>
          </w:p>
        </w:tc>
        <w:tc>
          <w:tcPr>
            <w:tcW w:type="dxa" w:w="6900"/>
            <w:shd w:fill="FFFFFF" w:val="clear"/>
          </w:tcPr>
          <w:p>
            <w:pPr>
              <w:spacing w:line="260"/>
            </w:pPr>
            <w:r>
              <w:rPr>
                <w:sz w:val="20"/>
                <w:szCs w:val="20"/>
              </w:rPr>
              <w:t xml:space="preserve">Secrétariat juridique, rédaction de contrats, conformité, diagnostic</w:t>
            </w:r>
          </w:p>
        </w:tc>
      </w:tr>
      <w:tr>
        <w:tc>
          <w:tcPr>
            <w:tcW w:type="dxa" w:w="2600"/>
            <w:shd w:fill="F2F2F2" w:val="clear"/>
          </w:tcPr>
          <w:p>
            <w:pPr>
              <w:spacing w:line="260"/>
            </w:pPr>
            <w:r>
              <w:rPr>
                <w:sz w:val="20"/>
                <w:szCs w:val="20"/>
              </w:rPr>
              <w:t xml:space="preserve">Conseil juridique</w:t>
            </w:r>
          </w:p>
        </w:tc>
        <w:tc>
          <w:tcPr>
            <w:tcW w:type="dxa" w:w="6900"/>
            <w:shd w:fill="F2F2F2" w:val="clear"/>
          </w:tcPr>
          <w:p>
            <w:pPr>
              <w:spacing w:line="260"/>
            </w:pPr>
            <w:r>
              <w:rPr>
                <w:sz w:val="20"/>
                <w:szCs w:val="20"/>
              </w:rPr>
              <w:t xml:space="preserve">Question ciblée, consultation, accompagnement personnalisé par des juristes</w:t>
            </w:r>
          </w:p>
        </w:tc>
      </w:tr>
      <w:tr>
        <w:tc>
          <w:tcPr>
            <w:tcW w:type="dxa" w:w="2600"/>
            <w:shd w:fill="FFFFFF" w:val="clear"/>
          </w:tcPr>
          <w:p>
            <w:pPr>
              <w:spacing w:line="260"/>
            </w:pPr>
            <w:r>
              <w:rPr>
                <w:sz w:val="20"/>
                <w:szCs w:val="20"/>
              </w:rPr>
              <w:t xml:space="preserve">Ressources</w:t>
            </w:r>
          </w:p>
        </w:tc>
        <w:tc>
          <w:tcPr>
            <w:tcW w:type="dxa" w:w="6900"/>
            <w:shd w:fill="FFFFFF" w:val="clear"/>
          </w:tcPr>
          <w:p>
            <w:pPr>
              <w:spacing w:line="260"/>
            </w:pPr>
            <w:r>
              <w:rPr>
                <w:sz w:val="20"/>
                <w:szCs w:val="20"/>
              </w:rPr>
              <w:t xml:space="preserve">Guides, actualités, FAQ, droit OHADA/fiscal/travail/numérique</w:t>
            </w:r>
          </w:p>
        </w:tc>
      </w:tr>
    </w:tbl>
    <w:p>
      <w:pPr>
        <w:spacing w:before="200"/>
      </w:pPr>
    </w:p>
    <w:p>
      <w:pPr>
        <w:spacing w:after="150" w:line="300"/>
      </w:pPr>
      <w:r>
        <w:t xml:space="preserve">À cela s'ajoutent des éléments transverses essentiels du cahier des charges :</w:t>
      </w:r>
    </w:p>
    <w:p>
      <w:pPr>
        <w:pStyle w:val="ListParagraph"/>
        <w:numPr>
          <w:ilvl w:val="0"/>
          <w:numId w:val="2"/>
        </w:numPr>
        <w:spacing w:after="80" w:line="280"/>
      </w:pPr>
      <w:r>
        <w:t xml:space="preserve">Un espace client / tableau de bord centralisant démarches, entreprises, documents, obligations, paiements et messages ;</w:t>
      </w:r>
    </w:p>
    <w:p>
      <w:pPr>
        <w:pStyle w:val="ListParagraph"/>
        <w:numPr>
          <w:ilvl w:val="0"/>
          <w:numId w:val="2"/>
        </w:numPr>
        <w:spacing w:after="80" w:line="280"/>
      </w:pPr>
      <w:r>
        <w:t xml:space="preserve">Une bibliothèque de modèles juridiques téléchargeables ou personnalisables ;</w:t>
      </w:r>
    </w:p>
    <w:p>
      <w:pPr>
        <w:pStyle w:val="ListParagraph"/>
        <w:numPr>
          <w:ilvl w:val="0"/>
          <w:numId w:val="2"/>
        </w:numPr>
        <w:spacing w:after="80" w:line="280"/>
      </w:pPr>
      <w:r>
        <w:t xml:space="preserve">Des simulateurs gratuits (forme juridique, coût de création, capital, diagnostic de conformité) ;</w:t>
      </w:r>
    </w:p>
    <w:p>
      <w:pPr>
        <w:pStyle w:val="ListParagraph"/>
        <w:numPr>
          <w:ilvl w:val="0"/>
          <w:numId w:val="2"/>
        </w:numPr>
        <w:spacing w:after="80" w:line="280"/>
      </w:pPr>
      <w:r>
        <w:t xml:space="preserve">Une grille tarifaire claire, avec séparation honoraires / frais administratifs / frais de tiers ;</w:t>
      </w:r>
    </w:p>
    <w:p>
      <w:pPr>
        <w:pStyle w:val="ListParagraph"/>
        <w:numPr>
          <w:ilvl w:val="0"/>
          <w:numId w:val="2"/>
        </w:numPr>
        <w:spacing w:after="80" w:line="280"/>
      </w:pPr>
      <w:r>
        <w:t xml:space="preserve">Un principe de transparence fort : distinguer ce qui est délivré directement, préparé par la plateforme, ou obtenu auprès d'une administration.</w:t>
      </w:r>
    </w:p>
    <w:p>
      <w:pPr>
        <w:spacing w:after="150" w:line="300"/>
      </w:pPr>
      <w:r>
        <w:t xml:space="preserve">En synthèse, le produit cible n'est pas un simple site de formulaires mais un parcours complet : comprendre son besoin → préparer sa démarche → soumettre ses informations → être accompagné → suivre son dossier → conserver ses documents → recevoir ses alertes et obligations.</w:t>
      </w:r>
    </w:p>
    <w:p>
      <w:pPr>
        <w:pStyle w:val="Heading1"/>
        <w:spacing w:after="200" w:before="400"/>
      </w:pPr>
      <w:r>
        <w:t xml:space="preserve">3. Audit de l'existant</w:t>
      </w:r>
    </w:p>
    <w:p>
      <w:pPr>
        <w:pStyle w:val="Heading2"/>
        <w:spacing w:after="150" w:before="300"/>
      </w:pPr>
      <w:r>
        <w:t xml:space="preserve">3.1 Stack technique</w:t>
      </w:r>
    </w:p>
    <w:p>
      <w:pPr>
        <w:spacing w:after="150" w:line="300"/>
      </w:pPr>
      <w:r>
        <w:t xml:space="preserve">Le projet est un monolithe Next.js (App Router) bien structuré pour une v1 :</w:t>
      </w:r>
    </w:p>
    <w:p>
      <w:pPr>
        <w:pStyle w:val="ListParagraph"/>
        <w:numPr>
          <w:ilvl w:val="0"/>
          <w:numId w:val="2"/>
        </w:numPr>
        <w:spacing w:after="80" w:line="280"/>
      </w:pPr>
      <w:r>
        <w:rPr>
          <w:b/>
          <w:bCs/>
        </w:rPr>
        <w:t xml:space="preserve">Next.js (App Router)</w:t>
      </w:r>
      <w:r>
        <w:t xml:space="preserve"> — SSR, Server Actions, Turbopack.</w:t>
      </w:r>
    </w:p>
    <w:p>
      <w:pPr>
        <w:pStyle w:val="ListParagraph"/>
        <w:numPr>
          <w:ilvl w:val="0"/>
          <w:numId w:val="2"/>
        </w:numPr>
        <w:spacing w:after="80" w:line="280"/>
      </w:pPr>
      <w:r>
        <w:rPr>
          <w:b/>
          <w:bCs/>
        </w:rPr>
        <w:t xml:space="preserve">Drizzle ORM + PostgreSQL</w:t>
      </w:r>
      <w:r>
        <w:t xml:space="preserve"> — accès type-safe à la base via un pool `pg`.</w:t>
      </w:r>
    </w:p>
    <w:p>
      <w:pPr>
        <w:pStyle w:val="ListParagraph"/>
        <w:numPr>
          <w:ilvl w:val="0"/>
          <w:numId w:val="2"/>
        </w:numPr>
        <w:spacing w:after="80" w:line="280"/>
      </w:pPr>
      <w:r>
        <w:rPr>
          <w:b/>
          <w:bCs/>
        </w:rPr>
        <w:t xml:space="preserve">Better Auth</w:t>
      </w:r>
      <w:r>
        <w:t xml:space="preserve"> — authentification e-mail / mot de passe, sessions, protection CSRF.</w:t>
      </w:r>
    </w:p>
    <w:p>
      <w:pPr>
        <w:pStyle w:val="ListParagraph"/>
        <w:numPr>
          <w:ilvl w:val="0"/>
          <w:numId w:val="2"/>
        </w:numPr>
        <w:spacing w:after="80" w:line="280"/>
      </w:pPr>
      <w:r>
        <w:rPr>
          <w:b/>
          <w:bCs/>
        </w:rPr>
        <w:t xml:space="preserve">Tailwind CSS v4 + Shadcn/ui</w:t>
      </w:r>
      <w:r>
        <w:t xml:space="preserve"> — UI moderne et responsive.</w:t>
      </w:r>
    </w:p>
    <w:p>
      <w:pPr>
        <w:pStyle w:val="ListParagraph"/>
        <w:numPr>
          <w:ilvl w:val="0"/>
          <w:numId w:val="2"/>
        </w:numPr>
        <w:spacing w:after="80" w:line="280"/>
      </w:pPr>
      <w:r>
        <w:rPr>
          <w:b/>
          <w:bCs/>
        </w:rPr>
        <w:t xml:space="preserve">Vercel Blob</w:t>
      </w:r>
      <w:r>
        <w:t xml:space="preserve"> — stockage des pièces jointes téléversées.</w:t>
      </w:r>
    </w:p>
    <w:p>
      <w:pPr>
        <w:pStyle w:val="Heading2"/>
        <w:spacing w:after="150" w:before="300"/>
      </w:pPr>
      <w:r>
        <w:t xml:space="preserve">3.2 Fonctionnalités déjà livrées</w:t>
      </w:r>
    </w:p>
    <w:p>
      <w:pPr>
        <w:pStyle w:val="ListParagraph"/>
        <w:numPr>
          <w:ilvl w:val="0"/>
          <w:numId w:val="2"/>
        </w:numPr>
        <w:spacing w:after="80" w:line="280"/>
      </w:pPr>
      <w:r>
        <w:t xml:space="preserve">Catalogue public de 3 démarches avec prix affiché (casier judiciaire, certificat de nationalité, certificat de résidence) ;</w:t>
      </w:r>
    </w:p>
    <w:p>
      <w:pPr>
        <w:pStyle w:val="ListParagraph"/>
        <w:numPr>
          <w:ilvl w:val="0"/>
          <w:numId w:val="2"/>
        </w:numPr>
        <w:spacing w:after="80" w:line="280"/>
      </w:pPr>
      <w:r>
        <w:t xml:space="preserve">Inscription / connexion sécurisées ;</w:t>
      </w:r>
    </w:p>
    <w:p>
      <w:pPr>
        <w:pStyle w:val="ListParagraph"/>
        <w:numPr>
          <w:ilvl w:val="0"/>
          <w:numId w:val="2"/>
        </w:numPr>
        <w:spacing w:after="80" w:line="280"/>
      </w:pPr>
      <w:r>
        <w:t xml:space="preserve">Formulaires de demande dynamiques + upload de pièces justificatives ;</w:t>
      </w:r>
    </w:p>
    <w:p>
      <w:pPr>
        <w:pStyle w:val="ListParagraph"/>
        <w:numPr>
          <w:ilvl w:val="0"/>
          <w:numId w:val="2"/>
        </w:numPr>
        <w:spacing w:after="80" w:line="280"/>
      </w:pPr>
      <w:r>
        <w:t xml:space="preserve">Gestion de brouillons (sauvegarde avant soumission) ;</w:t>
      </w:r>
    </w:p>
    <w:p>
      <w:pPr>
        <w:pStyle w:val="ListParagraph"/>
        <w:numPr>
          <w:ilvl w:val="0"/>
          <w:numId w:val="2"/>
        </w:numPr>
        <w:spacing w:after="80" w:line="280"/>
      </w:pPr>
      <w:r>
        <w:t xml:space="preserve">Suivi de statut et historique côté client ;</w:t>
      </w:r>
    </w:p>
    <w:p>
      <w:pPr>
        <w:pStyle w:val="ListParagraph"/>
        <w:numPr>
          <w:ilvl w:val="0"/>
          <w:numId w:val="2"/>
        </w:numPr>
        <w:spacing w:after="80" w:line="280"/>
      </w:pPr>
      <w:r>
        <w:t xml:space="preserve">Back-office /admin : tableau de bord, liste des demandes, détail, assignation à un agent, changement de statut avec message au client ;</w:t>
      </w:r>
    </w:p>
    <w:p>
      <w:pPr>
        <w:pStyle w:val="ListParagraph"/>
        <w:numPr>
          <w:ilvl w:val="0"/>
          <w:numId w:val="2"/>
        </w:numPr>
        <w:spacing w:after="80" w:line="280"/>
      </w:pPr>
      <w:r>
        <w:t xml:space="preserve">Gestion des utilisateurs et des rôles (client / agent / admin), avec verrou empêchant un utilisateur de modifier son propre rôle ;</w:t>
      </w:r>
    </w:p>
    <w:p>
      <w:pPr>
        <w:pStyle w:val="ListParagraph"/>
        <w:numPr>
          <w:ilvl w:val="0"/>
          <w:numId w:val="2"/>
        </w:numPr>
        <w:spacing w:after="80" w:line="280"/>
      </w:pPr>
      <w:r>
        <w:t xml:space="preserve">Éditeur de démarches et de formulaires dynamiques (types de champs configurables) réservé aux admins.</w:t>
      </w:r>
    </w:p>
    <w:p>
      <w:pPr>
        <w:pStyle w:val="Heading2"/>
        <w:spacing w:after="150" w:before="300"/>
      </w:pPr>
      <w:r>
        <w:t xml:space="preserve">3.3 Écarts majeurs par rapport au cahier des charges</w:t>
      </w:r>
    </w:p>
    <w:p>
      <w:pPr>
        <w:spacing w:after="150" w:line="300"/>
      </w:pPr>
      <w:r>
        <w:t xml:space="preserve">L'existant couvre uniquement une sous-partie de la rubrique « Documents administratifs ». Sont totalement absents à ce stade :</w:t>
      </w:r>
    </w:p>
    <w:p>
      <w:pPr>
        <w:pStyle w:val="ListParagraph"/>
        <w:numPr>
          <w:ilvl w:val="0"/>
          <w:numId w:val="2"/>
        </w:numPr>
        <w:spacing w:after="80" w:line="280"/>
      </w:pPr>
      <w:r>
        <w:t xml:space="preserve">Le paiement en ligne (les prix sont affichés mais aucun encaissement n'apparaît dans le parcours ni dans le code documenté) ;</w:t>
      </w:r>
    </w:p>
    <w:p>
      <w:pPr>
        <w:pStyle w:val="ListParagraph"/>
        <w:numPr>
          <w:ilvl w:val="0"/>
          <w:numId w:val="2"/>
        </w:numPr>
        <w:spacing w:after="80" w:line="280"/>
      </w:pPr>
      <w:r>
        <w:t xml:space="preserve">La création d'entreprise et le module « Mes formalités » (créer / modifier / cesser) ;</w:t>
      </w:r>
    </w:p>
    <w:p>
      <w:pPr>
        <w:pStyle w:val="ListParagraph"/>
        <w:numPr>
          <w:ilvl w:val="0"/>
          <w:numId w:val="2"/>
        </w:numPr>
        <w:spacing w:after="80" w:line="280"/>
      </w:pPr>
      <w:r>
        <w:t xml:space="preserve">Le conseil juridique (question, consultation, accompagnement) ;</w:t>
      </w:r>
    </w:p>
    <w:p>
      <w:pPr>
        <w:pStyle w:val="ListParagraph"/>
        <w:numPr>
          <w:ilvl w:val="0"/>
          <w:numId w:val="2"/>
        </w:numPr>
        <w:spacing w:after="80" w:line="280"/>
      </w:pPr>
      <w:r>
        <w:t xml:space="preserve">Les modèles juridiques téléchargeables/personnalisables ;</w:t>
      </w:r>
    </w:p>
    <w:p>
      <w:pPr>
        <w:pStyle w:val="ListParagraph"/>
        <w:numPr>
          <w:ilvl w:val="0"/>
          <w:numId w:val="2"/>
        </w:numPr>
        <w:spacing w:after="80" w:line="280"/>
      </w:pPr>
      <w:r>
        <w:t xml:space="preserve">Les simulateurs et le diagnostic juridique ;</w:t>
      </w:r>
    </w:p>
    <w:p>
      <w:pPr>
        <w:pStyle w:val="ListParagraph"/>
        <w:numPr>
          <w:ilvl w:val="0"/>
          <w:numId w:val="2"/>
        </w:numPr>
        <w:spacing w:after="80" w:line="280"/>
      </w:pPr>
      <w:r>
        <w:t xml:space="preserve">L'espace « Mon entreprise » (dossier juridique numérique permanent) ;</w:t>
      </w:r>
    </w:p>
    <w:p>
      <w:pPr>
        <w:pStyle w:val="ListParagraph"/>
        <w:numPr>
          <w:ilvl w:val="0"/>
          <w:numId w:val="2"/>
        </w:numPr>
        <w:spacing w:after="80" w:line="280"/>
      </w:pPr>
      <w:r>
        <w:t xml:space="preserve">Les ressources (blog, guides, FAQ étoffée, droit OHADA) ;</w:t>
      </w:r>
    </w:p>
    <w:p>
      <w:pPr>
        <w:pStyle w:val="ListParagraph"/>
        <w:numPr>
          <w:ilvl w:val="0"/>
          <w:numId w:val="2"/>
        </w:numPr>
        <w:spacing w:after="80" w:line="280"/>
      </w:pPr>
      <w:r>
        <w:t xml:space="preserve">Les notifications (e-mail/SMS/WhatsApp) et les alertes d'échéances/obligations ;</w:t>
      </w:r>
    </w:p>
    <w:p>
      <w:pPr>
        <w:pStyle w:val="ListParagraph"/>
        <w:numPr>
          <w:ilvl w:val="0"/>
          <w:numId w:val="2"/>
        </w:numPr>
        <w:spacing w:after="80" w:line="280"/>
      </w:pPr>
      <w:r>
        <w:t xml:space="preserve">La messagerie client ↔ juriste.</w:t>
      </w:r>
    </w:p>
    <w:p>
      <w:pPr>
        <w:spacing w:after="150" w:line="300"/>
      </w:pPr>
      <w:r>
        <w:t xml:space="preserve">Cet audit sert de base à la priorisation ci-dessous : on part de l'existant, on le sécurise et on le complète avant d'élargir le périmètre fonctionnel.</w:t>
      </w:r>
    </w:p>
    <w:p>
      <w:pPr>
        <w:pStyle w:val="Heading1"/>
        <w:spacing w:after="200" w:before="400"/>
      </w:pPr>
      <w:r>
        <w:t xml:space="preserve">4. Méthode de priorisation</w:t>
      </w:r>
    </w:p>
    <w:p>
      <w:pPr>
        <w:spacing w:after="150" w:line="300"/>
      </w:pPr>
      <w:r>
        <w:t xml:space="preserve">Les fonctionnalités sont classées en 4 paliers :</w:t>
      </w:r>
    </w:p>
    <w:p>
      <w:pPr>
        <w:pStyle w:val="ListParagraph"/>
        <w:numPr>
          <w:ilvl w:val="0"/>
          <w:numId w:val="2"/>
        </w:numPr>
        <w:spacing w:after="80" w:line="280"/>
      </w:pPr>
      <w:r>
        <w:rPr>
          <w:b/>
          <w:bCs/>
        </w:rPr>
        <w:t xml:space="preserve">P0 — Fondations critiques : </w:t>
      </w:r>
      <w:r>
        <w:t xml:space="preserve">sans elles, le produit existant n'est pas commercialement ou légalement viable (paiement, notifications, conformité des données).</w:t>
      </w:r>
    </w:p>
    <w:p>
      <w:pPr>
        <w:pStyle w:val="ListParagraph"/>
        <w:numPr>
          <w:ilvl w:val="0"/>
          <w:numId w:val="2"/>
        </w:numPr>
        <w:spacing w:after="80" w:line="280"/>
      </w:pPr>
      <w:r>
        <w:rPr>
          <w:b/>
          <w:bCs/>
        </w:rPr>
        <w:t xml:space="preserve">P1 — Cœur de la proposition de valeur : </w:t>
      </w:r>
      <w:r>
        <w:t xml:space="preserve">ce qui transforme le "guichet documentaire" en véritable LegalTech (création d'entreprise, formalités, modèles, conseil juridique).</w:t>
      </w:r>
    </w:p>
    <w:p>
      <w:pPr>
        <w:pStyle w:val="ListParagraph"/>
        <w:numPr>
          <w:ilvl w:val="0"/>
          <w:numId w:val="2"/>
        </w:numPr>
        <w:spacing w:after="80" w:line="280"/>
      </w:pPr>
      <w:r>
        <w:rPr>
          <w:b/>
          <w:bCs/>
        </w:rPr>
        <w:t xml:space="preserve">P2 — Différenciation et rétention : </w:t>
      </w:r>
      <w:r>
        <w:t xml:space="preserve">ce qui fidélise et crée de la valeur récurrente (simulateurs, ressources, dossier d'entreprise, alertes).</w:t>
      </w:r>
    </w:p>
    <w:p>
      <w:pPr>
        <w:pStyle w:val="ListParagraph"/>
        <w:numPr>
          <w:ilvl w:val="0"/>
          <w:numId w:val="2"/>
        </w:numPr>
        <w:spacing w:after="80" w:line="280"/>
      </w:pPr>
      <w:r>
        <w:rPr>
          <w:b/>
          <w:bCs/>
        </w:rPr>
        <w:t xml:space="preserve">P3 — Extension : </w:t>
      </w:r>
      <w:r>
        <w:t xml:space="preserve">scale, nouveaux marchés, automatisation avancée.</w:t>
      </w:r>
    </w:p>
    <w:p>
      <w:pPr>
        <w:pStyle w:val="Heading1"/>
        <w:spacing w:after="200" w:before="400"/>
      </w:pPr>
      <w:r>
        <w:t xml:space="preserve">5. Fonctionnalités détaillées, par priorité</w:t>
      </w:r>
    </w:p>
    <w:p>
      <w:pPr>
        <w:pStyle w:val="Heading2"/>
        <w:spacing w:after="150" w:before="300"/>
      </w:pPr>
      <w:r>
        <w:t xml:space="preserve">5.1 — P0 : Fondations critiques</w:t>
      </w:r>
    </w:p>
    <w:p>
      <w:pPr>
        <w:spacing w:after="100" w:before="260"/>
      </w:pPr>
      <w:r>
        <w:rPr>
          <w:b/>
          <w:bCs/>
          <w:color w:val="141A29"/>
          <w:sz w:val="24"/>
          <w:szCs w:val="24"/>
        </w:rPr>
        <w:t xml:space="preserve">5.1.1 Paiement en ligne (Mobile Money + carte)</w:t>
      </w:r>
      <w:r>
        <w:t xml:space="preserve">   </w:t>
      </w:r>
      <w:r>
        <w:rPr>
          <w:b/>
          <w:bCs/>
          <w:color w:val="FFFFFF"/>
          <w:sz w:val="18"/>
          <w:szCs w:val="18"/>
          <w:shd w:fill="C0392B" w:val="clear"/>
        </w:rPr>
        <w:t xml:space="preserve">P0 — BLOQUANT</w:t>
      </w:r>
    </w:p>
    <w:p>
      <w:pPr>
        <w:spacing w:after="60"/>
      </w:pPr>
      <w:r>
        <w:rPr>
          <w:b/>
          <w:bCs/>
        </w:rPr>
        <w:t xml:space="preserve">Quoi — </w:t>
      </w:r>
      <w:r>
        <w:t xml:space="preserve">Intégrer un encaissement en ligne au moment de la soumission d'une démarche : Mobile Money (MTN MoMo, Moov Money — les moyens de paiement dominants au Bénin) et carte bancaire en secours, via un agrégateur local (ex. Kkiapay, Fedapay, ou CinetPay) ou une PSP internationale compatible.</w:t>
      </w:r>
    </w:p>
    <w:p>
      <w:pPr>
        <w:spacing w:after="60"/>
      </w:pPr>
      <w:r>
        <w:rPr>
          <w:b/>
          <w:bCs/>
        </w:rPr>
        <w:t xml:space="preserve">Pourquoi — </w:t>
      </w:r>
      <w:r>
        <w:t xml:space="preserve">Le catalogue affiche déjà des prix, mais rien n'indique comment le client paie. Sans paiement en ligne intégré, chaque demande nécessite une relance manuelle ou un paiement hors-ligne, ce qui casse la promesse « en quelques clics » et complique la comptabilité et la traçabilité des honoraires vs frais administratifs.</w:t>
      </w:r>
    </w:p>
    <w:p>
      <w:pPr>
        <w:spacing w:after="200"/>
      </w:pPr>
      <w:r>
        <w:rPr>
          <w:b/>
          <w:bCs/>
        </w:rPr>
        <w:t xml:space="preserve">Comment — </w:t>
      </w:r>
      <w:r>
        <w:t xml:space="preserve">Ajouter une étape de paiement après soumission du formulaire (Server Action sécurisée qui crée une transaction en base avant redirection vers le PSP), gérer les webhooks de confirmation de paiement de façon idempotente, stocker un statut de paiement distinct du statut de la demande, et ne faire passer une demande en traitement qu'après confirmation. Générer une facture PDF téléchargeable.</w:t>
      </w:r>
    </w:p>
    <w:p>
      <w:pPr>
        <w:spacing w:after="100" w:before="260"/>
      </w:pPr>
      <w:r>
        <w:rPr>
          <w:b/>
          <w:bCs/>
          <w:color w:val="141A29"/>
          <w:sz w:val="24"/>
          <w:szCs w:val="24"/>
        </w:rPr>
        <w:t xml:space="preserve">5.1.2 Notifications (e-mail, SMS, WhatsApp)</w:t>
      </w:r>
      <w:r>
        <w:t xml:space="preserve">   </w:t>
      </w:r>
      <w:r>
        <w:rPr>
          <w:b/>
          <w:bCs/>
          <w:color w:val="FFFFFF"/>
          <w:sz w:val="18"/>
          <w:szCs w:val="18"/>
          <w:shd w:fill="C0392B" w:val="clear"/>
        </w:rPr>
        <w:t xml:space="preserve">P0</w:t>
      </w:r>
    </w:p>
    <w:p>
      <w:pPr>
        <w:spacing w:after="60"/>
      </w:pPr>
      <w:r>
        <w:rPr>
          <w:b/>
          <w:bCs/>
        </w:rPr>
        <w:t xml:space="preserve">Quoi — </w:t>
      </w:r>
      <w:r>
        <w:t xml:space="preserve">Notifier automatiquement le client à chaque étape clé : confirmation de soumission, paiement reçu, changement de statut, demande d'informations complémentaires, document prêt.</w:t>
      </w:r>
    </w:p>
    <w:p>
      <w:pPr>
        <w:spacing w:after="60"/>
      </w:pPr>
      <w:r>
        <w:rPr>
          <w:b/>
          <w:bCs/>
        </w:rPr>
        <w:t xml:space="preserve">Pourquoi — </w:t>
      </w:r>
      <w:r>
        <w:t xml:space="preserve">Le cahier des charges promet « Suivez — Recevez les notifications ». Aujourd'hui le suivi n'existe qu'en se reconnectant sur le site. Au Bénin, WhatsApp et le SMS sont souvent plus fiables que l'e-mail pour toucher les usagers.</w:t>
      </w:r>
    </w:p>
    <w:p>
      <w:pPr>
        <w:spacing w:after="200"/>
      </w:pPr>
      <w:r>
        <w:rPr>
          <w:b/>
          <w:bCs/>
        </w:rPr>
        <w:t xml:space="preserve">Comment — </w:t>
      </w:r>
      <w:r>
        <w:t xml:space="preserve">Ajouter un service de notification découplé (queue/worker ou simple appel API asynchrone) déclenché par les changements de statut côté back-office ; intégrer un fournisseur e-mail transactionnel (ex. Resend/SendGrid) et une passerelle SMS/WhatsApp Business locale ou internationale (Twilio, ou un agrégateur béninois).</w:t>
      </w:r>
    </w:p>
    <w:p>
      <w:pPr>
        <w:spacing w:after="100" w:before="260"/>
      </w:pPr>
      <w:r>
        <w:rPr>
          <w:b/>
          <w:bCs/>
          <w:color w:val="141A29"/>
          <w:sz w:val="24"/>
          <w:szCs w:val="24"/>
        </w:rPr>
        <w:t xml:space="preserve">5.1.3 Conformité protection des données personnelles</w:t>
      </w:r>
      <w:r>
        <w:t xml:space="preserve">   </w:t>
      </w:r>
      <w:r>
        <w:rPr>
          <w:b/>
          <w:bCs/>
          <w:color w:val="FFFFFF"/>
          <w:sz w:val="18"/>
          <w:szCs w:val="18"/>
          <w:shd w:fill="C0392B" w:val="clear"/>
        </w:rPr>
        <w:t xml:space="preserve">P0</w:t>
      </w:r>
    </w:p>
    <w:p>
      <w:pPr>
        <w:spacing w:after="60"/>
      </w:pPr>
      <w:r>
        <w:rPr>
          <w:b/>
          <w:bCs/>
        </w:rPr>
        <w:t xml:space="preserve">Quoi — </w:t>
      </w:r>
      <w:r>
        <w:t xml:space="preserve">Mettre le traitement des données (identité, casier judiciaire, documents d'entreprise) en conformité avec la loi béninoise sur la protection des données à caractère personnel et les recommandations de l'APDP (Autorité de Protection des Données Personnelles), avec CGU, politique de confidentialité et gestion du consentement.</w:t>
      </w:r>
    </w:p>
    <w:p>
      <w:pPr>
        <w:spacing w:after="60"/>
      </w:pPr>
      <w:r>
        <w:rPr>
          <w:b/>
          <w:bCs/>
        </w:rPr>
        <w:t xml:space="preserve">Pourquoi — </w:t>
      </w:r>
      <w:r>
        <w:t xml:space="preserve">La plateforme traite des données très sensibles (casier judiciaire, pièces d'identité, informations d'entreprise). Un manquement expose à un risque légal et réputationnel majeur, et le cahier des charges cite explicitement mentions légales, politique de confidentialité et protection des données en pied de page.</w:t>
      </w:r>
    </w:p>
    <w:p>
      <w:pPr>
        <w:spacing w:after="200"/>
      </w:pPr>
      <w:r>
        <w:rPr>
          <w:b/>
          <w:bCs/>
        </w:rPr>
        <w:t xml:space="preserve">Comment — </w:t>
      </w:r>
      <w:r>
        <w:t xml:space="preserve">Rédiger et publier CGU / politique de confidentialité / mentions légales ; ajouter un bandeau de consentement ; documenter les finalités de traitement, les durées de conservation et les destinataires ; désigner un point de contact protection des données ; chiffrer les documents sensibles au repos.</w:t>
      </w:r>
    </w:p>
    <w:p>
      <w:pPr>
        <w:spacing w:after="100" w:before="260"/>
      </w:pPr>
      <w:r>
        <w:rPr>
          <w:b/>
          <w:bCs/>
          <w:color w:val="141A29"/>
          <w:sz w:val="24"/>
          <w:szCs w:val="24"/>
        </w:rPr>
        <w:t xml:space="preserve">5.1.4 Élargissement du catalogue de démarches administratives</w:t>
      </w:r>
      <w:r>
        <w:t xml:space="preserve">   </w:t>
      </w:r>
      <w:r>
        <w:rPr>
          <w:b/>
          <w:bCs/>
          <w:color w:val="FFFFFF"/>
          <w:sz w:val="18"/>
          <w:szCs w:val="18"/>
          <w:shd w:fill="C0392B" w:val="clear"/>
        </w:rPr>
        <w:t xml:space="preserve">P0</w:t>
      </w:r>
    </w:p>
    <w:p>
      <w:pPr>
        <w:spacing w:after="60"/>
      </w:pPr>
      <w:r>
        <w:rPr>
          <w:b/>
          <w:bCs/>
        </w:rPr>
        <w:t xml:space="preserve">Quoi — </w:t>
      </w:r>
      <w:r>
        <w:t xml:space="preserve">Utiliser l'éditeur de démarches déjà construit pour ajouter les documents administratifs et d'entreprise cités dans le cahier des charges : actes d'état civil, attestations, RCCM, IFU, documents CNSS, documents fiscaux.</w:t>
      </w:r>
    </w:p>
    <w:p>
      <w:pPr>
        <w:spacing w:after="60"/>
      </w:pPr>
      <w:r>
        <w:rPr>
          <w:b/>
          <w:bCs/>
        </w:rPr>
        <w:t xml:space="preserve">Pourquoi — </w:t>
      </w:r>
      <w:r>
        <w:t xml:space="preserve">L'éditeur de formulaires dynamiques existe déjà côté admin : c'est le levier le moins coûteux pour élargir immédiatement l'offre sans développement supplémentaire, en capitalisant sur l'investissement déjà fait.</w:t>
      </w:r>
    </w:p>
    <w:p>
      <w:pPr>
        <w:spacing w:after="200"/>
      </w:pPr>
      <w:r>
        <w:rPr>
          <w:b/>
          <w:bCs/>
        </w:rPr>
        <w:t xml:space="preserve">Comment — </w:t>
      </w:r>
      <w:r>
        <w:t xml:space="preserve">Créer les fiches démarches manquantes dans /admin/demarches, définir les champs et pièces requis pour chacune, classer par catégorie (état civil, entreprise, fiscal), et appliquer le principe de transparence du cahier des charges (badge "délivré par la plateforme" / "préparé par la plateforme" / "obtenu auprès d'une administration").</w:t>
      </w:r>
    </w:p>
    <w:p>
      <w:pPr>
        <w:pStyle w:val="Heading2"/>
        <w:spacing w:after="150" w:before="300"/>
      </w:pPr>
      <w:r>
        <w:t xml:space="preserve">5.2 — P1 : Cœur de la proposition de valeur</w:t>
      </w:r>
    </w:p>
    <w:p>
      <w:pPr>
        <w:spacing w:after="100" w:before="260"/>
      </w:pPr>
      <w:r>
        <w:rPr>
          <w:b/>
          <w:bCs/>
          <w:color w:val="141A29"/>
          <w:sz w:val="24"/>
          <w:szCs w:val="24"/>
        </w:rPr>
        <w:t xml:space="preserve">5.2.1 Module « Créer mon entreprise »</w:t>
      </w:r>
      <w:r>
        <w:t xml:space="preserve">   </w:t>
      </w:r>
      <w:r>
        <w:rPr>
          <w:b/>
          <w:bCs/>
          <w:color w:val="FFFFFF"/>
          <w:sz w:val="18"/>
          <w:szCs w:val="18"/>
          <w:shd w:fill="D68910" w:val="clear"/>
        </w:rPr>
        <w:t xml:space="preserve">P1</w:t>
      </w:r>
    </w:p>
    <w:p>
      <w:pPr>
        <w:spacing w:after="60"/>
      </w:pPr>
      <w:r>
        <w:rPr>
          <w:b/>
          <w:bCs/>
        </w:rPr>
        <w:t xml:space="preserve">Quoi — </w:t>
      </w:r>
      <w:r>
        <w:t xml:space="preserve">Parcours de constitution d'entreprise (Établissement, SARL/SUARL, SAS, SA, GIE) avec un quiz « Quelle forme juridique pour mon projet ? » qui analyse nombre d'associés, secteur, niveau de responsabilité souhaité et besoins d'investissement.</w:t>
      </w:r>
    </w:p>
    <w:p>
      <w:pPr>
        <w:spacing w:after="60"/>
      </w:pPr>
      <w:r>
        <w:rPr>
          <w:b/>
          <w:bCs/>
        </w:rPr>
        <w:t xml:space="preserve">Pourquoi — </w:t>
      </w:r>
      <w:r>
        <w:t xml:space="preserve">C'est la porte d'entrée principale annoncée dans le hero du cahier des charges (« Créer mon entreprise » en premier bouton). C'est aussi la fonctionnalité qui différencie une vraie LegalTech d'un simple guichet de documents.</w:t>
      </w:r>
    </w:p>
    <w:p>
      <w:pPr>
        <w:spacing w:after="200"/>
      </w:pPr>
      <w:r>
        <w:rPr>
          <w:b/>
          <w:bCs/>
        </w:rPr>
        <w:t xml:space="preserve">Comment — </w:t>
      </w:r>
      <w:r>
        <w:t xml:space="preserve">Modéliser chaque forme juridique comme une « démarche » avec son propre formulaire multi-étapes (identité des associés, capital, siège, objet social, upload de pièces) réutilisant le moteur de formulaires dynamiques existant ; construire le quiz comme un arbre de décision simple (règles pondérées) redirigeant vers la forme recommandée puis vers le parcours de création correspondant.</w:t>
      </w:r>
    </w:p>
    <w:p>
      <w:pPr>
        <w:spacing w:after="100" w:before="260"/>
      </w:pPr>
      <w:r>
        <w:rPr>
          <w:b/>
          <w:bCs/>
          <w:color w:val="141A29"/>
          <w:sz w:val="24"/>
          <w:szCs w:val="24"/>
        </w:rPr>
        <w:t xml:space="preserve">5.2.2 Module « Mes formalités » (créer / modifier / cesser)</w:t>
      </w:r>
      <w:r>
        <w:t xml:space="preserve">   </w:t>
      </w:r>
      <w:r>
        <w:rPr>
          <w:b/>
          <w:bCs/>
          <w:color w:val="FFFFFF"/>
          <w:sz w:val="18"/>
          <w:szCs w:val="18"/>
          <w:shd w:fill="D68910" w:val="clear"/>
        </w:rPr>
        <w:t xml:space="preserve">P1</w:t>
      </w:r>
    </w:p>
    <w:p>
      <w:pPr>
        <w:spacing w:after="60"/>
      </w:pPr>
      <w:r>
        <w:rPr>
          <w:b/>
          <w:bCs/>
        </w:rPr>
        <w:t xml:space="preserve">Quoi — </w:t>
      </w:r>
      <w:r>
        <w:t xml:space="preserve">Couvrir tout le cycle de vie : avant de créer (vérifier une dénomination, estimer coûts/étapes), modifier (dirigeant, adresse, objet social, capital, associés, cession de parts) et cesser (dissolution, liquidation, radiation, cessation d'activité).</w:t>
      </w:r>
    </w:p>
    <w:p>
      <w:pPr>
        <w:spacing w:after="60"/>
      </w:pPr>
      <w:r>
        <w:rPr>
          <w:b/>
          <w:bCs/>
        </w:rPr>
        <w:t xml:space="preserve">Pourquoi — </w:t>
      </w:r>
      <w:r>
        <w:t xml:space="preserve">Le cahier des charges structure explicitement cette rubrique en 4 temps ; c'est la fonctionnalité qui transforme un client ponctuel (une création) en client récurrent (toute la vie de l'entreprise), donc un moteur de revenu récurrent.</w:t>
      </w:r>
    </w:p>
    <w:p>
      <w:pPr>
        <w:spacing w:after="200"/>
      </w:pPr>
      <w:r>
        <w:rPr>
          <w:b/>
          <w:bCs/>
        </w:rPr>
        <w:t xml:space="preserve">Comment — </w:t>
      </w:r>
      <w:r>
        <w:t xml:space="preserve">Généraliser le concept de « démarche » pour qu'elle puisse être rattachée à une entreprise existante du client (et pas seulement créée dans l'absolu) ; chaque modification déclenche une mise à jour tracée du dossier entreprise une fois traitée par un agent.</w:t>
      </w:r>
    </w:p>
    <w:p>
      <w:pPr>
        <w:spacing w:after="100" w:before="260"/>
      </w:pPr>
      <w:r>
        <w:rPr>
          <w:b/>
          <w:bCs/>
          <w:color w:val="141A29"/>
          <w:sz w:val="24"/>
          <w:szCs w:val="24"/>
        </w:rPr>
        <w:t xml:space="preserve">5.2.3 Bibliothèque de modèles juridiques</w:t>
      </w:r>
      <w:r>
        <w:t xml:space="preserve">   </w:t>
      </w:r>
      <w:r>
        <w:rPr>
          <w:b/>
          <w:bCs/>
          <w:color w:val="FFFFFF"/>
          <w:sz w:val="18"/>
          <w:szCs w:val="18"/>
          <w:shd w:fill="D68910" w:val="clear"/>
        </w:rPr>
        <w:t xml:space="preserve">P1</w:t>
      </w:r>
    </w:p>
    <w:p>
      <w:pPr>
        <w:spacing w:after="60"/>
      </w:pPr>
      <w:r>
        <w:rPr>
          <w:b/>
          <w:bCs/>
        </w:rPr>
        <w:t xml:space="preserve">Quoi — </w:t>
      </w:r>
      <w:r>
        <w:t xml:space="preserve">Catalogue de modèles (statuts, PV constitutif, décisions d'associé unique, PV d'AGO/AGE, pouvoirs, contrats de prestation, NDA, contrat de domiciliation, CGV, mentions légales, politique de confidentialité) téléchargeables ou personnalisables via un formulaire guidé.</w:t>
      </w:r>
    </w:p>
    <w:p>
      <w:pPr>
        <w:spacing w:after="60"/>
      </w:pPr>
      <w:r>
        <w:rPr>
          <w:b/>
          <w:bCs/>
        </w:rPr>
        <w:t xml:space="preserve">Pourquoi — </w:t>
      </w:r>
      <w:r>
        <w:t xml:space="preserve">C'est un des piliers du positionnement « Legalstart » et un excellent produit d'appel à faible coût marginal (génération automatique de document) qui alimente aussi le tunnel vers les services payants plus complexes.</w:t>
      </w:r>
    </w:p>
    <w:p>
      <w:pPr>
        <w:spacing w:after="200"/>
      </w:pPr>
      <w:r>
        <w:rPr>
          <w:b/>
          <w:bCs/>
        </w:rPr>
        <w:t xml:space="preserve">Comment — </w:t>
      </w:r>
      <w:r>
        <w:t xml:space="preserve">Stocker les modèles comme des templates (ex. docx/HTML avec balises de fusion) ; construire un formulaire de personnalisation qui remplit les balises et génère un PDF/DOCX téléchargeable ; distinguer clairement téléchargement gratuit/brut vs personnalisation payante.</w:t>
      </w:r>
    </w:p>
    <w:p>
      <w:pPr>
        <w:spacing w:after="100" w:before="260"/>
      </w:pPr>
      <w:r>
        <w:rPr>
          <w:b/>
          <w:bCs/>
          <w:color w:val="141A29"/>
          <w:sz w:val="24"/>
          <w:szCs w:val="24"/>
        </w:rPr>
        <w:t xml:space="preserve">5.2.4 Conseil juridique (question / consultation / accompagnement)</w:t>
      </w:r>
      <w:r>
        <w:t xml:space="preserve">   </w:t>
      </w:r>
      <w:r>
        <w:rPr>
          <w:b/>
          <w:bCs/>
          <w:color w:val="FFFFFF"/>
          <w:sz w:val="18"/>
          <w:szCs w:val="18"/>
          <w:shd w:fill="D68910" w:val="clear"/>
        </w:rPr>
        <w:t xml:space="preserve">P1</w:t>
      </w:r>
    </w:p>
    <w:p>
      <w:pPr>
        <w:spacing w:after="60"/>
      </w:pPr>
      <w:r>
        <w:rPr>
          <w:b/>
          <w:bCs/>
        </w:rPr>
        <w:t xml:space="preserve">Quoi — </w:t>
      </w:r>
      <w:r>
        <w:t xml:space="preserve">Trois niveaux de service : question juridique ciblée, consultation (échange avec un juriste), accompagnement personnalisé de dossiers complexes ou récurrents.</w:t>
      </w:r>
    </w:p>
    <w:p>
      <w:pPr>
        <w:spacing w:after="60"/>
      </w:pPr>
      <w:r>
        <w:rPr>
          <w:b/>
          <w:bCs/>
        </w:rPr>
        <w:t xml:space="preserve">Pourquoi — </w:t>
      </w:r>
      <w:r>
        <w:t xml:space="preserve">Répond au besoin des entrepreneurs qui n'ont pas seulement besoin d'un document mais d'un avis ; renforce la confiance et justifie le positionnement « intervention humaine de juristes » mis en avant dans le cahier des charges.</w:t>
      </w:r>
    </w:p>
    <w:p>
      <w:pPr>
        <w:spacing w:after="200"/>
      </w:pPr>
      <w:r>
        <w:rPr>
          <w:b/>
          <w:bCs/>
        </w:rPr>
        <w:t xml:space="preserve">Comment — </w:t>
      </w:r>
      <w:r>
        <w:t xml:space="preserve">Créer un nouveau type d'objet « demande de conseil » (distinct d'une démarche documentaire) avec sa propre file dans le back-office, affectée à des juristes (nouveau rôle ou sous-rôle agent) ; prévoir prise de rendez-vous (créneaux), et pour la consultation un canal d'échange (visio externe type Google Meet dans un premier temps, messagerie interne ensuite).</w:t>
      </w:r>
    </w:p>
    <w:p>
      <w:pPr>
        <w:pStyle w:val="Heading2"/>
        <w:spacing w:after="150" w:before="300"/>
      </w:pPr>
      <w:r>
        <w:t xml:space="preserve">5.3 — P2 : Différenciation et rétention</w:t>
      </w:r>
    </w:p>
    <w:p>
      <w:pPr>
        <w:spacing w:after="100" w:before="260"/>
      </w:pPr>
      <w:r>
        <w:rPr>
          <w:b/>
          <w:bCs/>
          <w:color w:val="141A29"/>
          <w:sz w:val="24"/>
          <w:szCs w:val="24"/>
        </w:rPr>
        <w:t xml:space="preserve">5.3.1 Espace « Mon entreprise » (dossier juridique numérique)</w:t>
      </w:r>
      <w:r>
        <w:t xml:space="preserve">   </w:t>
      </w:r>
      <w:r>
        <w:rPr>
          <w:b/>
          <w:bCs/>
          <w:color w:val="FFFFFF"/>
          <w:sz w:val="18"/>
          <w:szCs w:val="18"/>
          <w:shd w:fill="1F6FEB" w:val="clear"/>
        </w:rPr>
        <w:t xml:space="preserve">P2</w:t>
      </w:r>
    </w:p>
    <w:p>
      <w:pPr>
        <w:spacing w:after="60"/>
      </w:pPr>
      <w:r>
        <w:rPr>
          <w:b/>
          <w:bCs/>
        </w:rPr>
        <w:t xml:space="preserve">Quoi — </w:t>
      </w:r>
      <w:r>
        <w:t xml:space="preserve">Fiche entreprise centralisant identité (dénomination, forme, RCCM, IFU, siège, activité), dirigeants, associés, bénéficiaires effectifs, documents, historique des modifications et obligations/échéances.</w:t>
      </w:r>
    </w:p>
    <w:p>
      <w:pPr>
        <w:spacing w:after="60"/>
      </w:pPr>
      <w:r>
        <w:rPr>
          <w:b/>
          <w:bCs/>
        </w:rPr>
        <w:t xml:space="preserve">Pourquoi — </w:t>
      </w:r>
      <w:r>
        <w:t xml:space="preserve">C'est l'objectif final énoncé par le cahier des charges : « constituer progressivement un dossier juridique numérique permanent de l'entreprise ». C'est aussi ce qui crée la valeur de rétention à long terme (le client revient gérer son dossier, pas juste passer commande).</w:t>
      </w:r>
    </w:p>
    <w:p>
      <w:pPr>
        <w:spacing w:after="200"/>
      </w:pPr>
      <w:r>
        <w:rPr>
          <w:b/>
          <w:bCs/>
        </w:rPr>
        <w:t xml:space="preserve">Comment — </w:t>
      </w:r>
      <w:r>
        <w:t xml:space="preserve">Ajouter une entité « Entreprise » en base, liée à un utilisateur (propriétaire) et alimentée automatiquement par les démarches traitées (une création validée crée l'entreprise, une modification met à jour ses champs) ; centraliser les documents liés dans un coffre-fort numérique.</w:t>
      </w:r>
    </w:p>
    <w:p>
      <w:pPr>
        <w:spacing w:after="100" w:before="260"/>
      </w:pPr>
      <w:r>
        <w:rPr>
          <w:b/>
          <w:bCs/>
          <w:color w:val="141A29"/>
          <w:sz w:val="24"/>
          <w:szCs w:val="24"/>
        </w:rPr>
        <w:t xml:space="preserve">5.3.2 Simulateurs et diagnostic juridique</w:t>
      </w:r>
      <w:r>
        <w:t xml:space="preserve">   </w:t>
      </w:r>
      <w:r>
        <w:rPr>
          <w:b/>
          <w:bCs/>
          <w:color w:val="FFFFFF"/>
          <w:sz w:val="18"/>
          <w:szCs w:val="18"/>
          <w:shd w:fill="1F6FEB" w:val="clear"/>
        </w:rPr>
        <w:t xml:space="preserve">P2</w:t>
      </w:r>
    </w:p>
    <w:p>
      <w:pPr>
        <w:spacing w:after="60"/>
      </w:pPr>
      <w:r>
        <w:rPr>
          <w:b/>
          <w:bCs/>
        </w:rPr>
        <w:t xml:space="preserve">Quoi — </w:t>
      </w:r>
      <w:r>
        <w:t xml:space="preserve">Simulateur de forme juridique, calculateur de frais de création, simulateur de capital, checklist de création, diagnostic de conformité (RCCM, adresse, dirigeants, statuts, bénéficiaires effectifs, contrats, obligations fiscales, documents sociaux) avec restitution « Situation maîtrisée / Points d'attention / Actions recommandées ».</w:t>
      </w:r>
    </w:p>
    <w:p>
      <w:pPr>
        <w:spacing w:after="60"/>
      </w:pPr>
      <w:r>
        <w:rPr>
          <w:b/>
          <w:bCs/>
        </w:rPr>
        <w:t xml:space="preserve">Pourquoi — </w:t>
      </w:r>
      <w:r>
        <w:t xml:space="preserve">Outils gratuits à forte valeur perçue qui génèrent du trafic organique (SEO), qualifient le besoin de l'utilisateur avant conversion, et pour le diagnostic, s'appuient naturellement sur les données déjà présentes dans l'espace « Mon entreprise ».</w:t>
      </w:r>
    </w:p>
    <w:p>
      <w:pPr>
        <w:spacing w:after="200"/>
      </w:pPr>
      <w:r>
        <w:rPr>
          <w:b/>
          <w:bCs/>
        </w:rPr>
        <w:t xml:space="preserve">Comment — </w:t>
      </w:r>
      <w:r>
        <w:t xml:space="preserve">Construire ces outils comme des formulaires courts avec logique de scoring côté serveur (pas de règles juridiques exposées côté client) ; pour le diagnostic connecté, croiser automatiquement les champs du dossier entreprise avec des règles de complétude/échéance.</w:t>
      </w:r>
    </w:p>
    <w:p>
      <w:pPr>
        <w:spacing w:after="100" w:before="260"/>
      </w:pPr>
      <w:r>
        <w:rPr>
          <w:b/>
          <w:bCs/>
          <w:color w:val="141A29"/>
          <w:sz w:val="24"/>
          <w:szCs w:val="24"/>
        </w:rPr>
        <w:t xml:space="preserve">5.3.3 Ressources (guides, actualités, FAQ, droit OHADA)</w:t>
      </w:r>
      <w:r>
        <w:t xml:space="preserve">   </w:t>
      </w:r>
      <w:r>
        <w:rPr>
          <w:b/>
          <w:bCs/>
          <w:color w:val="FFFFFF"/>
          <w:sz w:val="18"/>
          <w:szCs w:val="18"/>
          <w:shd w:fill="1F6FEB" w:val="clear"/>
        </w:rPr>
        <w:t xml:space="preserve">P2</w:t>
      </w:r>
    </w:p>
    <w:p>
      <w:pPr>
        <w:spacing w:after="60"/>
      </w:pPr>
      <w:r>
        <w:rPr>
          <w:b/>
          <w:bCs/>
        </w:rPr>
        <w:t xml:space="preserve">Quoi — </w:t>
      </w:r>
      <w:r>
        <w:t xml:space="preserve">Espace de contenu éditorial : guides pratiques, actualités juridiques, FAQ, articles thématiques (droit OHADA, des affaires, fiscal, du travail, numérique, entrepreneuriat).</w:t>
      </w:r>
    </w:p>
    <w:p>
      <w:pPr>
        <w:spacing w:after="60"/>
      </w:pPr>
      <w:r>
        <w:rPr>
          <w:b/>
          <w:bCs/>
        </w:rPr>
        <w:t xml:space="preserve">Pourquoi — </w:t>
      </w:r>
      <w:r>
        <w:t xml:space="preserve">Levier SEO majeur pour l'acquisition organique dans un marché où la notoriété de marque est à construire ; renforce la crédibilité d'expertise du cahier des charges (« Expertise juridique : parcours conçus et contrôlés par des professionnels du droit »).</w:t>
      </w:r>
    </w:p>
    <w:p>
      <w:pPr>
        <w:spacing w:after="200"/>
      </w:pPr>
      <w:r>
        <w:rPr>
          <w:b/>
          <w:bCs/>
        </w:rPr>
        <w:t xml:space="preserve">Comment — </w:t>
      </w:r>
      <w:r>
        <w:t xml:space="preserve">CMS léger (MDX ou back-office de publication simple) avec catégories, recherche et maillage vers les démarches concernées (ex. un article sur la SARL renvoie vers le parcours de création SARL).</w:t>
      </w:r>
    </w:p>
    <w:p>
      <w:pPr>
        <w:spacing w:after="100" w:before="260"/>
      </w:pPr>
      <w:r>
        <w:rPr>
          <w:b/>
          <w:bCs/>
          <w:color w:val="141A29"/>
          <w:sz w:val="24"/>
          <w:szCs w:val="24"/>
        </w:rPr>
        <w:t xml:space="preserve">5.3.4 Alertes d'obligations et échéances</w:t>
      </w:r>
      <w:r>
        <w:t xml:space="preserve">   </w:t>
      </w:r>
      <w:r>
        <w:rPr>
          <w:b/>
          <w:bCs/>
          <w:color w:val="FFFFFF"/>
          <w:sz w:val="18"/>
          <w:szCs w:val="18"/>
          <w:shd w:fill="1F6FEB" w:val="clear"/>
        </w:rPr>
        <w:t xml:space="preserve">P2</w:t>
      </w:r>
    </w:p>
    <w:p>
      <w:pPr>
        <w:spacing w:after="60"/>
      </w:pPr>
      <w:r>
        <w:rPr>
          <w:b/>
          <w:bCs/>
        </w:rPr>
        <w:t xml:space="preserve">Quoi — </w:t>
      </w:r>
      <w:r>
        <w:t xml:space="preserve">Rappels automatiques des échéances légales et administratives d'une entreprise (renouvellements, dépôts, obligations fiscales/sociales) visibles dans « Mes obligations » et envoyés par notification.</w:t>
      </w:r>
    </w:p>
    <w:p>
      <w:pPr>
        <w:spacing w:after="60"/>
      </w:pPr>
      <w:r>
        <w:rPr>
          <w:b/>
          <w:bCs/>
        </w:rPr>
        <w:t xml:space="preserve">Pourquoi — </w:t>
      </w:r>
      <w:r>
        <w:t xml:space="preserve">Transforme la plateforme d'un outil ponctuel en compagnon récurrent de conformité ; répond directement à la rubrique « Mes obligations : échéances, alertes et actions recommandées » du cahier des charges.</w:t>
      </w:r>
    </w:p>
    <w:p>
      <w:pPr>
        <w:spacing w:after="200"/>
      </w:pPr>
      <w:r>
        <w:rPr>
          <w:b/>
          <w:bCs/>
        </w:rPr>
        <w:t xml:space="preserve">Comment — </w:t>
      </w:r>
      <w:r>
        <w:t xml:space="preserve">Modéliser un calendrier d'obligations par forme juridique/secteur ; job planifié (cron) qui calcule les échéances à venir par entreprise et déclenche des notifications à J-30/J-7/J-0.</w:t>
      </w:r>
    </w:p>
    <w:p>
      <w:pPr>
        <w:spacing w:after="100" w:before="260"/>
      </w:pPr>
      <w:r>
        <w:rPr>
          <w:b/>
          <w:bCs/>
          <w:color w:val="141A29"/>
          <w:sz w:val="24"/>
          <w:szCs w:val="24"/>
        </w:rPr>
        <w:t xml:space="preserve">5.3.5 Messagerie interne client ↔ juriste</w:t>
      </w:r>
      <w:r>
        <w:t xml:space="preserve">   </w:t>
      </w:r>
      <w:r>
        <w:rPr>
          <w:b/>
          <w:bCs/>
          <w:color w:val="FFFFFF"/>
          <w:sz w:val="18"/>
          <w:szCs w:val="18"/>
          <w:shd w:fill="1F6FEB" w:val="clear"/>
        </w:rPr>
        <w:t xml:space="preserve">P2</w:t>
      </w:r>
    </w:p>
    <w:p>
      <w:pPr>
        <w:spacing w:after="60"/>
      </w:pPr>
      <w:r>
        <w:rPr>
          <w:b/>
          <w:bCs/>
        </w:rPr>
        <w:t xml:space="preserve">Quoi — </w:t>
      </w:r>
      <w:r>
        <w:t xml:space="preserve">Fil de discussion attaché à chaque demande/dossier entre le client et l'agent/juriste en charge, visible dans « Mes messages ».</w:t>
      </w:r>
    </w:p>
    <w:p>
      <w:pPr>
        <w:spacing w:after="60"/>
      </w:pPr>
      <w:r>
        <w:rPr>
          <w:b/>
          <w:bCs/>
        </w:rPr>
        <w:t xml:space="preserve">Pourquoi — </w:t>
      </w:r>
      <w:r>
        <w:t xml:space="preserve">Le back-office gère déjà des « commentaires d'agents visibles depuis l'espace client » en lecture ; en faire un vrai canal bidirectionnel réduit les échanges par téléphone/WhatsApp non tracés et améliore la qualité de service.</w:t>
      </w:r>
    </w:p>
    <w:p>
      <w:pPr>
        <w:spacing w:after="200"/>
      </w:pPr>
      <w:r>
        <w:rPr>
          <w:b/>
          <w:bCs/>
        </w:rPr>
        <w:t xml:space="preserve">Comment — </w:t>
      </w:r>
      <w:r>
        <w:t xml:space="preserve">Étendre le modèle d'événements de la demande existant pour accepter des messages entrants côté client, avec notification à l'agent assigné.</w:t>
      </w:r>
    </w:p>
    <w:p>
      <w:pPr>
        <w:pStyle w:val="Heading2"/>
        <w:spacing w:after="150" w:before="300"/>
      </w:pPr>
      <w:r>
        <w:t xml:space="preserve">5.4 — P3 : Extension</w:t>
      </w:r>
    </w:p>
    <w:p>
      <w:pPr>
        <w:spacing w:after="100" w:before="260"/>
      </w:pPr>
      <w:r>
        <w:rPr>
          <w:b/>
          <w:bCs/>
          <w:color w:val="141A29"/>
          <w:sz w:val="24"/>
          <w:szCs w:val="24"/>
        </w:rPr>
        <w:t xml:space="preserve">5.4.1 Solutions entreprises avancées</w:t>
      </w:r>
      <w:r>
        <w:t xml:space="preserve">   </w:t>
      </w:r>
      <w:r>
        <w:rPr>
          <w:b/>
          <w:bCs/>
          <w:color w:val="FFFFFF"/>
          <w:sz w:val="18"/>
          <w:szCs w:val="18"/>
          <w:shd w:fill="6C757D" w:val="clear"/>
        </w:rPr>
        <w:t xml:space="preserve">P3</w:t>
      </w:r>
    </w:p>
    <w:p>
      <w:pPr>
        <w:spacing w:after="60"/>
      </w:pPr>
      <w:r>
        <w:rPr>
          <w:b/>
          <w:bCs/>
        </w:rPr>
        <w:t xml:space="preserve">Quoi — </w:t>
      </w:r>
      <w:r>
        <w:t xml:space="preserve">Secrétariat juridique (PV, décisions, assemblées), conformité et diagnostic juridique récurrent, protection des données/conformité numérique en mode abonnement.</w:t>
      </w:r>
    </w:p>
    <w:p>
      <w:pPr>
        <w:spacing w:after="60"/>
      </w:pPr>
      <w:r>
        <w:rPr>
          <w:b/>
          <w:bCs/>
        </w:rPr>
        <w:t xml:space="preserve">Pourquoi — </w:t>
      </w:r>
      <w:r>
        <w:t xml:space="preserve">Cible les entreprises déjà constituées avec un besoin récurrent, généralement plus rentable qu'une prestation ponctuelle.</w:t>
      </w:r>
    </w:p>
    <w:p>
      <w:pPr>
        <w:spacing w:after="200"/>
      </w:pPr>
      <w:r>
        <w:rPr>
          <w:b/>
          <w:bCs/>
        </w:rPr>
        <w:t xml:space="preserve">Comment — </w:t>
      </w:r>
      <w:r>
        <w:t xml:space="preserve">Introduire un modèle d'abonnement (facturation récurrente) au-dessus des entités « Entreprise » et « Démarche » déjà en place.</w:t>
      </w:r>
    </w:p>
    <w:p>
      <w:pPr>
        <w:spacing w:after="100" w:before="260"/>
      </w:pPr>
      <w:r>
        <w:rPr>
          <w:b/>
          <w:bCs/>
          <w:color w:val="141A29"/>
          <w:sz w:val="24"/>
          <w:szCs w:val="24"/>
        </w:rPr>
        <w:t xml:space="preserve">5.4.2 Extension géographique OHADA</w:t>
      </w:r>
      <w:r>
        <w:t xml:space="preserve">   </w:t>
      </w:r>
      <w:r>
        <w:rPr>
          <w:b/>
          <w:bCs/>
          <w:color w:val="FFFFFF"/>
          <w:sz w:val="18"/>
          <w:szCs w:val="18"/>
          <w:shd w:fill="6C757D" w:val="clear"/>
        </w:rPr>
        <w:t xml:space="preserve">P3</w:t>
      </w:r>
    </w:p>
    <w:p>
      <w:pPr>
        <w:spacing w:after="60"/>
      </w:pPr>
      <w:r>
        <w:rPr>
          <w:b/>
          <w:bCs/>
        </w:rPr>
        <w:t xml:space="preserve">Quoi — </w:t>
      </w:r>
      <w:r>
        <w:t xml:space="preserve">Adapter le catalogue de démarches, les formes juridiques et les contenus juridiques à d'autres pays de l'espace OHADA.</w:t>
      </w:r>
    </w:p>
    <w:p>
      <w:pPr>
        <w:spacing w:after="60"/>
      </w:pPr>
      <w:r>
        <w:rPr>
          <w:b/>
          <w:bCs/>
        </w:rPr>
        <w:t xml:space="preserve">Pourquoi — </w:t>
      </w:r>
      <w:r>
        <w:t xml:space="preserve">Le cahier des charges anticipe explicitement une architecture évolutive « du Bénin vers d'autres marchés de l'espace OHADA ».</w:t>
      </w:r>
    </w:p>
    <w:p>
      <w:pPr>
        <w:spacing w:after="200"/>
      </w:pPr>
      <w:r>
        <w:rPr>
          <w:b/>
          <w:bCs/>
        </w:rPr>
        <w:t xml:space="preserve">Comment — </w:t>
      </w:r>
      <w:r>
        <w:t xml:space="preserve">Sortir les règles juridiques et administratives spécifiques au Bénin dans une couche de configuration par pays, plutôt que codées en dur.</w:t>
      </w:r>
    </w:p>
    <w:p>
      <w:pPr>
        <w:spacing w:after="100" w:before="260"/>
      </w:pPr>
      <w:r>
        <w:rPr>
          <w:b/>
          <w:bCs/>
          <w:color w:val="141A29"/>
          <w:sz w:val="24"/>
          <w:szCs w:val="24"/>
        </w:rPr>
        <w:t xml:space="preserve">5.4.3 Assistant conversationnel d'orientation</w:t>
      </w:r>
      <w:r>
        <w:t xml:space="preserve">   </w:t>
      </w:r>
      <w:r>
        <w:rPr>
          <w:b/>
          <w:bCs/>
          <w:color w:val="FFFFFF"/>
          <w:sz w:val="18"/>
          <w:szCs w:val="18"/>
          <w:shd w:fill="6C757D" w:val="clear"/>
        </w:rPr>
        <w:t xml:space="preserve">P3</w:t>
      </w:r>
    </w:p>
    <w:p>
      <w:pPr>
        <w:spacing w:after="60"/>
      </w:pPr>
      <w:r>
        <w:rPr>
          <w:b/>
          <w:bCs/>
        </w:rPr>
        <w:t xml:space="preserve">Quoi — </w:t>
      </w:r>
      <w:r>
        <w:t xml:space="preserve">Un assistant qui aide l'utilisateur à formuler son besoin en langage naturel et l'oriente vers la bonne démarche ou le bon service.</w:t>
      </w:r>
    </w:p>
    <w:p>
      <w:pPr>
        <w:spacing w:after="60"/>
      </w:pPr>
      <w:r>
        <w:rPr>
          <w:b/>
          <w:bCs/>
        </w:rPr>
        <w:t xml:space="preserve">Pourquoi — </w:t>
      </w:r>
      <w:r>
        <w:t xml:space="preserve">Réduit la friction pour les utilisateurs qui ne maîtrisent pas le vocabulaire juridique, en écho direct à la promesse du cahier des charges.</w:t>
      </w:r>
    </w:p>
    <w:p>
      <w:pPr>
        <w:spacing w:after="200"/>
      </w:pPr>
      <w:r>
        <w:rPr>
          <w:b/>
          <w:bCs/>
        </w:rPr>
        <w:t xml:space="preserve">Comment — </w:t>
      </w:r>
      <w:r>
        <w:t xml:space="preserve">Prévoir ce chantier après stabilisation du catalogue de démarches, pour que l'assistant s'appuie sur des données structurées fiables plutôt que sur du texte libre.</w:t>
      </w:r>
    </w:p>
    <w:p>
      <w:pPr>
        <w:pStyle w:val="Heading1"/>
        <w:spacing w:after="200" w:before="400"/>
      </w:pPr>
      <w:r>
        <w:t xml:space="preserve">6. Règles de sécurité à implémenter</w:t>
      </w:r>
    </w:p>
    <w:p>
      <w:pPr>
        <w:spacing w:after="150" w:line="300"/>
      </w:pPr>
      <w:r>
        <w:t xml:space="preserve">Vu la nature des données traitées (identité, casier judiciaire, informations d'entreprise, moyens de paiement), la sécurité doit être traitée comme une exigence de premier ordre, pas comme une étape finale.</w:t>
      </w:r>
    </w:p>
    <w:p>
      <w:pPr>
        <w:pStyle w:val="Heading2"/>
        <w:spacing w:after="150" w:before="300"/>
      </w:pPr>
      <w:r>
        <w:t xml:space="preserve">6.1 Authentification et contrôle d'accès</w:t>
      </w:r>
    </w:p>
    <w:p>
      <w:pPr>
        <w:pStyle w:val="ListParagraph"/>
        <w:numPr>
          <w:ilvl w:val="0"/>
          <w:numId w:val="2"/>
        </w:numPr>
        <w:spacing w:after="80" w:line="280"/>
      </w:pPr>
      <w:r>
        <w:t xml:space="preserve">Hachage des mots de passe avec un algorithme adapté (argon2/bcrypt — géré par Better Auth), jamais de mot de passe en clair ni réversible ;</w:t>
      </w:r>
    </w:p>
    <w:p>
      <w:pPr>
        <w:pStyle w:val="ListParagraph"/>
        <w:numPr>
          <w:ilvl w:val="0"/>
          <w:numId w:val="2"/>
        </w:numPr>
        <w:spacing w:after="80" w:line="280"/>
      </w:pPr>
      <w:r>
        <w:t xml:space="preserve">Politique de mot de passe minimale (longueur, vérification contre les listes de mots de passe compromis) et limitation du nombre de tentatives (rate limiting sur /sign-in) ;</w:t>
      </w:r>
    </w:p>
    <w:p>
      <w:pPr>
        <w:pStyle w:val="ListParagraph"/>
        <w:numPr>
          <w:ilvl w:val="0"/>
          <w:numId w:val="2"/>
        </w:numPr>
        <w:spacing w:after="80" w:line="280"/>
      </w:pPr>
      <w:r>
        <w:t xml:space="preserve">Double authentification (2FA) obligatoire pour les comptes agent et admin, qui ont accès à des données sensibles de nombreux clients ;</w:t>
      </w:r>
    </w:p>
    <w:p>
      <w:pPr>
        <w:pStyle w:val="ListParagraph"/>
        <w:numPr>
          <w:ilvl w:val="0"/>
          <w:numId w:val="2"/>
        </w:numPr>
        <w:spacing w:after="80" w:line="280"/>
      </w:pPr>
      <w:r>
        <w:t xml:space="preserve">Expiration et rotation des sessions, invalidation immédiate des sessions lors d'un changement de mot de passe ou de rôle ;</w:t>
      </w:r>
    </w:p>
    <w:p>
      <w:pPr>
        <w:pStyle w:val="ListParagraph"/>
        <w:numPr>
          <w:ilvl w:val="0"/>
          <w:numId w:val="2"/>
        </w:numPr>
        <w:spacing w:after="80" w:line="280"/>
      </w:pPr>
      <w:r>
        <w:t xml:space="preserve">Vérification du rôle (RBAC) systématiquement côté serveur sur chaque route et Server Action — jamais uniquement côté client/UI — pour /admin, /admin/utilisateurs et /admin/demarches ;</w:t>
      </w:r>
    </w:p>
    <w:p>
      <w:pPr>
        <w:pStyle w:val="ListParagraph"/>
        <w:numPr>
          <w:ilvl w:val="0"/>
          <w:numId w:val="2"/>
        </w:numPr>
        <w:spacing w:after="80" w:line="280"/>
      </w:pPr>
      <w:r>
        <w:t xml:space="preserve">Protection contre l'IDOR : vérifier que l'utilisateur connecté est bien propriétaire d'une demande/d'une entreprise avant de la lui afficher, y compris via des identifiants devinables.</w:t>
      </w:r>
    </w:p>
    <w:p>
      <w:pPr>
        <w:pStyle w:val="Heading2"/>
        <w:spacing w:after="150" w:before="300"/>
      </w:pPr>
      <w:r>
        <w:t xml:space="preserve">6.2 Protection des données</w:t>
      </w:r>
    </w:p>
    <w:p>
      <w:pPr>
        <w:pStyle w:val="ListParagraph"/>
        <w:numPr>
          <w:ilvl w:val="0"/>
          <w:numId w:val="2"/>
        </w:numPr>
        <w:spacing w:after="80" w:line="280"/>
      </w:pPr>
      <w:r>
        <w:t xml:space="preserve">Chiffrement en transit (HTTPS strict, HSTS) et chiffrement au repos pour la base de données et les fichiers sensibles (casier judiciaire, pièces d'identité) ;</w:t>
      </w:r>
    </w:p>
    <w:p>
      <w:pPr>
        <w:pStyle w:val="ListParagraph"/>
        <w:numPr>
          <w:ilvl w:val="0"/>
          <w:numId w:val="2"/>
        </w:numPr>
        <w:spacing w:after="80" w:line="280"/>
      </w:pPr>
      <w:r>
        <w:t xml:space="preserve">URLs de fichiers Vercel Blob signées et à durée de vie limitée plutôt que des liens publics permanents ;</w:t>
      </w:r>
    </w:p>
    <w:p>
      <w:pPr>
        <w:pStyle w:val="ListParagraph"/>
        <w:numPr>
          <w:ilvl w:val="0"/>
          <w:numId w:val="2"/>
        </w:numPr>
        <w:spacing w:after="80" w:line="280"/>
      </w:pPr>
      <w:r>
        <w:t xml:space="preserve">Validation stricte des fichiers téléversés : type MIME, extension, taille maximale, et scan anti-malware avant mise à disposition d'un agent ;</w:t>
      </w:r>
    </w:p>
    <w:p>
      <w:pPr>
        <w:pStyle w:val="ListParagraph"/>
        <w:numPr>
          <w:ilvl w:val="0"/>
          <w:numId w:val="2"/>
        </w:numPr>
        <w:spacing w:after="80" w:line="280"/>
      </w:pPr>
      <w:r>
        <w:t xml:space="preserve">Journalisation d'audit : qui a consulté ou modifié quel dossier, avec horodatage — indispensable pour la traçabilité sur des données de casier judiciaire ;</w:t>
      </w:r>
    </w:p>
    <w:p>
      <w:pPr>
        <w:pStyle w:val="ListParagraph"/>
        <w:numPr>
          <w:ilvl w:val="0"/>
          <w:numId w:val="2"/>
        </w:numPr>
        <w:spacing w:after="80" w:line="280"/>
      </w:pPr>
      <w:r>
        <w:t xml:space="preserve">Politique de minimisation et de rétention : ne conserver les pièces sensibles que le temps nécessaire au traitement, avec purge programmée ;</w:t>
      </w:r>
    </w:p>
    <w:p>
      <w:pPr>
        <w:pStyle w:val="ListParagraph"/>
        <w:numPr>
          <w:ilvl w:val="0"/>
          <w:numId w:val="2"/>
        </w:numPr>
        <w:spacing w:after="80" w:line="280"/>
      </w:pPr>
      <w:r>
        <w:t xml:space="preserve">Séparation stricte des environnements (dev/staging/prod), secrets uniquement en variables d'environnement, jamais commités (le `.env.exemple` actuel est une bonne pratique à maintenir).</w:t>
      </w:r>
    </w:p>
    <w:p>
      <w:pPr>
        <w:pStyle w:val="Heading2"/>
        <w:spacing w:after="150" w:before="300"/>
      </w:pPr>
      <w:r>
        <w:t xml:space="preserve">6.3 Applicatif et infrastructure</w:t>
      </w:r>
    </w:p>
    <w:p>
      <w:pPr>
        <w:pStyle w:val="ListParagraph"/>
        <w:numPr>
          <w:ilvl w:val="0"/>
          <w:numId w:val="2"/>
        </w:numPr>
        <w:spacing w:after="80" w:line="280"/>
      </w:pPr>
      <w:r>
        <w:t xml:space="preserve">Validation de toutes les entrées utilisateur côté serveur (schémas de validation type Zod) pour les formulaires dynamiques, y compris ceux configurés par l'admin ;</w:t>
      </w:r>
    </w:p>
    <w:p>
      <w:pPr>
        <w:pStyle w:val="ListParagraph"/>
        <w:numPr>
          <w:ilvl w:val="0"/>
          <w:numId w:val="2"/>
        </w:numPr>
        <w:spacing w:after="80" w:line="280"/>
      </w:pPr>
      <w:r>
        <w:t xml:space="preserve">Protection CSRF (déjà couverte par Better Auth) et en-têtes de sécurité HTTP (Content-Security-Policy, X-Frame-Options, X-Content-Type-Options) ;</w:t>
      </w:r>
    </w:p>
    <w:p>
      <w:pPr>
        <w:pStyle w:val="ListParagraph"/>
        <w:numPr>
          <w:ilvl w:val="0"/>
          <w:numId w:val="2"/>
        </w:numPr>
        <w:spacing w:after="80" w:line="280"/>
      </w:pPr>
      <w:r>
        <w:t xml:space="preserve">Rate limiting sur les endpoints sensibles (connexion, création de compte, soumission de demande) pour limiter les abus et le credential stuffing ;</w:t>
      </w:r>
    </w:p>
    <w:p>
      <w:pPr>
        <w:pStyle w:val="ListParagraph"/>
        <w:numPr>
          <w:ilvl w:val="0"/>
          <w:numId w:val="2"/>
        </w:numPr>
        <w:spacing w:after="80" w:line="280"/>
      </w:pPr>
      <w:r>
        <w:t xml:space="preserve">Aucune donnée de carte bancaire stockée côté plateforme : déléguer intégralement au prestataire de paiement (conformité PCI-DSS portée par le PSP) ;</w:t>
      </w:r>
    </w:p>
    <w:p>
      <w:pPr>
        <w:pStyle w:val="ListParagraph"/>
        <w:numPr>
          <w:ilvl w:val="0"/>
          <w:numId w:val="2"/>
        </w:numPr>
        <w:spacing w:after="80" w:line="280"/>
      </w:pPr>
      <w:r>
        <w:t xml:space="preserve">Sauvegardes automatiques et régulières de la base de données avec test de restauration périodique, plan de reprise d'activité documenté ;</w:t>
      </w:r>
    </w:p>
    <w:p>
      <w:pPr>
        <w:pStyle w:val="ListParagraph"/>
        <w:numPr>
          <w:ilvl w:val="0"/>
          <w:numId w:val="2"/>
        </w:numPr>
        <w:spacing w:after="80" w:line="280"/>
      </w:pPr>
      <w:r>
        <w:t xml:space="preserve">Revue de dépendances (audit npm/pnpm) et mise à jour régulière pour corriger les vulnérabilités connues.</w:t>
      </w:r>
    </w:p>
    <w:p>
      <w:pPr>
        <w:pStyle w:val="Heading2"/>
        <w:spacing w:after="150" w:before="300"/>
      </w:pPr>
      <w:r>
        <w:t xml:space="preserve">6.4 Conformité réglementaire</w:t>
      </w:r>
    </w:p>
    <w:p>
      <w:pPr>
        <w:pStyle w:val="ListParagraph"/>
        <w:numPr>
          <w:ilvl w:val="0"/>
          <w:numId w:val="2"/>
        </w:numPr>
        <w:spacing w:after="80" w:line="280"/>
      </w:pPr>
      <w:r>
        <w:t xml:space="preserve">Mentions légales, politique de confidentialité, CGU et conditions tarifaires publiées et tenues à jour (déjà prévues dans le pied de page du cahier des charges) ;</w:t>
      </w:r>
    </w:p>
    <w:p>
      <w:pPr>
        <w:pStyle w:val="ListParagraph"/>
        <w:numPr>
          <w:ilvl w:val="0"/>
          <w:numId w:val="2"/>
        </w:numPr>
        <w:spacing w:after="80" w:line="280"/>
      </w:pPr>
      <w:r>
        <w:t xml:space="preserve">Déclaration/conformité auprès de l'APDP béninoise pour le traitement de données sensibles ;</w:t>
      </w:r>
    </w:p>
    <w:p>
      <w:pPr>
        <w:pStyle w:val="ListParagraph"/>
        <w:numPr>
          <w:ilvl w:val="0"/>
          <w:numId w:val="2"/>
        </w:numPr>
        <w:spacing w:after="80" w:line="280"/>
      </w:pPr>
      <w:r>
        <w:t xml:space="preserve">Procédure de gestion des demandes d'accès, de rectification et de suppression des données personnelles.</w:t>
      </w:r>
    </w:p>
    <w:p>
      <w:pPr>
        <w:pStyle w:val="Heading1"/>
        <w:spacing w:after="200" w:before="400"/>
      </w:pPr>
      <w:r>
        <w:t xml:space="preserve">7. Stratégie de tests</w:t>
      </w:r>
    </w:p>
    <w:p>
      <w:pPr>
        <w:pStyle w:val="Heading2"/>
        <w:spacing w:after="150" w:before="300"/>
      </w:pPr>
      <w:r>
        <w:t xml:space="preserve">7.1 Tests unitaires</w:t>
      </w:r>
    </w:p>
    <w:p>
      <w:pPr>
        <w:pStyle w:val="ListParagraph"/>
        <w:numPr>
          <w:ilvl w:val="0"/>
          <w:numId w:val="2"/>
        </w:numPr>
        <w:spacing w:after="80" w:line="280"/>
      </w:pPr>
      <w:r>
        <w:t xml:space="preserve">Logique métier pure : règles RBAC (`lib/roles.ts`), calcul de tarifs, moteur de scoring des simulateurs, règles de génération d'échéances ;</w:t>
      </w:r>
    </w:p>
    <w:p>
      <w:pPr>
        <w:pStyle w:val="ListParagraph"/>
        <w:numPr>
          <w:ilvl w:val="0"/>
          <w:numId w:val="2"/>
        </w:numPr>
        <w:spacing w:after="80" w:line="280"/>
      </w:pPr>
      <w:r>
        <w:t xml:space="preserve">Validation des schémas de formulaires dynamiques (champs requis, types, valeurs limites) ;</w:t>
      </w:r>
    </w:p>
    <w:p>
      <w:pPr>
        <w:pStyle w:val="ListParagraph"/>
        <w:numPr>
          <w:ilvl w:val="0"/>
          <w:numId w:val="2"/>
        </w:numPr>
        <w:spacing w:after="80" w:line="280"/>
      </w:pPr>
      <w:r>
        <w:t xml:space="preserve">Outil recommandé : Vitest, exécuté à chaque commit.</w:t>
      </w:r>
    </w:p>
    <w:p>
      <w:pPr>
        <w:pStyle w:val="Heading2"/>
        <w:spacing w:after="150" w:before="300"/>
      </w:pPr>
      <w:r>
        <w:t xml:space="preserve">7.2 Tests d'intégration</w:t>
      </w:r>
    </w:p>
    <w:p>
      <w:pPr>
        <w:pStyle w:val="ListParagraph"/>
        <w:numPr>
          <w:ilvl w:val="0"/>
          <w:numId w:val="2"/>
        </w:numPr>
        <w:spacing w:after="80" w:line="280"/>
      </w:pPr>
      <w:r>
        <w:t xml:space="preserve">Server Actions et routes API testées avec une base de données de test : création de demande, upload de pièce, changement de statut, assignation d'agent ;</w:t>
      </w:r>
    </w:p>
    <w:p>
      <w:pPr>
        <w:pStyle w:val="ListParagraph"/>
        <w:numPr>
          <w:ilvl w:val="0"/>
          <w:numId w:val="2"/>
        </w:numPr>
        <w:spacing w:after="80" w:line="280"/>
      </w:pPr>
      <w:r>
        <w:t xml:space="preserve">Vérification systématique des permissions par rôle : un client ne doit jamais pouvoir lire/modifier la demande d'un autre client ; un agent ne doit jamais pouvoir modifier un rôle utilisateur ou créer une démarche ; seul un admin peut le faire ;</w:t>
      </w:r>
    </w:p>
    <w:p>
      <w:pPr>
        <w:pStyle w:val="ListParagraph"/>
        <w:numPr>
          <w:ilvl w:val="0"/>
          <w:numId w:val="2"/>
        </w:numPr>
        <w:spacing w:after="80" w:line="280"/>
      </w:pPr>
      <w:r>
        <w:t xml:space="preserve">Test des webhooks de paiement en mode idempotent (rejouer le même événement ne doit pas dupliquer la confirmation).</w:t>
      </w:r>
    </w:p>
    <w:p>
      <w:pPr>
        <w:pStyle w:val="Heading2"/>
        <w:spacing w:after="150" w:before="300"/>
      </w:pPr>
      <w:r>
        <w:t xml:space="preserve">7.3 Tests de bout en bout (E2E)</w:t>
      </w:r>
    </w:p>
    <w:p>
      <w:pPr>
        <w:pStyle w:val="ListParagraph"/>
        <w:numPr>
          <w:ilvl w:val="0"/>
          <w:numId w:val="2"/>
        </w:numPr>
        <w:spacing w:after="80" w:line="280"/>
      </w:pPr>
      <w:r>
        <w:t xml:space="preserve">Parcours critiques avec Playwright : inscription → connexion → soumission d'une démarche → upload de pièce → paiement (sandbox) → suivi de statut → réception de notification ;</w:t>
      </w:r>
    </w:p>
    <w:p>
      <w:pPr>
        <w:pStyle w:val="ListParagraph"/>
        <w:numPr>
          <w:ilvl w:val="0"/>
          <w:numId w:val="2"/>
        </w:numPr>
        <w:spacing w:after="80" w:line="280"/>
      </w:pPr>
      <w:r>
        <w:t xml:space="preserve">Parcours back-office : connexion agent → traitement d'une demande → changement de statut → réception du message côté client ;</w:t>
      </w:r>
    </w:p>
    <w:p>
      <w:pPr>
        <w:pStyle w:val="ListParagraph"/>
        <w:numPr>
          <w:ilvl w:val="0"/>
          <w:numId w:val="2"/>
        </w:numPr>
        <w:spacing w:after="80" w:line="280"/>
      </w:pPr>
      <w:r>
        <w:t xml:space="preserve">Parcours admin : création d'une nouvelle démarche avec formulaire dynamique → vérification qu'elle apparaît correctement côté client.</w:t>
      </w:r>
    </w:p>
    <w:p>
      <w:pPr>
        <w:pStyle w:val="Heading2"/>
        <w:spacing w:after="150" w:before="300"/>
      </w:pPr>
      <w:r>
        <w:t xml:space="preserve">7.4 Tests de sécurité</w:t>
      </w:r>
    </w:p>
    <w:p>
      <w:pPr>
        <w:pStyle w:val="ListParagraph"/>
        <w:numPr>
          <w:ilvl w:val="0"/>
          <w:numId w:val="2"/>
        </w:numPr>
        <w:spacing w:after="80" w:line="280"/>
      </w:pPr>
      <w:r>
        <w:t xml:space="preserve">Tests d'intrusion (pentest) avant tout lancement public, en priorité sur l'authentification, l'IDOR et l'upload de fichiers ;</w:t>
      </w:r>
    </w:p>
    <w:p>
      <w:pPr>
        <w:pStyle w:val="ListParagraph"/>
        <w:numPr>
          <w:ilvl w:val="0"/>
          <w:numId w:val="2"/>
        </w:numPr>
        <w:spacing w:after="80" w:line="280"/>
      </w:pPr>
      <w:r>
        <w:t xml:space="preserve">Scan automatisé de vulnérabilités des dépendances intégré à la CI ;</w:t>
      </w:r>
    </w:p>
    <w:p>
      <w:pPr>
        <w:pStyle w:val="ListParagraph"/>
        <w:numPr>
          <w:ilvl w:val="0"/>
          <w:numId w:val="2"/>
        </w:numPr>
        <w:spacing w:after="80" w:line="280"/>
      </w:pPr>
      <w:r>
        <w:t xml:space="preserve">Test spécifique de non-régression RBAC à chaque évolution du back-office (les permissions sont la surface de risque la plus critique de ce produit).</w:t>
      </w:r>
    </w:p>
    <w:p>
      <w:pPr>
        <w:pStyle w:val="Heading2"/>
        <w:spacing w:after="150" w:before="300"/>
      </w:pPr>
      <w:r>
        <w:t xml:space="preserve">7.5 Tests de charge et qualité</w:t>
      </w:r>
    </w:p>
    <w:p>
      <w:pPr>
        <w:pStyle w:val="ListParagraph"/>
        <w:numPr>
          <w:ilvl w:val="0"/>
          <w:numId w:val="2"/>
        </w:numPr>
        <w:spacing w:after="80" w:line="280"/>
      </w:pPr>
      <w:r>
        <w:t xml:space="preserve">Test de charge avant les périodes de forte demande (ex. campagnes de communication), en particulier sur l'upload de fichiers et le paiement ;</w:t>
      </w:r>
    </w:p>
    <w:p>
      <w:pPr>
        <w:pStyle w:val="ListParagraph"/>
        <w:numPr>
          <w:ilvl w:val="0"/>
          <w:numId w:val="2"/>
        </w:numPr>
        <w:spacing w:after="80" w:line="280"/>
      </w:pPr>
      <w:r>
        <w:t xml:space="preserve">Vérification d'accessibilité de base (contrastes, navigation clavier, formulaires) pour un public utilisant majoritairement le mobile ;</w:t>
      </w:r>
    </w:p>
    <w:p>
      <w:pPr>
        <w:pStyle w:val="ListParagraph"/>
        <w:numPr>
          <w:ilvl w:val="0"/>
          <w:numId w:val="2"/>
        </w:numPr>
        <w:spacing w:after="80" w:line="280"/>
      </w:pPr>
      <w:r>
        <w:t xml:space="preserve">Intégration continue (GitHub Actions) : lint, vérification de types TypeScript, tests unitaires et d'intégration obligatoires avant fusion sur `main`, build de production systématique.</w:t>
      </w:r>
    </w:p>
    <w:p>
      <w:pPr>
        <w:pStyle w:val="Heading1"/>
        <w:spacing w:after="200" w:before="400"/>
      </w:pPr>
      <w:r>
        <w:t xml:space="preserve">8. Roadmap pas à pas</w:t>
      </w:r>
    </w:p>
    <w:p>
      <w:pPr>
        <w:spacing w:after="150" w:line="300"/>
      </w:pPr>
      <w:r>
        <w:t xml:space="preserve">La roadmap suit l'ordre de priorité défini en section 4, en assumant une petite équipe produit. Les durées sont indicatives et à ajuster selon la taille de l'équipe.</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000"/>
        <w:gridCol w:w="4200"/>
        <w:gridCol w:w="1500"/>
        <w:gridCol w:w="1800"/>
      </w:tblGrid>
      <w:tr>
        <w:trPr>
          <w:tblHeader/>
        </w:trPr>
        <w:tc>
          <w:tcPr>
            <w:tcW w:type="dxa" w:w="2000"/>
            <w:shd w:fill="141A29" w:val="clear"/>
          </w:tcPr>
          <w:p>
            <w:r>
              <w:rPr>
                <w:b/>
                <w:bCs/>
                <w:color w:val="FFFFFF"/>
                <w:sz w:val="20"/>
                <w:szCs w:val="20"/>
              </w:rPr>
              <w:t xml:space="preserve">Phase</w:t>
            </w:r>
          </w:p>
        </w:tc>
        <w:tc>
          <w:tcPr>
            <w:tcW w:type="dxa" w:w="4200"/>
            <w:shd w:fill="141A29" w:val="clear"/>
          </w:tcPr>
          <w:p>
            <w:r>
              <w:rPr>
                <w:b/>
                <w:bCs/>
                <w:color w:val="FFFFFF"/>
                <w:sz w:val="20"/>
                <w:szCs w:val="20"/>
              </w:rPr>
              <w:t xml:space="preserve">Contenu</w:t>
            </w:r>
          </w:p>
        </w:tc>
        <w:tc>
          <w:tcPr>
            <w:tcW w:type="dxa" w:w="1500"/>
            <w:shd w:fill="141A29" w:val="clear"/>
          </w:tcPr>
          <w:p>
            <w:r>
              <w:rPr>
                <w:b/>
                <w:bCs/>
                <w:color w:val="FFFFFF"/>
                <w:sz w:val="20"/>
                <w:szCs w:val="20"/>
              </w:rPr>
              <w:t xml:space="preserve">Durée indicative</w:t>
            </w:r>
          </w:p>
        </w:tc>
        <w:tc>
          <w:tcPr>
            <w:tcW w:type="dxa" w:w="1800"/>
            <w:shd w:fill="141A29" w:val="clear"/>
          </w:tcPr>
          <w:p>
            <w:r>
              <w:rPr>
                <w:b/>
                <w:bCs/>
                <w:color w:val="FFFFFF"/>
                <w:sz w:val="20"/>
                <w:szCs w:val="20"/>
              </w:rPr>
              <w:t xml:space="preserve">Objectif de sortie</w:t>
            </w:r>
          </w:p>
        </w:tc>
      </w:tr>
      <w:tr>
        <w:tc>
          <w:tcPr>
            <w:tcW w:type="dxa" w:w="2000"/>
            <w:shd w:fill="FFFFFF" w:val="clear"/>
          </w:tcPr>
          <w:p>
            <w:pPr>
              <w:spacing w:line="260"/>
            </w:pPr>
            <w:r>
              <w:rPr>
                <w:sz w:val="20"/>
                <w:szCs w:val="20"/>
              </w:rPr>
              <w:t xml:space="preserve">Phase 0 — Stabilisation</w:t>
            </w:r>
          </w:p>
        </w:tc>
        <w:tc>
          <w:tcPr>
            <w:tcW w:type="dxa" w:w="4200"/>
            <w:shd w:fill="FFFFFF" w:val="clear"/>
          </w:tcPr>
          <w:p>
            <w:pPr>
              <w:spacing w:line="260"/>
            </w:pPr>
            <w:r>
              <w:rPr>
                <w:sz w:val="20"/>
                <w:szCs w:val="20"/>
              </w:rPr>
              <w:t xml:space="preserve">Durcissement sécurité de l'existant (RBAC serveur, 2FA agents/admin, chiffrement, audit logs), CGU/politique de confidentialité, tests de non-régression sur l'existant</w:t>
            </w:r>
          </w:p>
        </w:tc>
        <w:tc>
          <w:tcPr>
            <w:tcW w:type="dxa" w:w="1500"/>
            <w:shd w:fill="FFFFFF" w:val="clear"/>
          </w:tcPr>
          <w:p>
            <w:pPr>
              <w:spacing w:line="260"/>
            </w:pPr>
            <w:r>
              <w:rPr>
                <w:sz w:val="20"/>
                <w:szCs w:val="20"/>
              </w:rPr>
              <w:t xml:space="preserve">2–3 semaines</w:t>
            </w:r>
          </w:p>
        </w:tc>
        <w:tc>
          <w:tcPr>
            <w:tcW w:type="dxa" w:w="1800"/>
            <w:shd w:fill="FFFFFF" w:val="clear"/>
          </w:tcPr>
          <w:p>
            <w:pPr>
              <w:spacing w:line="260"/>
            </w:pPr>
            <w:r>
              <w:rPr>
                <w:sz w:val="20"/>
                <w:szCs w:val="20"/>
              </w:rPr>
              <w:t xml:space="preserve">Le MVP actuel est sûr et conforme avant d'ajouter du périmètre</w:t>
            </w:r>
          </w:p>
        </w:tc>
      </w:tr>
      <w:tr>
        <w:tc>
          <w:tcPr>
            <w:tcW w:type="dxa" w:w="2000"/>
            <w:shd w:fill="F2F2F2" w:val="clear"/>
          </w:tcPr>
          <w:p>
            <w:pPr>
              <w:spacing w:line="260"/>
            </w:pPr>
            <w:r>
              <w:rPr>
                <w:sz w:val="20"/>
                <w:szCs w:val="20"/>
              </w:rPr>
              <w:t xml:space="preserve">Phase 1 — Fondations (P0)</w:t>
            </w:r>
          </w:p>
        </w:tc>
        <w:tc>
          <w:tcPr>
            <w:tcW w:type="dxa" w:w="4200"/>
            <w:shd w:fill="F2F2F2" w:val="clear"/>
          </w:tcPr>
          <w:p>
            <w:pPr>
              <w:spacing w:line="260"/>
            </w:pPr>
            <w:r>
              <w:rPr>
                <w:sz w:val="20"/>
                <w:szCs w:val="20"/>
              </w:rPr>
              <w:t xml:space="preserve">Paiement Mobile Money + carte, notifications e-mail/SMS/WhatsApp, élargissement du catalogue de démarches administratives via l'éditeur existant</w:t>
            </w:r>
          </w:p>
        </w:tc>
        <w:tc>
          <w:tcPr>
            <w:tcW w:type="dxa" w:w="1500"/>
            <w:shd w:fill="F2F2F2" w:val="clear"/>
          </w:tcPr>
          <w:p>
            <w:pPr>
              <w:spacing w:line="260"/>
            </w:pPr>
            <w:r>
              <w:rPr>
                <w:sz w:val="20"/>
                <w:szCs w:val="20"/>
              </w:rPr>
              <w:t xml:space="preserve">4–6 semaines</w:t>
            </w:r>
          </w:p>
        </w:tc>
        <w:tc>
          <w:tcPr>
            <w:tcW w:type="dxa" w:w="1800"/>
            <w:shd w:fill="F2F2F2" w:val="clear"/>
          </w:tcPr>
          <w:p>
            <w:pPr>
              <w:spacing w:line="260"/>
            </w:pPr>
            <w:r>
              <w:rPr>
                <w:sz w:val="20"/>
                <w:szCs w:val="20"/>
              </w:rPr>
              <w:t xml:space="preserve">Le produit actuel devient commercialement complet et autonome</w:t>
            </w:r>
          </w:p>
        </w:tc>
      </w:tr>
      <w:tr>
        <w:tc>
          <w:tcPr>
            <w:tcW w:type="dxa" w:w="2000"/>
            <w:shd w:fill="FFFFFF" w:val="clear"/>
          </w:tcPr>
          <w:p>
            <w:pPr>
              <w:spacing w:line="260"/>
            </w:pPr>
            <w:r>
              <w:rPr>
                <w:sz w:val="20"/>
                <w:szCs w:val="20"/>
              </w:rPr>
              <w:t xml:space="preserve">Phase 2 — Cœur de valeur (P1)</w:t>
            </w:r>
          </w:p>
        </w:tc>
        <w:tc>
          <w:tcPr>
            <w:tcW w:type="dxa" w:w="4200"/>
            <w:shd w:fill="FFFFFF" w:val="clear"/>
          </w:tcPr>
          <w:p>
            <w:pPr>
              <w:spacing w:line="260"/>
            </w:pPr>
            <w:r>
              <w:rPr>
                <w:sz w:val="20"/>
                <w:szCs w:val="20"/>
              </w:rPr>
              <w:t xml:space="preserve">Créer mon entreprise + quiz forme juridique, Mes formalités (créer/modifier/cesser), bibliothèque de modèles juridiques, conseil juridique</w:t>
            </w:r>
          </w:p>
        </w:tc>
        <w:tc>
          <w:tcPr>
            <w:tcW w:type="dxa" w:w="1500"/>
            <w:shd w:fill="FFFFFF" w:val="clear"/>
          </w:tcPr>
          <w:p>
            <w:pPr>
              <w:spacing w:line="260"/>
            </w:pPr>
            <w:r>
              <w:rPr>
                <w:sz w:val="20"/>
                <w:szCs w:val="20"/>
              </w:rPr>
              <w:t xml:space="preserve">8–12 semaines</w:t>
            </w:r>
          </w:p>
        </w:tc>
        <w:tc>
          <w:tcPr>
            <w:tcW w:type="dxa" w:w="1800"/>
            <w:shd w:fill="FFFFFF" w:val="clear"/>
          </w:tcPr>
          <w:p>
            <w:pPr>
              <w:spacing w:line="260"/>
            </w:pPr>
            <w:r>
              <w:rPr>
                <w:sz w:val="20"/>
                <w:szCs w:val="20"/>
              </w:rPr>
              <w:t xml:space="preserve">La plateforme devient une vraie LegalTech, alignée sur la vision Legalstart</w:t>
            </w:r>
          </w:p>
        </w:tc>
      </w:tr>
      <w:tr>
        <w:tc>
          <w:tcPr>
            <w:tcW w:type="dxa" w:w="2000"/>
            <w:shd w:fill="F2F2F2" w:val="clear"/>
          </w:tcPr>
          <w:p>
            <w:pPr>
              <w:spacing w:line="260"/>
            </w:pPr>
            <w:r>
              <w:rPr>
                <w:sz w:val="20"/>
                <w:szCs w:val="20"/>
              </w:rPr>
              <w:t xml:space="preserve">Phase 3 — Rétention (P2)</w:t>
            </w:r>
          </w:p>
        </w:tc>
        <w:tc>
          <w:tcPr>
            <w:tcW w:type="dxa" w:w="4200"/>
            <w:shd w:fill="F2F2F2" w:val="clear"/>
          </w:tcPr>
          <w:p>
            <w:pPr>
              <w:spacing w:line="260"/>
            </w:pPr>
            <w:r>
              <w:rPr>
                <w:sz w:val="20"/>
                <w:szCs w:val="20"/>
              </w:rPr>
              <w:t xml:space="preserve">Espace Mon entreprise (dossier numérique), simulateurs et diagnostic, ressources/blog, alertes d'obligations, messagerie interne</w:t>
            </w:r>
          </w:p>
        </w:tc>
        <w:tc>
          <w:tcPr>
            <w:tcW w:type="dxa" w:w="1500"/>
            <w:shd w:fill="F2F2F2" w:val="clear"/>
          </w:tcPr>
          <w:p>
            <w:pPr>
              <w:spacing w:line="260"/>
            </w:pPr>
            <w:r>
              <w:rPr>
                <w:sz w:val="20"/>
                <w:szCs w:val="20"/>
              </w:rPr>
              <w:t xml:space="preserve">6–10 semaines</w:t>
            </w:r>
          </w:p>
        </w:tc>
        <w:tc>
          <w:tcPr>
            <w:tcW w:type="dxa" w:w="1800"/>
            <w:shd w:fill="F2F2F2" w:val="clear"/>
          </w:tcPr>
          <w:p>
            <w:pPr>
              <w:spacing w:line="260"/>
            </w:pPr>
            <w:r>
              <w:rPr>
                <w:sz w:val="20"/>
                <w:szCs w:val="20"/>
              </w:rPr>
              <w:t xml:space="preserve">Le client revient sur la durée, pas seulement pour une transaction ponctuelle</w:t>
            </w:r>
          </w:p>
        </w:tc>
      </w:tr>
      <w:tr>
        <w:tc>
          <w:tcPr>
            <w:tcW w:type="dxa" w:w="2000"/>
            <w:shd w:fill="FFFFFF" w:val="clear"/>
          </w:tcPr>
          <w:p>
            <w:pPr>
              <w:spacing w:line="260"/>
            </w:pPr>
            <w:r>
              <w:rPr>
                <w:sz w:val="20"/>
                <w:szCs w:val="20"/>
              </w:rPr>
              <w:t xml:space="preserve">Phase 4 — Extension (P3)</w:t>
            </w:r>
          </w:p>
        </w:tc>
        <w:tc>
          <w:tcPr>
            <w:tcW w:type="dxa" w:w="4200"/>
            <w:shd w:fill="FFFFFF" w:val="clear"/>
          </w:tcPr>
          <w:p>
            <w:pPr>
              <w:spacing w:line="260"/>
            </w:pPr>
            <w:r>
              <w:rPr>
                <w:sz w:val="20"/>
                <w:szCs w:val="20"/>
              </w:rPr>
              <w:t xml:space="preserve">Solutions entreprises en abonnement, extension OHADA, assistant d'orientation</w:t>
            </w:r>
          </w:p>
        </w:tc>
        <w:tc>
          <w:tcPr>
            <w:tcW w:type="dxa" w:w="1500"/>
            <w:shd w:fill="FFFFFF" w:val="clear"/>
          </w:tcPr>
          <w:p>
            <w:pPr>
              <w:spacing w:line="260"/>
            </w:pPr>
            <w:r>
              <w:rPr>
                <w:sz w:val="20"/>
                <w:szCs w:val="20"/>
              </w:rPr>
              <w:t xml:space="preserve">Continu, post product-market fit</w:t>
            </w:r>
          </w:p>
        </w:tc>
        <w:tc>
          <w:tcPr>
            <w:tcW w:type="dxa" w:w="1800"/>
            <w:shd w:fill="FFFFFF" w:val="clear"/>
          </w:tcPr>
          <w:p>
            <w:pPr>
              <w:spacing w:line="260"/>
            </w:pPr>
            <w:r>
              <w:rPr>
                <w:sz w:val="20"/>
                <w:szCs w:val="20"/>
              </w:rPr>
              <w:t xml:space="preserve">Croissance et diversification des revenus</w:t>
            </w:r>
          </w:p>
        </w:tc>
      </w:tr>
    </w:tbl>
    <w:p>
      <w:pPr>
        <w:spacing w:before="250"/>
      </w:pPr>
    </w:p>
    <w:p>
      <w:pPr>
        <w:pStyle w:val="Heading2"/>
        <w:spacing w:after="150" w:before="300"/>
      </w:pPr>
      <w:r>
        <w:t xml:space="preserve">8.1 Points de vigilance transverses</w:t>
      </w:r>
    </w:p>
    <w:p>
      <w:pPr>
        <w:pStyle w:val="ListParagraph"/>
        <w:numPr>
          <w:ilvl w:val="0"/>
          <w:numId w:val="2"/>
        </w:numPr>
        <w:spacing w:after="80" w:line="280"/>
      </w:pPr>
      <w:r>
        <w:t xml:space="preserve">Ne pas ouvrir la Phase 2 avant d'avoir un paiement et des notifications fiables : la crédibilité de la plateforme se joue sur ces deux points dès les premiers utilisateurs payants ;</w:t>
      </w:r>
    </w:p>
    <w:p>
      <w:pPr>
        <w:pStyle w:val="ListParagraph"/>
        <w:numPr>
          <w:ilvl w:val="0"/>
          <w:numId w:val="2"/>
        </w:numPr>
        <w:spacing w:after="80" w:line="280"/>
      </w:pPr>
      <w:r>
        <w:t xml:space="preserve">Chaque nouvelle « démarche » doit être testée en RBAC (client/agent/admin) avant mise en production, car c'est la surface de risque principale ;</w:t>
      </w:r>
    </w:p>
    <w:p>
      <w:pPr>
        <w:pStyle w:val="ListParagraph"/>
        <w:numPr>
          <w:ilvl w:val="0"/>
          <w:numId w:val="2"/>
        </w:numPr>
        <w:spacing w:after="80" w:line="280"/>
      </w:pPr>
      <w:r>
        <w:t xml:space="preserve">Impliquer un juriste métier dès la Phase 2 pour valider le contenu des formulaires de création d'entreprise, des modèles de documents et du quiz de forme juridique — l'exactitude juridique est un risque de réputation direct ;</w:t>
      </w:r>
    </w:p>
    <w:p>
      <w:pPr>
        <w:pStyle w:val="ListParagraph"/>
        <w:numPr>
          <w:ilvl w:val="0"/>
          <w:numId w:val="2"/>
        </w:numPr>
        <w:spacing w:after="80" w:line="280"/>
      </w:pPr>
      <w:r>
        <w:t xml:space="preserve">Prévoir dès la Phase 1 la structure de données « Entreprise » même minimale, pour éviter une migration lourde au moment de construire l'espace « Mon entreprise » en Phase 3.</w:t>
      </w:r>
    </w:p>
    <w:p>
      <w:pPr>
        <w:pStyle w:val="Heading1"/>
        <w:spacing w:after="200" w:before="400"/>
      </w:pPr>
      <w:r>
        <w:t xml:space="preserve">9. Conclusion</w:t>
      </w:r>
    </w:p>
    <w:p>
      <w:pPr>
        <w:spacing w:after="150" w:line="300"/>
      </w:pPr>
      <w:r>
        <w:t xml:space="preserve">LegalDoc BJ dispose déjà d'une base technique saine (Next.js, Drizzle, Better Auth, RBAC) et d'un premier parcours de bout en bout fonctionnel pour 3 démarches administratives. L'écart avec le cahier des charges n'est donc pas un problème d'architecture mais un problème de périmètre fonctionnel et de fondations manquantes (paiement, notifications, conformité des données).</w:t>
      </w:r>
    </w:p>
    <w:p>
      <w:pPr>
        <w:spacing w:after="150" w:line="300"/>
      </w:pPr>
      <w:r>
        <w:t xml:space="preserve">La séquence recommandée est : sécuriser et monétiser l'existant (Phase 0-1), puis construire le cœur de la proposition de valeur "création d'entreprise + formalités + conseil juridique" (Phase 2), avant d'investir dans la fidélisation et la différenciation (Phase 3) puis l'extension (Phase 4). Cette approche permet de générer de la valeur commerciale à chaque phase plutôt que d'attendre une refonte complète avant le premier lancement utile.</w:t>
      </w:r>
    </w:p>
    <w:sectPr>
      <w:pgSz w:w="11906" w:h="16838"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60"/>
      </w:pPr>
    </w:lvl>
    <w:lvl w:ilvl="1" w15:tentative="1">
      <w:start w:val="1"/>
      <w:numFmt w:val="bullet"/>
      <w:lvlText w:val="◦"/>
      <w:lvlJc w:val="left"/>
      <w:pPr>
        <w:ind w:left="80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22222"/>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pBdr>
        <w:bottom w:val="single" w:color="B08B2E" w:sz="8" w:space="4"/>
      </w:pBdr>
      <w:spacing w:after="200" w:before="400"/>
    </w:pPr>
    <w:rPr>
      <w:rFonts w:ascii="Calibri" w:cs="Calibri" w:eastAsia="Calibri" w:hAnsi="Calibri"/>
      <w:b/>
      <w:bCs/>
      <w:color w:val="141A29"/>
      <w:sz w:val="32"/>
      <w:szCs w:val="32"/>
    </w:rPr>
  </w:style>
  <w:style w:type="paragraph" w:styleId="Heading2">
    <w:name w:val="Heading 2"/>
    <w:basedOn w:val="Normal"/>
    <w:next w:val="Normal"/>
    <w:pPr>
      <w:spacing w:after="150" w:before="300"/>
    </w:pPr>
    <w:rPr>
      <w:rFonts w:ascii="Calibri" w:cs="Calibri" w:eastAsia="Calibri" w:hAnsi="Calibri"/>
      <w:b/>
      <w:bCs/>
      <w:color w:val="141A29"/>
      <w:sz w:val="26"/>
      <w:szCs w:val="26"/>
    </w:rPr>
  </w:style>
  <w:style w:type="paragraph" w:styleId="Heading3">
    <w:name w:val="Heading 3"/>
    <w:basedOn w:val="Normal"/>
    <w:next w:val="Normal"/>
    <w:pPr>
      <w:spacing w:after="100" w:before="200"/>
    </w:pPr>
    <w:rPr>
      <w:rFonts w:ascii="Calibri" w:cs="Calibri" w:eastAsia="Calibri" w:hAnsi="Calibri"/>
      <w:b/>
      <w:bCs/>
      <w:color w:val="B08B2E"/>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2026-08-21T00:31:22.066Z</dcterms:created>
  <dcterms:modified xsi:type="dcterms:W3CDTF">2026-08-21T00:31:22.078Z</dcterms:modified>
</cp:coreProperties>
</file>

<file path=docProps/custom.xml><?xml version="1.0" encoding="utf-8"?>
<Properties xmlns="http://schemas.openxmlformats.org/officeDocument/2006/custom-properties" xmlns:vt="http://schemas.openxmlformats.org/officeDocument/2006/docPropsVTypes"/>
</file>