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Technical Response — 525 kV / 2 GW HVDC Converter Station (NordLink-3 Onshore Terminal)</w:t>
      </w:r>
    </w:p>
    <w:p>
      <w:pPr>
        <w:pStyle w:val="BodyText"/>
        <w:bidi w:val="0"/>
        <w:jc w:val="start"/>
        <w:rPr/>
      </w:pPr>
      <w:r>
        <w:rPr>
          <w:i/>
        </w:rPr>
        <w:t>This document is the Contractor's response to TSO-HVDC-2026-0142,</w:t>
      </w:r>
      <w:r>
        <w:rPr/>
        <w:t> </w:t>
      </w:r>
      <w:r>
        <w:rPr>
          <w:i/>
        </w:rPr>
        <w:t>Revision B. It addresses every requirement in the source document</w:t>
      </w:r>
      <w:r>
        <w:rPr/>
        <w:t> </w:t>
      </w:r>
      <w:r>
        <w:rPr>
          <w:i/>
        </w:rPr>
        <w:t>and includes a compliance matrix.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Executive Summary</w:t>
      </w:r>
    </w:p>
    <w:p>
      <w:pPr>
        <w:pStyle w:val="Heading2"/>
        <w:bidi w:val="0"/>
        <w:ind w:hanging="0" w:start="0"/>
        <w:jc w:val="start"/>
        <w:rPr/>
      </w:pPr>
      <w:r>
        <w:rPr/>
        <w:t>2. Scope of Supply</w:t>
      </w:r>
    </w:p>
    <w:p>
      <w:pPr>
        <w:pStyle w:val="Heading2"/>
        <w:bidi w:val="0"/>
        <w:ind w:hanging="0" w:start="0"/>
        <w:jc w:val="start"/>
        <w:rPr/>
      </w:pPr>
      <w:r>
        <w:rPr/>
        <w:t>3. AC and DC Interfaces</w:t>
      </w:r>
    </w:p>
    <w:p>
      <w:pPr>
        <w:pStyle w:val="Heading2"/>
        <w:bidi w:val="0"/>
        <w:ind w:hanging="0" w:start="0"/>
        <w:jc w:val="start"/>
        <w:rPr/>
      </w:pPr>
      <w:r>
        <w:rPr/>
        <w:t>4. Performance and Availability</w:t>
      </w:r>
    </w:p>
    <w:p>
      <w:pPr>
        <w:pStyle w:val="Heading2"/>
        <w:bidi w:val="0"/>
        <w:ind w:hanging="0" w:start="0"/>
        <w:jc w:val="start"/>
        <w:rPr/>
      </w:pPr>
      <w:r>
        <w:rPr/>
        <w:t>5. Protection, Control, and Communications</w:t>
      </w:r>
    </w:p>
    <w:p>
      <w:pPr>
        <w:pStyle w:val="Heading2"/>
        <w:bidi w:val="0"/>
        <w:ind w:hanging="0" w:start="0"/>
        <w:jc w:val="start"/>
        <w:rPr/>
      </w:pPr>
      <w:r>
        <w:rPr/>
        <w:t>6. Transformers and Reactive Compensation</w:t>
      </w:r>
    </w:p>
    <w:p>
      <w:pPr>
        <w:pStyle w:val="Heading2"/>
        <w:bidi w:val="0"/>
        <w:ind w:hanging="0" w:start="0"/>
        <w:jc w:val="start"/>
        <w:rPr/>
      </w:pPr>
      <w:r>
        <w:rPr/>
        <w:t>7. Operational Behaviour</w:t>
      </w:r>
    </w:p>
    <w:p>
      <w:pPr>
        <w:pStyle w:val="Heading2"/>
        <w:bidi w:val="0"/>
        <w:ind w:hanging="0" w:start="0"/>
        <w:jc w:val="start"/>
        <w:rPr/>
      </w:pPr>
      <w:r>
        <w:rPr/>
        <w:t>8. Reporting</w:t>
      </w:r>
    </w:p>
    <w:p>
      <w:pPr>
        <w:pStyle w:val="Heading2"/>
        <w:bidi w:val="0"/>
        <w:ind w:hanging="0" w:start="0"/>
        <w:jc w:val="start"/>
        <w:rPr/>
      </w:pPr>
      <w:r>
        <w:rPr/>
        <w:t>9. Continuity and Recovery</w:t>
      </w:r>
    </w:p>
    <w:p>
      <w:pPr>
        <w:pStyle w:val="Heading2"/>
        <w:bidi w:val="0"/>
        <w:ind w:hanging="0" w:start="0"/>
        <w:jc w:val="start"/>
        <w:rPr/>
      </w:pPr>
      <w:r>
        <w:rPr/>
        <w:t>10. Documentation and Training</w:t>
      </w:r>
    </w:p>
    <w:p>
      <w:pPr>
        <w:pStyle w:val="Heading2"/>
        <w:bidi w:val="0"/>
        <w:ind w:hanging="0" w:start="0"/>
        <w:jc w:val="start"/>
        <w:rPr/>
      </w:pPr>
      <w:r>
        <w:rPr/>
        <w:t>11. Lifecycle and Support</w:t>
      </w:r>
    </w:p>
    <w:p>
      <w:pPr>
        <w:pStyle w:val="Heading2"/>
        <w:bidi w:val="0"/>
        <w:ind w:hanging="0" w:start="0"/>
        <w:jc w:val="start"/>
        <w:rPr/>
      </w:pPr>
      <w:r>
        <w:rPr/>
        <w:t>12. Commercial</w:t>
      </w:r>
    </w:p>
    <w:p>
      <w:pPr>
        <w:pStyle w:val="Heading2"/>
        <w:bidi w:val="0"/>
        <w:ind w:hanging="0" w:start="0"/>
        <w:jc w:val="start"/>
        <w:rPr/>
      </w:pPr>
      <w:r>
        <w:rPr/>
        <w:t>13. Clarifications and Deviations</w:t>
      </w:r>
    </w:p>
    <w:p>
      <w:pPr>
        <w:pStyle w:val="HorizontaleLini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Compliance Matrix follows.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de-DE" w:eastAsia="zh-CN" w:bidi="hi-IN"/>
    </w:rPr>
  </w:style>
  <w:style w:type="paragraph" w:styleId="Heading1">
    <w:name w:val="heading 1"/>
    <w:basedOn w:val="berschrift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berschrift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HorizontaleLinie">
    <w:name w:val="Horizontale Lini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/>
  <dc:title/>
</cp:coreProperties>
</file>