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Calibri" w:cs="Calibri" w:eastAsia="Calibri" w:hAnsi="Calibri"/>
          <w:b/>
          <w:bCs/>
          <w:color w:val="C84B2F"/>
          <w:spacing w:val="24"/>
          <w:sz w:val="15"/>
          <w:szCs w:val="15"/>
        </w:rPr>
        <w:t xml:space="preserve">BULLSEYE MEDICAL INTELLIGENCE</w:t>
      </w:r>
    </w:p>
    <w:p>
      <w:pPr>
        <w:pStyle w:val="Heading1"/>
        <w:spacing w:after="120" w:before="0"/>
      </w:pPr>
      <w:r>
        <w:rPr>
          <w:rFonts w:ascii="Georgia" w:cs="Georgia" w:eastAsia="Georgia" w:hAnsi="Georgia"/>
          <w:color w:val="0A0A0A"/>
          <w:sz w:val="56"/>
          <w:szCs w:val="56"/>
        </w:rPr>
        <w:t xml:space="preserve">Client Onboarding — Building Your Targeting Cartridge</w:t>
      </w:r>
    </w:p>
    <w:p>
      <w:pPr>
        <w:spacing w:after="100" w:line="276"/>
      </w:pPr>
      <w:r>
        <w:rPr>
          <w:rFonts w:ascii="Calibri" w:cs="Calibri" w:eastAsia="Calibri" w:hAnsi="Calibri"/>
          <w:color w:val="0A0A0A"/>
          <w:sz w:val="21"/>
          <w:szCs w:val="21"/>
        </w:rPr>
        <w:t xml:space="preserve">Your answers here become the screening engine we score every practice against: the signals, their weights, the must-haves, and the deal-breakers — what we call your cartridge. The more concrete your answers, the sharper your shortlist. Expect 45–60 minutes; short and specific beats long and polished.</w:t>
      </w:r>
    </w:p>
    <w:p>
      <w:pPr>
        <w:spacing w:after="100" w:line="276"/>
      </w:pPr>
      <w:r>
        <w:rPr>
          <w:rFonts w:ascii="Calibri" w:cs="Calibri" w:eastAsia="Calibri" w:hAnsi="Calibri"/>
          <w:color w:val="6B6862"/>
          <w:sz w:val="20"/>
          <w:szCs w:val="20"/>
        </w:rPr>
        <w:t xml:space="preserve">What happens next: we draft the cartridge from this form, walk it back to you signal-by-signal on a review call, run a small sample batch, and calibrate together before the full run.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C84B2F" w:sz="24"/>
              <w:bottom w:val="none" w:color="FFFFFF" w:sz="0"/>
              <w:right w:val="none" w:color="FFFFFF" w:sz="0"/>
            </w:tcBorders>
            <w:shd w:fill="F7F6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color w:val="0A0A0A"/>
                <w:sz w:val="26"/>
                <w:szCs w:val="26"/>
              </w:rPr>
              <w:t xml:space="preserve">Every signal must be something a stranger could confirm from the practice’s public website in five minutes.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0A0A0A"/>
                <w:sz w:val="21"/>
                <w:szCs w:val="21"/>
              </w:rPr>
              <w:t xml:space="preserve">Our engine reads public practice websites only — never patient data, claims, or anything behind a login. “Physicians who are early adopters” can’t be scored; “lists elective procedures on its services page” can. Whenever you name a quality you want, also tell us what it looks like on a website. Your first attempt at that translation is the most valuable input in this document.</w:t>
            </w:r>
          </w:p>
        </w:tc>
      </w:tr>
    </w:tbl>
    <w:p>
      <w:pP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6F4"/>
                <w:spacing w:val="16"/>
                <w:sz w:val="16"/>
                <w:szCs w:val="16"/>
              </w:rPr>
              <w:t xml:space="preserve">INSTEAD OF…</w:t>
            </w:r>
          </w:p>
        </w:tc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6F4"/>
                <w:spacing w:val="16"/>
                <w:sz w:val="16"/>
                <w:szCs w:val="16"/>
              </w:rPr>
              <w:t xml:space="preserve">SAY…</w:t>
            </w:r>
          </w:p>
        </w:tc>
      </w:tr>
      <w:tr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862"/>
                <w:sz w:val="20"/>
                <w:szCs w:val="20"/>
              </w:rPr>
              <w:t xml:space="preserve">“Progressive, entrepreneurial physicians”</w:t>
            </w:r>
          </w:p>
        </w:tc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“Lists elective/cosmetic procedures patients pay for out of pocket”</w:t>
            </w:r>
          </w:p>
        </w:tc>
      </w:tr>
      <w:tr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862"/>
                <w:sz w:val="20"/>
                <w:szCs w:val="20"/>
              </w:rPr>
              <w:t xml:space="preserve">“Practices that value efficiency”</w:t>
            </w:r>
          </w:p>
        </w:tc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“Offers online scheduling / same-week appointments”</w:t>
            </w:r>
          </w:p>
        </w:tc>
      </w:tr>
      <w:tr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6862"/>
                <w:sz w:val="20"/>
                <w:szCs w:val="20"/>
              </w:rPr>
              <w:t xml:space="preserve">“Decision-maker owns the practice”</w:t>
            </w:r>
          </w:p>
        </w:tc>
        <w:tc>
          <w:tcPr>
            <w:tcW w:type="dxa" w:w="48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“Independent private practice — no hospital or health-system branding”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1 · Your product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Product name and one-sentence description.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What does it replace or improve for the practice?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How does the practice pay for it — and how do patients pay for the procedure it enables?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(cash-pay / insurance / hybrid — this often becomes the single most important signal)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Approximate price point / purchase model.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(capital purchase, per-procedure, subscription)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Links a skeptical physician would ask for.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(product page, clinical evidence)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2 · Your buyer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Medical specialty (or specialties) you sell to.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Practice setting that fits best — and which are acceptable vs ideal.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(independent / small group / large group / hospital-affiliated)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Who actually says yes? Who champions it day-to-day?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(physician-owner, practice manager, clinical director, treatment coordinator…)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Geography for this engagement.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(states or metros — plus any regulatory or reimbursement differences that change how attractive a market is)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3 · Must-haves — the gates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Think about calls that went nowhere because one fact ruled the practice out from the start.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List up to five things that MUST be true before a rep spends a dial.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For each: what does it look like on the practice’s website?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Which single one is the primary qualifier?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The fact that, if we can’t confirm it, the practice shouldn’t even sit in the call queue until a human checks.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4 · Positive signals — what predicts a fast close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List every observable practice behavior or service that makes a close more likely. Importance: critical / strong / nice-to-have.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280"/>
        <w:gridCol w:w="2880"/>
      </w:tblGrid>
      <w:tr>
        <w:tc>
          <w:tcPr>
            <w:tcW w:type="dxa" w:w="45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6F4"/>
                <w:spacing w:val="16"/>
                <w:sz w:val="16"/>
                <w:szCs w:val="16"/>
              </w:rPr>
              <w:t xml:space="preserve">SIGNAL — AS IT LOOKS ON THE WEBSITE</w:t>
            </w:r>
          </w:p>
        </w:tc>
        <w:tc>
          <w:tcPr>
            <w:tcW w:type="dxa" w:w="22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6F4"/>
                <w:spacing w:val="16"/>
                <w:sz w:val="16"/>
                <w:szCs w:val="16"/>
              </w:rPr>
              <w:t xml:space="preserve">IMPORTANCE</w:t>
            </w:r>
          </w:p>
        </w:tc>
        <w:tc>
          <w:tcPr>
            <w:tcW w:type="dxa" w:w="28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6F4"/>
                <w:spacing w:val="16"/>
                <w:sz w:val="16"/>
                <w:szCs w:val="16"/>
              </w:rPr>
              <w:t xml:space="preserve">WHY IT PREDICTS ADOPTION</w:t>
            </w:r>
          </w:p>
        </w:tc>
      </w:tr>
      <w:tr>
        <w:tc>
          <w:tcPr>
            <w:tcW w:type="dxa" w:w="45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  <w:tc>
          <w:tcPr>
            <w:tcW w:type="dxa" w:w="28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  <w:tc>
          <w:tcPr>
            <w:tcW w:type="dxa" w:w="28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  <w:tc>
          <w:tcPr>
            <w:tcW w:type="dxa" w:w="28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  <w:tc>
          <w:tcPr>
            <w:tcW w:type="dxa" w:w="28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  <w:tc>
          <w:tcPr>
            <w:tcW w:type="dxa" w:w="28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  <w:tc>
          <w:tcPr>
            <w:tcW w:type="dxa" w:w="288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A0A0A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Proxy evidence.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Some facts are true but rarely printed — practices take cash but never say “cash pay.” For any must-have or critical signal above, what indirect evidence implies it? (e.g. listing cosmetic procedures implies cash-pay capability)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5 · Deal-breakers and red flags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Hard disqualifiers — never call, no matter what else is true.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(e.g. hospital-owned, telehealth-only, a competing program in-house) For each: what does it look like on the website?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Red flags — bad but not fatal.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The practice stays on the list but drops in priority. Which are they, and how bad is each?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6 · Competitive landscape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Which competing products or brands matter?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For each: if a practice website mentions it, does that disqualify the practice, lower its priority, or actually help (proves budget and category awareness)?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7 · Real examples — this calibrates everything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Five dream accounts.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Real practices (name + website) that are perfect fits — current customers or ones you wish were. One line each on why.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Three near-misses.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Practices that looked like fits but turned out wrong — and what a rep only learned later. These teach the engine what “looks good but isn’t” looks like.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8 · Existing customers and do-not-call</w:t>
      </w:r>
    </w:p>
    <w:p>
      <w:pPr>
        <w:spacing w:after="100" w:line="276"/>
      </w:pPr>
      <w:r>
        <w:rPr>
          <w:rFonts w:ascii="Calibri" w:cs="Calibri" w:eastAsia="Calibri" w:hAnsi="Calibri"/>
          <w:color w:val="0A0A0A"/>
          <w:sz w:val="21"/>
          <w:szCs w:val="21"/>
        </w:rPr>
        <w:t xml:space="preserve">We exclude your current customers and do-not-contact accounts before any research spend, and they appear in your deliverables as excluded rather than silently missing.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Attach a CSV — one row per account.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Practice name, city, state, zip, and website if you have it. Column headers can be whatever your CRM exports; we’ll map them.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Anyone else we should keep off the list?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(open deals, partners, accounts under contract dispute…)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9 · The call itself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Who should the rep ask for, in order of preference?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Role names, not people — e.g. “treatment coordinator first; the physician-owner only if the coordinator is enthusiastic.”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What context makes the door open?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The one line about the practice that, if a rep knew it, would earn thirty more seconds.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pBdr>
          <w:bottom w:val="single" w:color="C84B2F" w:sz="6"/>
        </w:pBdr>
        <w:spacing w:after="100" w:before="320"/>
      </w:pPr>
      <w:r>
        <w:rPr>
          <w:rFonts w:ascii="Georgia" w:cs="Georgia" w:eastAsia="Georgia" w:hAnsi="Georgia"/>
          <w:color w:val="0A0A0A"/>
          <w:sz w:val="32"/>
          <w:szCs w:val="32"/>
        </w:rPr>
        <w:t xml:space="preserve">10 · Calibration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Shortlist strictness.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Would you rather have a shorter list you can trust blind, or a broader list where some accounts need a confirming call first? There’s no wrong answer — it sets how strict our top tier is.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Anything we didn’t ask?</w:t>
      </w:r>
      <w:r>
        <w:rPr>
          <w:rFonts w:ascii="Calibri" w:cs="Calibri" w:eastAsia="Calibri" w:hAnsi="Calibri"/>
          <w:i/>
          <w:iCs/>
          <w:color w:val="6B6862"/>
          <w:sz w:val="20"/>
          <w:szCs w:val="20"/>
        </w:rPr>
        <w:t xml:space="preserve">  Whatever your best rep knows about spotting a great account.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9D2" w:sz="4"/>
              <w:left w:val="single" w:color="DDD9D2" w:sz="4"/>
              <w:bottom w:val="single" w:color="DDD9D2" w:sz="4"/>
              <w:right w:val="single" w:color="DDD9D2" w:sz="4"/>
            </w:tcBorders>
            <w:shd w:fill="F7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240"/>
      </w:pPr>
    </w:p>
    <w:p>
      <w:pPr>
        <w:pBdr>
          <w:top w:val="single" w:color="DDD9D2" w:sz="4"/>
        </w:pBdr>
        <w:spacing w:after="0" w:before="120"/>
      </w:pPr>
      <w:r>
        <w:rPr>
          <w:rFonts w:ascii="Calibri" w:cs="Calibri" w:eastAsia="Calibri" w:hAnsi="Calibri"/>
          <w:color w:val="6B6862"/>
          <w:sz w:val="17"/>
          <w:szCs w:val="17"/>
        </w:rPr>
        <w:t xml:space="preserve">Bullseye Medical Intelligence  ·  leads@bullseyemedical.ai  ·  Your answers stay within the engagement. We only ever use public-facing practice information for research.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360" w:hanging="200"/>
      </w:pPr>
      <w:rPr>
        <w:color w:val="C84B2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2026-08-17T19:06:45.869Z</dcterms:created>
  <dcterms:modified xsi:type="dcterms:W3CDTF">2026-08-17T19:06:45.869Z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