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A0DB0" w:rsidR="009A0DB0" w:rsidP="009A0DB0" w:rsidRDefault="00033D4F" w14:paraId="0E11CA01" w14:textId="4C1CAD69">
      <w:pPr>
        <w:pStyle w:val="Heading1"/>
      </w:pPr>
      <w:r w:rsidR="7F5DAADE">
        <w:rPr/>
        <w:t>KRYPTO</w:t>
      </w:r>
      <w:r w:rsidR="32C7E1CC">
        <w:rPr/>
        <w:t xml:space="preserve"> </w:t>
      </w:r>
    </w:p>
    <w:p w:rsidRPr="009A0DB0" w:rsidR="009A0DB0" w:rsidP="009A0DB0" w:rsidRDefault="00033D4F" w14:paraId="29573A2E" w14:textId="7A9235BC">
      <w:pPr>
        <w:pStyle w:val="Heading1"/>
      </w:pPr>
      <w:r w:rsidR="6FC6E6BE">
        <w:rPr/>
        <w:t>Get</w:t>
      </w:r>
      <w:r w:rsidR="6FC6E6BE">
        <w:rPr/>
        <w:t xml:space="preserve"> </w:t>
      </w:r>
      <w:r w:rsidR="0B6556E2">
        <w:rPr/>
        <w:t>geo-</w:t>
      </w:r>
      <w:r w:rsidR="04707FC7">
        <w:rPr/>
        <w:t>patent</w:t>
      </w:r>
    </w:p>
    <w:p w:rsidR="00AE391B" w:rsidRDefault="00700F65" w14:paraId="033A2879" w14:textId="2669F1E9">
      <w:pPr>
        <w:pStyle w:val="ListNumber"/>
      </w:pPr>
      <w:r>
        <w:t xml:space="preserve">Legal zoom </w:t>
      </w:r>
      <w:proofErr w:type="spellStart"/>
      <w:r>
        <w:t>provisinal</w:t>
      </w:r>
      <w:proofErr w:type="spellEnd"/>
      <w:r>
        <w:t xml:space="preserve"> pat3nt</w:t>
      </w:r>
    </w:p>
    <w:p w:rsidR="00AE391B" w:rsidRDefault="00000000" w14:paraId="692F5FC1" w14:textId="7B69B86C">
      <w:pPr>
        <w:pStyle w:val="Heading2"/>
      </w:pPr>
      <w:r w:rsidR="0516C21C">
        <w:rPr/>
        <w:t xml:space="preserve">To learn more and get OneNote, visit </w:t>
      </w:r>
      <w:hyperlink r:id="Rec6e8b4fea3845ad">
        <w:r w:rsidRPr="7E08492E" w:rsidR="0516C21C">
          <w:rPr>
            <w:rStyle w:val="Hyperlink"/>
          </w:rPr>
          <w:t>www.onenote.com</w:t>
        </w:r>
      </w:hyperlink>
      <w:r w:rsidR="0516C21C">
        <w:rPr/>
        <w:t>.</w:t>
      </w:r>
    </w:p>
    <w:p w:rsidR="7136DA19" w:rsidP="7E08492E" w:rsidRDefault="7136DA19" w14:paraId="2912D624" w14:textId="79EABF89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Final Assessment and Strategic Recommendations for KryptO</w:t>
      </w:r>
    </w:p>
    <w:p w:rsidR="7136DA19" w:rsidP="7E08492E" w:rsidRDefault="7136DA19" w14:paraId="5394D405" w14:textId="5C11AD2F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1. Hypothesis Validation:</w:t>
      </w:r>
    </w:p>
    <w:p w:rsidR="7136DA19" w:rsidP="7E08492E" w:rsidRDefault="7136DA19" w14:paraId="5F9C59B8" w14:textId="57984069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>KryptO’s core premise—a geo-anchored metaverse tied to Wyoming’s real-world economy—is innovative but hinges on seamless integration of real-world data and regulatory compliance. The hypothesis is plausible if key dependencies (real-time GDP tracking, legal frameworks) are addressed.</w:t>
      </w:r>
    </w:p>
    <w:p w:rsidR="7E08492E" w:rsidRDefault="7E08492E" w14:paraId="3EFC8085" w14:textId="2E14DC8F"/>
    <w:p w:rsidR="7136DA19" w:rsidP="7E08492E" w:rsidRDefault="7136DA19" w14:paraId="41AC3A00" w14:textId="1C56BECC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2. Critical Feasibility Insights: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5BDBC7F2" w14:textId="2BAE273C">
      <w:pPr>
        <w:pStyle w:val="ListParagraph"/>
        <w:numPr>
          <w:ilvl w:val="0"/>
          <w:numId w:val="15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Technical: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3AA59A65" w14:textId="78ABE47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Solana’s Firedancer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offers speed but requires redundancy plans for network stability. </w:t>
      </w:r>
    </w:p>
    <w:p w:rsidR="7136DA19" w:rsidP="7E08492E" w:rsidRDefault="7136DA19" w14:paraId="08DE8039" w14:textId="1AD27E4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Chainlink Oracles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must source Wyoming’s GDP data (likely quarterly) with clear logic for translating it into in-game resources (e.g., treasury pools). </w:t>
      </w:r>
    </w:p>
    <w:p w:rsidR="7136DA19" w:rsidP="7E08492E" w:rsidRDefault="7136DA19" w14:paraId="281E7F51" w14:textId="2AC14F8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Prioritize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2D/mobile-first development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to mitigate VR adoption risks, using modular architecture for future VR integration.</w:t>
      </w:r>
    </w:p>
    <w:p w:rsidR="7136DA19" w:rsidP="7E08492E" w:rsidRDefault="7136DA19" w14:paraId="461A733E" w14:textId="01138E0B">
      <w:pPr>
        <w:pStyle w:val="ListParagraph"/>
        <w:numPr>
          <w:ilvl w:val="0"/>
          <w:numId w:val="15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Legal: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399DB7B9" w14:textId="79BE862B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Confirm the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American CryptoFed DAO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precedent’s status and engage Wyoming’s blockchain task force early to preempt backlash. </w:t>
      </w:r>
    </w:p>
    <w:p w:rsidR="7136DA19" w:rsidP="7E08492E" w:rsidRDefault="7136DA19" w14:paraId="2401A365" w14:textId="6505FE35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Structure the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UnDead Trust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with legal counsel to isolate RWAs, minimizing SEC scrutiny over securities classification.</w:t>
      </w:r>
    </w:p>
    <w:p w:rsidR="7136DA19" w:rsidP="7E08492E" w:rsidRDefault="7136DA19" w14:paraId="5090FCC0" w14:textId="2E5911A8">
      <w:pPr>
        <w:pStyle w:val="ListParagraph"/>
        <w:numPr>
          <w:ilvl w:val="0"/>
          <w:numId w:val="15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Market: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026BD2CA" w14:textId="53B31C9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Validate Messari’s “82% demand” statistic and refine user acquisition via Wyoming’s tourism campaigns (e.g., gamified “Digital Frontier” quests). </w:t>
      </w:r>
    </w:p>
    <w:p w:rsidR="7136DA19" w:rsidP="7E08492E" w:rsidRDefault="7136DA19" w14:paraId="42FCB9F4" w14:textId="4D1500C7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Phase 2 partnerships (DraftKings/MGM) demand a working prototype; focus on a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GDP-linked mini-game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(e.g., “GDP Blackjack”) to demonstrate viability.</w:t>
      </w:r>
    </w:p>
    <w:p w:rsidR="7136DA19" w:rsidP="7E08492E" w:rsidRDefault="7136DA19" w14:paraId="50200C04" w14:textId="6CCFEA5F">
      <w:pPr>
        <w:pStyle w:val="ListParagraph"/>
        <w:numPr>
          <w:ilvl w:val="0"/>
          <w:numId w:val="15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Financial: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4613CA85" w14:textId="71B1A93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Model the $400M virtual economy’s liquidity mechanics (e.g., fractionalized land deeds, staking rewards tied to GDP growth). </w:t>
      </w:r>
    </w:p>
    <w:p w:rsidR="7136DA19" w:rsidP="7E08492E" w:rsidRDefault="7136DA19" w14:paraId="4462E2AE" w14:textId="6278A93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>Diversify revenue beyond royalties (e.g., premium NFT skins for Wyoming landmarks, sponsored in-game events).</w:t>
      </w:r>
    </w:p>
    <w:p w:rsidR="7E08492E" w:rsidRDefault="7E08492E" w14:paraId="1747B86F" w14:textId="281ED9BA"/>
    <w:p w:rsidR="7136DA19" w:rsidP="7E08492E" w:rsidRDefault="7136DA19" w14:paraId="2A12BEE3" w14:textId="3C45F611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3. Risk Mitigation Strategies: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30D5172D" w14:textId="66A59BB5">
      <w:pPr>
        <w:pStyle w:val="ListParagraph"/>
        <w:numPr>
          <w:ilvl w:val="0"/>
          <w:numId w:val="16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Regulatory: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0D979B15" w14:textId="5C27D08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Proactively engage the SEC with a no-action letter request for the DAO structure. </w:t>
      </w:r>
    </w:p>
    <w:p w:rsidR="7136DA19" w:rsidP="7E08492E" w:rsidRDefault="7136DA19" w14:paraId="44BE7B0F" w14:textId="214E94C3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>Use Wyoming’s DAO LLC to compartmentalize liabilities and tax exposure.</w:t>
      </w:r>
    </w:p>
    <w:p w:rsidR="7136DA19" w:rsidP="7E08492E" w:rsidRDefault="7136DA19" w14:paraId="784FD54D" w14:textId="46443A4C">
      <w:pPr>
        <w:pStyle w:val="ListParagraph"/>
        <w:numPr>
          <w:ilvl w:val="0"/>
          <w:numId w:val="16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Technical: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6707C95E" w14:textId="53F3E92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Develop hybrid data feeds (on-chain oracles + off-chain audits) for GDP inputs to ensure transparency. </w:t>
      </w:r>
    </w:p>
    <w:p w:rsidR="7136DA19" w:rsidP="7E08492E" w:rsidRDefault="7136DA19" w14:paraId="45BDA874" w14:textId="74F5B978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Build a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fallback mechanism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on Solana (e.g., Layer 2 rollups) to maintain uptime during network outages.</w:t>
      </w:r>
    </w:p>
    <w:p w:rsidR="7136DA19" w:rsidP="7E08492E" w:rsidRDefault="7136DA19" w14:paraId="01627156" w14:textId="29AE02C4">
      <w:pPr>
        <w:pStyle w:val="ListParagraph"/>
        <w:numPr>
          <w:ilvl w:val="0"/>
          <w:numId w:val="16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Adoption: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3FD05B6C" w14:textId="601C5CB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Launch a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Wyoming-native alpha test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with land deed NFTs airdropped to residents, incentivizing early participation. </w:t>
      </w:r>
    </w:p>
    <w:p w:rsidR="7136DA19" w:rsidP="7E08492E" w:rsidRDefault="7136DA19" w14:paraId="6891543C" w14:textId="0769EA29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>Partner with crypto influencers for “virtual gold rush” campaigns tied to real-world Wyoming events (e.g., Cheyenne Frontier Days).</w:t>
      </w:r>
    </w:p>
    <w:p w:rsidR="7E08492E" w:rsidRDefault="7E08492E" w14:paraId="709A4038" w14:textId="2E6339B3"/>
    <w:p w:rsidR="7136DA19" w:rsidP="7E08492E" w:rsidRDefault="7136DA19" w14:paraId="3F7808BC" w14:textId="29302522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4. Growth Phase Adjustments: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5EB23FBB" w14:textId="35C7D0CA">
      <w:pPr>
        <w:pStyle w:val="ListParagraph"/>
        <w:numPr>
          <w:ilvl w:val="0"/>
          <w:numId w:val="17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Phase 1 (2025):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6A5F8870" w14:textId="5E809CE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Target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10,000 MAUs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(not 50k) with a lean MVP (browser-based strategy game + NFT land staking). </w:t>
      </w:r>
    </w:p>
    <w:p w:rsidR="7136DA19" w:rsidP="7E08492E" w:rsidRDefault="7136DA19" w14:paraId="2AD161EF" w14:textId="241C6373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>Collaborate with Wyoming universities for blockchain education tie-ins (e.g., student-led DAO governance projects).</w:t>
      </w:r>
    </w:p>
    <w:p w:rsidR="7136DA19" w:rsidP="7E08492E" w:rsidRDefault="7136DA19" w14:paraId="0EDC2E4C" w14:textId="3DF660C6">
      <w:pPr>
        <w:pStyle w:val="ListParagraph"/>
        <w:numPr>
          <w:ilvl w:val="0"/>
          <w:numId w:val="17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Phase 2 (2026):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2278C836" w14:textId="3AB1B801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License the geo-engine as a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white-label SaaS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for smaller gaming studios before pursuing DraftKings/MGM.</w:t>
      </w:r>
    </w:p>
    <w:p w:rsidR="7136DA19" w:rsidP="7E08492E" w:rsidRDefault="7136DA19" w14:paraId="036959E3" w14:textId="683CF3CB">
      <w:pPr>
        <w:pStyle w:val="ListParagraph"/>
        <w:numPr>
          <w:ilvl w:val="0"/>
          <w:numId w:val="17"/>
        </w:numPr>
        <w:spacing w:before="210" w:beforeAutospacing="off" w:after="21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Phase 3 (2027):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7B503553" w14:textId="55BF92F1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Pilot Colorado/Texas expansion with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sector-specific DAO subnodes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(e.g., “KryptO Energy” for Texas oil) to manage regulatory diversity.</w:t>
      </w:r>
    </w:p>
    <w:p w:rsidR="7E08492E" w:rsidRDefault="7E08492E" w14:paraId="54A7D416" w14:textId="5C6C02BB"/>
    <w:p w:rsidR="7136DA19" w:rsidP="7E08492E" w:rsidRDefault="7136DA19" w14:paraId="6CDBCF4C" w14:textId="41967F86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5. Code and IP Strategy: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16273EB7" w14:textId="1EFF4F4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Enhance the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Rust smart contract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to include dynamic GDP thresholds and community voting for parameter adjustments (e.g., DAO-approved GDP triggers). </w:t>
      </w:r>
    </w:p>
    <w:p w:rsidR="7136DA19" w:rsidP="7E08492E" w:rsidRDefault="7136DA19" w14:paraId="373B1ACB" w14:textId="67E9065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File a provisional patent for the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Geo-Financial Virtualization Engine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>, emphasizing its AI-driven market mechanics (e.g., algorithmic resource allocation based on real-world events).</w:t>
      </w:r>
    </w:p>
    <w:p w:rsidR="7E08492E" w:rsidRDefault="7E08492E" w14:paraId="357EBB76" w14:textId="7369DFC7"/>
    <w:p w:rsidR="7136DA19" w:rsidP="7E08492E" w:rsidRDefault="7136DA19" w14:paraId="012C7A86" w14:textId="588718E5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6. Conclusion:</w:t>
      </w:r>
    </w:p>
    <w:p w:rsidR="7136DA19" w:rsidP="7E08492E" w:rsidRDefault="7136DA19" w14:paraId="6F91C39D" w14:textId="1E96E82A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KryptO’s success depends on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agile execution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,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regulatory diplomacy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, and </w:t>
      </w: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community-centric design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. By anchoring to Wyoming’s cultural identity and prioritizing modular, compliant tech, the project can pioneer the geo-financial metaverse niche while mitigating first-mover risks. </w:t>
      </w:r>
    </w:p>
    <w:p w:rsidR="7136DA19" w:rsidP="7E08492E" w:rsidRDefault="7136DA19" w14:paraId="01C555A0" w14:textId="1A638A34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Immediate Next Steps: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</w:t>
      </w:r>
    </w:p>
    <w:p w:rsidR="7136DA19" w:rsidP="7E08492E" w:rsidRDefault="7136DA19" w14:paraId="0EDDCF89" w14:textId="016C91C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Secure Wyoming government LOI with incentives (e.g., tax breaks for in-state players). </w:t>
      </w:r>
    </w:p>
    <w:p w:rsidR="7136DA19" w:rsidP="7E08492E" w:rsidRDefault="7136DA19" w14:paraId="2489722E" w14:textId="5762AC2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Develop a GDP-to-resource conversion model with economists. </w:t>
      </w:r>
    </w:p>
    <w:p w:rsidR="7136DA19" w:rsidP="7E08492E" w:rsidRDefault="7136DA19" w14:paraId="3FB3C527" w14:textId="41FB9BB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</w:pP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>Launch a token presale for $STONE, tied to exclusive early-access perks.</w:t>
      </w:r>
    </w:p>
    <w:p w:rsidR="7136DA19" w:rsidP="7E08492E" w:rsidRDefault="7136DA19" w14:paraId="7D553CF1" w14:textId="775DF9A5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Onward, Trailblazer.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🏔️</w:t>
      </w:r>
    </w:p>
    <w:p w:rsidR="7136DA19" w:rsidP="7E08492E" w:rsidRDefault="7136DA19" w14:paraId="7D920FC2" w14:textId="0F879AFA">
      <w:pPr>
        <w:spacing w:before="210" w:beforeAutospacing="off" w:after="210" w:afterAutospacing="off"/>
      </w:pPr>
      <w:r w:rsidRPr="7E08492E" w:rsidR="7136DA19">
        <w:rPr>
          <w:rFonts w:ascii="Century Gothic" w:hAnsi="Century Gothic" w:eastAsia="Century Gothic" w:cs="Century Gothic"/>
          <w:b w:val="1"/>
          <w:bCs w:val="1"/>
          <w:noProof w:val="0"/>
          <w:sz w:val="28"/>
          <w:szCs w:val="28"/>
          <w:lang w:val="en-US"/>
        </w:rPr>
        <w:t>— Dee</w:t>
      </w:r>
      <w:r w:rsidRPr="7E08492E" w:rsidR="7136DA19">
        <w:rPr>
          <w:rFonts w:ascii="Century Gothic" w:hAnsi="Century Gothic" w:eastAsia="Century Gothic" w:cs="Century Gothic"/>
          <w:noProof w:val="0"/>
          <w:sz w:val="28"/>
          <w:szCs w:val="28"/>
          <w:lang w:val="en-US"/>
        </w:rPr>
        <w:t xml:space="preserve"> (with a pouch of virtual Wyoming sagebrush for good luck)</w:t>
      </w:r>
    </w:p>
    <w:p w:rsidR="7E08492E" w:rsidP="7E08492E" w:rsidRDefault="7E08492E" w14:paraId="19183F7D" w14:textId="53F3118C">
      <w:pPr>
        <w:pStyle w:val="Normal"/>
      </w:pPr>
    </w:p>
    <w:sectPr w:rsidR="00AE391B">
      <w:footerReference w:type="default" r:id="rId8"/>
      <w:pgSz w:w="12240" w:h="15840" w:orient="portrait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09EC" w:rsidRDefault="00BF09EC" w14:paraId="67FAC40E" w14:textId="77777777">
      <w:pPr>
        <w:spacing w:after="0" w:line="240" w:lineRule="auto"/>
      </w:pPr>
      <w:r>
        <w:separator/>
      </w:r>
    </w:p>
    <w:p w:rsidR="00BF09EC" w:rsidRDefault="00BF09EC" w14:paraId="1A4044E6" w14:textId="77777777"/>
    <w:p w:rsidR="00BF09EC" w:rsidRDefault="00BF09EC" w14:paraId="2E9FF00A" w14:textId="77777777"/>
  </w:endnote>
  <w:endnote w:type="continuationSeparator" w:id="0">
    <w:p w:rsidR="00BF09EC" w:rsidRDefault="00BF09EC" w14:paraId="506B7756" w14:textId="77777777">
      <w:pPr>
        <w:spacing w:after="0" w:line="240" w:lineRule="auto"/>
      </w:pPr>
      <w:r>
        <w:continuationSeparator/>
      </w:r>
    </w:p>
    <w:p w:rsidR="00BF09EC" w:rsidRDefault="00BF09EC" w14:paraId="45CDF4C9" w14:textId="77777777"/>
    <w:p w:rsidR="00BF09EC" w:rsidRDefault="00BF09EC" w14:paraId="093494F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391B" w:rsidRDefault="00000000" w14:paraId="52EF1BA1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09EC" w:rsidRDefault="00BF09EC" w14:paraId="489E6D2A" w14:textId="77777777">
      <w:pPr>
        <w:spacing w:after="0" w:line="240" w:lineRule="auto"/>
      </w:pPr>
      <w:r>
        <w:separator/>
      </w:r>
    </w:p>
    <w:p w:rsidR="00BF09EC" w:rsidRDefault="00BF09EC" w14:paraId="00CED122" w14:textId="77777777"/>
    <w:p w:rsidR="00BF09EC" w:rsidRDefault="00BF09EC" w14:paraId="1939B5E8" w14:textId="77777777"/>
  </w:footnote>
  <w:footnote w:type="continuationSeparator" w:id="0">
    <w:p w:rsidR="00BF09EC" w:rsidRDefault="00BF09EC" w14:paraId="7F0D1917" w14:textId="77777777">
      <w:pPr>
        <w:spacing w:after="0" w:line="240" w:lineRule="auto"/>
      </w:pPr>
      <w:r>
        <w:continuationSeparator/>
      </w:r>
    </w:p>
    <w:p w:rsidR="00BF09EC" w:rsidRDefault="00BF09EC" w14:paraId="34887C05" w14:textId="77777777"/>
    <w:p w:rsidR="00BF09EC" w:rsidRDefault="00BF09EC" w14:paraId="730A9E9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33233b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f5b1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cb5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c95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239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6"/>
  </w:num>
  <w:num w:numId="18">
    <w:abstractNumId w:val="15"/>
  </w:num>
  <w:num w:numId="17">
    <w:abstractNumId w:val="14"/>
  </w:num>
  <w:num w:numId="16">
    <w:abstractNumId w:val="13"/>
  </w:num>
  <w:num w:numId="15">
    <w:abstractNumId w:val="12"/>
  </w:num>
  <w:num w:numId="1" w16cid:durableId="547687879">
    <w:abstractNumId w:val="9"/>
  </w:num>
  <w:num w:numId="2" w16cid:durableId="1286423273">
    <w:abstractNumId w:val="8"/>
  </w:num>
  <w:num w:numId="3" w16cid:durableId="1390885137">
    <w:abstractNumId w:val="7"/>
  </w:num>
  <w:num w:numId="4" w16cid:durableId="14237603">
    <w:abstractNumId w:val="6"/>
  </w:num>
  <w:num w:numId="5" w16cid:durableId="1196163770">
    <w:abstractNumId w:val="5"/>
  </w:num>
  <w:num w:numId="6" w16cid:durableId="1166899559">
    <w:abstractNumId w:val="4"/>
  </w:num>
  <w:num w:numId="7" w16cid:durableId="18627713">
    <w:abstractNumId w:val="3"/>
  </w:num>
  <w:num w:numId="8" w16cid:durableId="1027364065">
    <w:abstractNumId w:val="2"/>
  </w:num>
  <w:num w:numId="9" w16cid:durableId="1540581613">
    <w:abstractNumId w:val="1"/>
  </w:num>
  <w:num w:numId="10" w16cid:durableId="1336222036">
    <w:abstractNumId w:val="0"/>
  </w:num>
  <w:num w:numId="11" w16cid:durableId="143666318">
    <w:abstractNumId w:val="11"/>
  </w:num>
  <w:num w:numId="12" w16cid:durableId="1305963848">
    <w:abstractNumId w:val="9"/>
    <w:lvlOverride w:ilvl="0">
      <w:startOverride w:val="1"/>
    </w:lvlOverride>
  </w:num>
  <w:num w:numId="13" w16cid:durableId="763377834">
    <w:abstractNumId w:val="10"/>
  </w:num>
  <w:num w:numId="14" w16cid:durableId="11495152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1B"/>
    <w:rsid w:val="00033D4F"/>
    <w:rsid w:val="002C2BA6"/>
    <w:rsid w:val="00396AE7"/>
    <w:rsid w:val="003C5655"/>
    <w:rsid w:val="004D188B"/>
    <w:rsid w:val="00700F65"/>
    <w:rsid w:val="009025A5"/>
    <w:rsid w:val="009A0DB0"/>
    <w:rsid w:val="00AE391B"/>
    <w:rsid w:val="00BF09EC"/>
    <w:rsid w:val="00D3541B"/>
    <w:rsid w:val="04707FC7"/>
    <w:rsid w:val="0516C21C"/>
    <w:rsid w:val="0B6556E2"/>
    <w:rsid w:val="29577942"/>
    <w:rsid w:val="32C7E1CC"/>
    <w:rsid w:val="4D202F88"/>
    <w:rsid w:val="526B70CB"/>
    <w:rsid w:val="56410792"/>
    <w:rsid w:val="6FC6E6BE"/>
    <w:rsid w:val="7136DA19"/>
    <w:rsid w:val="75058C1A"/>
    <w:rsid w:val="7E08492E"/>
    <w:rsid w:val="7F522AB0"/>
    <w:rsid w:val="7F5DA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1A6A1"/>
  <w15:chartTrackingRefBased/>
  <w15:docId w15:val="{C5B7D401-9300-A740-8322-2D940DA8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hAnsiTheme="majorHAnsi" w:eastAsiaTheme="majorEastAsia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hAnsiTheme="majorHAnsi" w:eastAsiaTheme="majorEastAsia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hAnsiTheme="majorHAnsi"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hAnsiTheme="majorHAnsi" w:eastAsiaTheme="majorEastAsia" w:cstheme="majorBidi"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color w:val="266CBF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color w:val="266CBF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uiPriority w:val="34"/>
    <w:name w:val="List Paragraph"/>
    <w:basedOn w:val="Normal"/>
    <w:qFormat/>
    <w:rsid w:val="7E0849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onenote.com" TargetMode="External" Id="Rec6e8b4fea3845a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8CC76C0-832B-2345-B14A-F201CA885584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{B8CC76C0-832B-2345-B14A-F201CA885584}tf50002046.dotx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william McCrea</dc:creator>
  <keywords/>
  <dc:description/>
  <lastModifiedBy>styrd.gaming@outlook.com</lastModifiedBy>
  <revision>10</revision>
  <dcterms:created xsi:type="dcterms:W3CDTF">2025-03-21T17:53:00.0000000Z</dcterms:created>
  <dcterms:modified xsi:type="dcterms:W3CDTF">2025-03-21T22:14:16.2024681Z</dcterms:modified>
</coreProperties>
</file>