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60"/>
        <w:jc w:val="center"/>
      </w:pPr>
      <w:r>
        <w:rPr>
          <w:rFonts w:ascii="Arial" w:cs="Arial" w:eastAsia="Arial" w:hAnsi="Arial"/>
          <w:b/>
          <w:bCs/>
          <w:color w:val="1A7A4A"/>
          <w:sz w:val="72"/>
          <w:szCs w:val="72"/>
        </w:rPr>
        <w:t xml:space="preserve">MYCELIUM NETWORK</w:t>
      </w:r>
    </w:p>
    <w:p>
      <w:pPr>
        <w:spacing w:before="0" w:after="200"/>
        <w:jc w:val="center"/>
      </w:pPr>
      <w:r>
        <w:rPr>
          <w:rFonts w:ascii="Arial" w:cs="Arial" w:eastAsia="Arial" w:hAnsi="Arial"/>
          <w:i/>
          <w:iCs/>
          <w:color w:val="555555"/>
          <w:sz w:val="30"/>
          <w:szCs w:val="30"/>
        </w:rPr>
        <w:t xml:space="preserve">IP Infrastructure for the Creator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1A"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The on-chain layer that completes WIPO.</w:t>
            </w:r>
          </w:p>
        </w:tc>
      </w:tr>
    </w:tbl>
    <w:p>
      <w:pPr>
        <w:spacing w:before="200" w:after="0"/>
      </w:pPr>
      <w:r>
        <w:t xml:space="preserve"/>
      </w:r>
    </w:p>
    <w:p>
      <w:pPr>
        <w:spacing w:before="0" w:after="60"/>
        <w:jc w:val="center"/>
      </w:pPr>
      <w:r>
        <w:rPr>
          <w:rFonts w:ascii="Arial" w:cs="Arial" w:eastAsia="Arial" w:hAnsi="Arial"/>
          <w:color w:val="666666"/>
          <w:sz w:val="22"/>
          <w:szCs w:val="22"/>
        </w:rPr>
        <w:t xml:space="preserve">Built on Solana  ·  Anchored by INFIA Group  ·  Designed for Southeast Asia</w:t>
      </w:r>
    </w:p>
    <w:p>
      <w:pPr>
        <w:jc w:val="center"/>
      </w:pPr>
      <w:r>
        <w:rPr>
          <w:rFonts w:ascii="Arial" w:cs="Arial" w:eastAsia="Arial" w:hAnsi="Arial"/>
          <w:color w:val="999999"/>
          <w:sz w:val="20"/>
          <w:szCs w:val="20"/>
        </w:rPr>
        <w:t xml:space="preserve">LITEPAPER v0.2  —  March 2026  —  Confidential</w:t>
      </w:r>
    </w:p>
    <w:p>
      <w:pPr>
        <w:spacing w:before="800" w:after="0"/>
      </w:pPr>
      <w:r>
        <w:t xml:space="preserve"/>
      </w:r>
    </w:p>
    <w:p>
      <w:r>
        <w:br w:type="page"/>
      </w:r>
    </w:p>
    <w:p>
      <w:pPr>
        <w:pBdr>
          <w:bottom w:val="single" w:color="1A7A4A" w:sz="4" w:space="4"/>
        </w:pBdr>
        <w:spacing w:before="480" w:after="200"/>
      </w:pPr>
      <w:r>
        <w:rPr>
          <w:rFonts w:ascii="Arial" w:cs="Arial" w:eastAsia="Arial" w:hAnsi="Arial"/>
          <w:b/>
          <w:bCs/>
          <w:color w:val="0F1F1A"/>
          <w:sz w:val="36"/>
          <w:szCs w:val="36"/>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4"/>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i/>
                <w:iCs/>
                <w:color w:val="0F1F1A"/>
                <w:sz w:val="22"/>
                <w:szCs w:val="22"/>
              </w:rPr>
              <w:t xml:space="preserve">Mycelium Network is a programmable IP registration, licensing, and royalty distribution protocol built on Solana — purpose-designed to complement WIPO's global IP framework, not compete with it. WIPO provides legal recognition across 193 countries. Mycelium provides the on-chain execution layer that WIPO doesn't have and cannot build: instant IP timestamping, programmable licensing, automated royalty distribution, and a WIPO-compatible evidence standard that makes on-chain records admissible in international IP arbitration. Anchored by INFIA Group's portfolio of character IP and media brands, Mycelium launches with real IP assets and real commercial relationships from day one.</w:t>
            </w:r>
          </w:p>
        </w:tc>
      </w:tr>
    </w:tbl>
    <w:p>
      <w:pPr>
        <w:spacing w:before="200" w:after="0"/>
      </w:pPr>
      <w:r>
        <w:t xml:space="preserve"/>
      </w:r>
    </w:p>
    <w:p>
      <w:pPr>
        <w:pBdr>
          <w:bottom w:val="single" w:color="1A7A4A" w:sz="4" w:space="4"/>
        </w:pBdr>
        <w:spacing w:before="480" w:after="200"/>
      </w:pPr>
      <w:r>
        <w:rPr>
          <w:rFonts w:ascii="Arial" w:cs="Arial" w:eastAsia="Arial" w:hAnsi="Arial"/>
          <w:b/>
          <w:bCs/>
          <w:color w:val="0F1F1A"/>
          <w:sz w:val="36"/>
          <w:szCs w:val="36"/>
        </w:rPr>
        <w:t xml:space="preserve">1.  The Problem</w:t>
      </w:r>
    </w:p>
    <w:p>
      <w:pPr>
        <w:spacing w:before="320" w:after="140"/>
      </w:pPr>
      <w:r>
        <w:rPr>
          <w:rFonts w:ascii="Arial" w:cs="Arial" w:eastAsia="Arial" w:hAnsi="Arial"/>
          <w:b/>
          <w:bCs/>
          <w:color w:val="1A7A4A"/>
          <w:sz w:val="28"/>
          <w:szCs w:val="28"/>
        </w:rPr>
        <w:t xml:space="preserve">1.1  Two Systems. Neither Sufficient Alone.</w:t>
      </w:r>
    </w:p>
    <w:p>
      <w:pPr>
        <w:spacing w:before="60" w:after="120"/>
        <w:jc w:val="both"/>
      </w:pPr>
      <w:r>
        <w:rPr>
          <w:rFonts w:ascii="Arial" w:cs="Arial" w:eastAsia="Arial" w:hAnsi="Arial"/>
          <w:color w:val="333333"/>
          <w:sz w:val="22"/>
          <w:szCs w:val="22"/>
        </w:rPr>
        <w:t xml:space="preserve">The global IP ecosystem has two layers — and a critical gap between them.</w:t>
      </w:r>
    </w:p>
    <w:p>
      <w:pPr>
        <w:spacing w:before="60" w:after="120"/>
        <w:jc w:val="both"/>
      </w:pPr>
      <w:r>
        <w:rPr>
          <w:rFonts w:ascii="Arial" w:cs="Arial" w:eastAsia="Arial" w:hAnsi="Arial"/>
          <w:color w:val="333333"/>
          <w:sz w:val="22"/>
          <w:szCs w:val="22"/>
        </w:rPr>
        <w:t xml:space="preserve">The first layer is WIPO: a 193-member intergovernmental organization that provides legally enforceable IP protection across borders. The Madrid System, the Patent Cooperation Treaty, the Berne Convention — these are the instruments of formal IP law. They work. But they are slow, expensive, and designed for enterprises with legal teams and multi-year timelines. A single Madrid trademark application costs CHF 653+ and takes 12–18 months to process. For an individual creator or a fast-moving media company, this infrastructure is functionally inaccessible for most of their IP.</w:t>
      </w:r>
    </w:p>
    <w:p>
      <w:pPr>
        <w:spacing w:before="60" w:after="120"/>
        <w:jc w:val="both"/>
      </w:pPr>
      <w:r>
        <w:rPr>
          <w:rFonts w:ascii="Arial" w:cs="Arial" w:eastAsia="Arial" w:hAnsi="Arial"/>
          <w:color w:val="333333"/>
          <w:sz w:val="22"/>
          <w:szCs w:val="22"/>
        </w:rPr>
        <w:t xml:space="preserve">The second layer is the open internet: where 64 million Indonesian creators generate billions of impressions, create viral formats, develop character IP, and build brands — with essentially zero formal protection. Their creative output has commercial value. It has no legal infrastructure behind it.</w:t>
      </w:r>
    </w:p>
    <w:p>
      <w:pPr>
        <w:spacing w:before="60" w:after="120"/>
        <w:jc w:val="both"/>
      </w:pPr>
      <w:r>
        <w:rPr>
          <w:rFonts w:ascii="Arial" w:cs="Arial" w:eastAsia="Arial" w:hAnsi="Arial"/>
          <w:color w:val="333333"/>
          <w:sz w:val="22"/>
          <w:szCs w:val="22"/>
        </w:rPr>
        <w:t xml:space="preserve">The gap between these two layers is where creative value is lost every day — through uncredited copying, uncompensated AI scraping, and unlicensed commercial use.</w:t>
      </w:r>
    </w:p>
    <w:p>
      <w:pPr>
        <w:spacing w:before="80" w:after="0"/>
      </w:pPr>
      <w:r>
        <w:t xml:space="preserve"/>
      </w:r>
    </w:p>
    <w:p>
      <w:pPr>
        <w:spacing w:before="320" w:after="140"/>
      </w:pPr>
      <w:r>
        <w:rPr>
          <w:rFonts w:ascii="Arial" w:cs="Arial" w:eastAsia="Arial" w:hAnsi="Arial"/>
          <w:b/>
          <w:bCs/>
          <w:color w:val="1A7A4A"/>
          <w:sz w:val="28"/>
          <w:szCs w:val="28"/>
        </w:rPr>
        <w:t xml:space="preserve">1.2  WIPO Knows This. They Are Trying to Solve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3F8A" w:sz="24"/>
              <w:bottom w:val="none" w:color="FFFFFF" w:sz="0"/>
              <w:right w:val="none" w:color="FFFFFF" w:sz="0"/>
            </w:tcBorders>
            <w:shd w:fill="E8F0FB" w:val="clear"/>
            <w:tcMar>
              <w:top w:type="dxa" w:w="160"/>
              <w:left w:type="dxa" w:w="220"/>
              <w:bottom w:type="dxa" w:w="160"/>
              <w:right w:type="dxa" w:w="220"/>
            </w:tcMar>
          </w:tcPr>
          <w:p>
            <w:r>
              <w:rPr>
                <w:rFonts w:ascii="Arial" w:cs="Arial" w:eastAsia="Arial" w:hAnsi="Arial"/>
                <w:i/>
                <w:iCs/>
                <w:color w:val="003F8A"/>
                <w:sz w:val="22"/>
                <w:szCs w:val="22"/>
              </w:rPr>
              <w:t xml:space="preserve">WIPO's Blockchain Task Force (Task No. 59) is actively developing a WIPO standard for blockchain technology in IP ecosystems — including timestamping as proof of existence, distributed IP registers, and digital identity verification for applicants.</w:t>
            </w:r>
          </w:p>
        </w:tc>
      </w:tr>
    </w:tbl>
    <w:p>
      <w:pPr>
        <w:spacing w:before="100" w:after="0"/>
      </w:pPr>
      <w:r>
        <w:t xml:space="preserve"/>
      </w:r>
    </w:p>
    <w:p>
      <w:pPr>
        <w:spacing w:before="60" w:after="120"/>
        <w:jc w:val="both"/>
      </w:pPr>
      <w:r>
        <w:rPr>
          <w:rFonts w:ascii="Arial" w:cs="Arial" w:eastAsia="Arial" w:hAnsi="Arial"/>
          <w:color w:val="333333"/>
          <w:sz w:val="22"/>
          <w:szCs w:val="22"/>
        </w:rPr>
        <w:t xml:space="preserve">WIPO launched WIPO PROOF in 2020 — a centralized timestamp service providing digital fingerprints for files. It is WIPO's own acknowledgment that the gap exists and that technology must fill it. But WIPO PROOF is centralized, per-file fee, and has no programmable licensing or royalty automation. It proves existence. It does not enable monetization.</w:t>
      </w:r>
    </w:p>
    <w:p>
      <w:pPr>
        <w:spacing w:before="60" w:after="120"/>
        <w:jc w:val="both"/>
      </w:pPr>
      <w:r>
        <w:rPr>
          <w:rFonts w:ascii="Arial" w:cs="Arial" w:eastAsia="Arial" w:hAnsi="Arial"/>
          <w:color w:val="333333"/>
          <w:sz w:val="22"/>
          <w:szCs w:val="22"/>
        </w:rPr>
        <w:t xml:space="preserve">Mycelium is what WIPO PROOF would become if it were built natively on blockchain: decentralized, creator-native, programmable, and built for the volume of the digital creator economy.</w:t>
      </w:r>
    </w:p>
    <w:p>
      <w:pPr>
        <w:spacing w:before="80" w:after="0"/>
      </w:pPr>
      <w:r>
        <w:t xml:space="preserve"/>
      </w:r>
    </w:p>
    <w:p>
      <w:pPr>
        <w:spacing w:before="320" w:after="140"/>
      </w:pPr>
      <w:r>
        <w:rPr>
          <w:rFonts w:ascii="Arial" w:cs="Arial" w:eastAsia="Arial" w:hAnsi="Arial"/>
          <w:b/>
          <w:bCs/>
          <w:color w:val="1A7A4A"/>
          <w:sz w:val="28"/>
          <w:szCs w:val="28"/>
        </w:rPr>
        <w:t xml:space="preserve">1.3  The Legal Foundation is Now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4"/>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i/>
                <w:iCs/>
                <w:color w:val="0F1F1A"/>
                <w:sz w:val="22"/>
                <w:szCs w:val="22"/>
              </w:rPr>
              <w:t xml:space="preserve">In March 2025, the Marseille Judicial Court recognized blockchain timestamps as legitimate evidence of prior existence and ownership — a landmark precedent for IP disputes globally. The court confirmed that blockchain records can meet judicial standards of credibility as corroborative evidence.</w:t>
            </w:r>
          </w:p>
        </w:tc>
      </w:tr>
    </w:tbl>
    <w:p>
      <w:pPr>
        <w:spacing w:before="100" w:after="0"/>
      </w:pPr>
      <w:r>
        <w:t xml:space="preserve"/>
      </w:r>
    </w:p>
    <w:p>
      <w:pPr>
        <w:spacing w:before="60" w:after="120"/>
        <w:jc w:val="both"/>
      </w:pPr>
      <w:r>
        <w:rPr>
          <w:rFonts w:ascii="Arial" w:cs="Arial" w:eastAsia="Arial" w:hAnsi="Arial"/>
          <w:color w:val="333333"/>
          <w:sz w:val="22"/>
          <w:szCs w:val="22"/>
        </w:rPr>
        <w:t xml:space="preserve">The question is no longer whether blockchain IP records are legally valid. They are. The question is which protocol becomes the standard infrastructure for creating them — at scale, for creators, in Southeast Asia and beyond.</w:t>
      </w:r>
    </w:p>
    <w:p>
      <w:r>
        <w:br w:type="page"/>
      </w:r>
    </w:p>
    <w:p>
      <w:pPr>
        <w:pBdr>
          <w:bottom w:val="single" w:color="1A7A4A" w:sz="4" w:space="4"/>
        </w:pBdr>
        <w:spacing w:before="480" w:after="200"/>
      </w:pPr>
      <w:r>
        <w:rPr>
          <w:rFonts w:ascii="Arial" w:cs="Arial" w:eastAsia="Arial" w:hAnsi="Arial"/>
          <w:b/>
          <w:bCs/>
          <w:color w:val="0F1F1A"/>
          <w:sz w:val="36"/>
          <w:szCs w:val="36"/>
        </w:rPr>
        <w:t xml:space="preserve">2.  The Solution: Mycelium × WIPO — The Complete Stack</w:t>
      </w:r>
    </w:p>
    <w:p>
      <w:pPr>
        <w:spacing w:before="60" w:after="120"/>
        <w:jc w:val="both"/>
      </w:pPr>
      <w:r>
        <w:rPr>
          <w:rFonts w:ascii="Arial" w:cs="Arial" w:eastAsia="Arial" w:hAnsi="Arial"/>
          <w:color w:val="333333"/>
          <w:sz w:val="22"/>
          <w:szCs w:val="22"/>
        </w:rPr>
        <w:t xml:space="preserve">Mycelium does not compete with WIPO. Mycelium completes it.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7A4A" w:val="clear"/>
            <w:tcMar>
              <w:top w:type="dxa" w:w="240"/>
              <w:left w:type="dxa" w:w="280"/>
              <w:bottom w:type="dxa" w:w="240"/>
              <w:right w:type="dxa" w:w="280"/>
            </w:tcMar>
            <w:vAlign w:val="center"/>
          </w:tcPr>
          <w:p>
            <w:pPr>
              <w:jc w:val="center"/>
            </w:pPr>
            <w:r>
              <w:rPr>
                <w:rFonts w:ascii="Arial" w:cs="Arial" w:eastAsia="Arial" w:hAnsi="Arial"/>
                <w:b/>
                <w:bCs/>
                <w:color w:val="FFFFFF"/>
                <w:sz w:val="28"/>
                <w:szCs w:val="28"/>
              </w:rPr>
              <w:t xml:space="preserve">MYCELIUM</w:t>
            </w:r>
          </w:p>
          <w:p>
            <w:pPr>
              <w:spacing w:before="60" w:after="60"/>
              <w:jc w:val="center"/>
            </w:pPr>
            <w:r>
              <w:rPr>
                <w:rFonts w:ascii="Arial" w:cs="Arial" w:eastAsia="Arial" w:hAnsi="Arial"/>
                <w:i/>
                <w:iCs/>
                <w:color w:val="CCFFDD"/>
                <w:sz w:val="19"/>
                <w:szCs w:val="19"/>
              </w:rPr>
              <w:t xml:space="preserve">On-chain execution layer
Instant · Cheap · Programmable
Every IP asset · Every creator</w:t>
            </w:r>
          </w:p>
        </w:tc>
        <w:tc>
          <w:tcPr>
            <w:tcW w:type="dxa" w:w="4680"/>
            <w:tcBorders>
              <w:top w:val="none" w:color="FFFFFF" w:sz="0"/>
              <w:left w:val="none" w:color="FFFFFF" w:sz="0"/>
              <w:bottom w:val="none" w:color="FFFFFF" w:sz="0"/>
              <w:right w:val="none" w:color="FFFFFF" w:sz="0"/>
            </w:tcBorders>
            <w:shd w:fill="003F8A" w:val="clear"/>
            <w:tcMar>
              <w:top w:type="dxa" w:w="240"/>
              <w:left w:type="dxa" w:w="280"/>
              <w:bottom w:type="dxa" w:w="240"/>
              <w:right w:type="dxa" w:w="280"/>
            </w:tcMar>
            <w:vAlign w:val="center"/>
          </w:tcPr>
          <w:p>
            <w:pPr>
              <w:jc w:val="center"/>
            </w:pPr>
            <w:r>
              <w:rPr>
                <w:rFonts w:ascii="Arial" w:cs="Arial" w:eastAsia="Arial" w:hAnsi="Arial"/>
                <w:b/>
                <w:bCs/>
                <w:color w:val="FFFFFF"/>
                <w:sz w:val="28"/>
                <w:szCs w:val="28"/>
              </w:rPr>
              <w:t xml:space="preserve">WIPO</w:t>
            </w:r>
          </w:p>
          <w:p>
            <w:pPr>
              <w:spacing w:before="60" w:after="60"/>
              <w:jc w:val="center"/>
            </w:pPr>
            <w:r>
              <w:rPr>
                <w:rFonts w:ascii="Arial" w:cs="Arial" w:eastAsia="Arial" w:hAnsi="Arial"/>
                <w:i/>
                <w:iCs/>
                <w:color w:val="CCE0FF"/>
                <w:sz w:val="19"/>
                <w:szCs w:val="19"/>
              </w:rPr>
              <w:t xml:space="preserve">Legal recognition layer
Formal · International · Enforceable
Crown jewel IP · When it matters</w:t>
            </w:r>
          </w:p>
        </w:tc>
      </w:tr>
    </w:tbl>
    <w:p>
      <w:pPr>
        <w:spacing w:before="200" w:after="0"/>
      </w:pPr>
      <w:r>
        <w:t xml:space="preserve"/>
      </w:r>
    </w:p>
    <w:p>
      <w:pPr>
        <w:spacing w:before="60" w:after="120"/>
        <w:jc w:val="both"/>
      </w:pPr>
      <w:r>
        <w:rPr>
          <w:rFonts w:ascii="Arial" w:cs="Arial" w:eastAsia="Arial" w:hAnsi="Arial"/>
          <w:color w:val="333333"/>
          <w:sz w:val="22"/>
          <w:szCs w:val="22"/>
        </w:rPr>
        <w:t xml:space="preserve">The relationship is complementary and sequential. Register everything on Mycelium — instantly, near-zero cost, with machine-readable license terms. When an IP asset proves commercial value and requires international legal protection, Mycelium's evidence package feeds directly into WIPO's formal registration and arbitration systems.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3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WIPO Alone</w:t>
            </w:r>
          </w:p>
        </w:tc>
        <w:tc>
          <w:tcPr>
            <w:tcW w:type="dxa" w:w="33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Mycelium + WIPO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Registration speed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12–18 months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Instant (Mycelium) → 12–18 months (WIPO for flagship IP)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Cost per IP</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CHF 653+ per trademark</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~$0.001 (Mycelium) + WIPO only where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Volume capacity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Limited — enterprise-scale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Unlimited — 50 posts/day/creator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Royalty automation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Automatic via smart contract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Collaborative IP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native framework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Multi-creator splits, on-chain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licensing</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infrastructure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Programmatic AI training data licensing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Dispute evidence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Traditional records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WIPO-compatible Mycelium Evidence Package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Legal enforceability</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 193 countries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(via WIPO) + blockchain corroboration</w:t>
            </w:r>
          </w:p>
        </w:tc>
      </w:tr>
    </w:tbl>
    <w:p>
      <w:pPr>
        <w:spacing w:before="200" w:after="0"/>
      </w:pPr>
      <w:r>
        <w:t xml:space="preserve"/>
      </w:r>
    </w:p>
    <w:p>
      <w:pPr>
        <w:spacing w:before="320" w:after="140"/>
      </w:pPr>
      <w:r>
        <w:rPr>
          <w:rFonts w:ascii="Arial" w:cs="Arial" w:eastAsia="Arial" w:hAnsi="Arial"/>
          <w:b/>
          <w:bCs/>
          <w:color w:val="1A7A4A"/>
          <w:sz w:val="28"/>
          <w:szCs w:val="28"/>
        </w:rPr>
        <w:t xml:space="preserve">2.1  The Three Core Primitives</w:t>
      </w:r>
    </w:p>
    <w:p>
      <w:pPr>
        <w:pStyle w:val="ListParagraph"/>
        <w:numPr>
          <w:ilvl w:val="0"/>
          <w:numId w:val="2"/>
        </w:numPr>
        <w:spacing w:before="60" w:after="60"/>
      </w:pPr>
      <w:r>
        <w:rPr>
          <w:rFonts w:ascii="Arial" w:cs="Arial" w:eastAsia="Arial" w:hAnsi="Arial"/>
          <w:b/>
          <w:bCs/>
          <w:color w:val="0F1F1A"/>
          <w:sz w:val="22"/>
          <w:szCs w:val="22"/>
        </w:rPr>
        <w:t xml:space="preserve">IP Registration: </w:t>
      </w:r>
      <w:r>
        <w:rPr>
          <w:rFonts w:ascii="Arial" w:cs="Arial" w:eastAsia="Arial" w:hAnsi="Arial"/>
          <w:color w:val="333333"/>
          <w:sz w:val="22"/>
          <w:szCs w:val="22"/>
        </w:rPr>
        <w:t xml:space="preserve">Any creator registers their work on-chain in under 60 seconds. Immutable timestamp, content hash, creator identity, WIPO-compatible metadata. Produces prior art evidence admissible in WIPO arbitration.</w:t>
      </w:r>
    </w:p>
    <w:p>
      <w:pPr>
        <w:pStyle w:val="ListParagraph"/>
        <w:numPr>
          <w:ilvl w:val="0"/>
          <w:numId w:val="2"/>
        </w:numPr>
        <w:spacing w:before="60" w:after="60"/>
      </w:pPr>
      <w:r>
        <w:rPr>
          <w:rFonts w:ascii="Arial" w:cs="Arial" w:eastAsia="Arial" w:hAnsi="Arial"/>
          <w:b/>
          <w:bCs/>
          <w:color w:val="0F1F1A"/>
          <w:sz w:val="22"/>
          <w:szCs w:val="22"/>
        </w:rPr>
        <w:t xml:space="preserve">Programmable Licensing: </w:t>
      </w:r>
      <w:r>
        <w:rPr>
          <w:rFonts w:ascii="Arial" w:cs="Arial" w:eastAsia="Arial" w:hAnsi="Arial"/>
          <w:color w:val="333333"/>
          <w:sz w:val="22"/>
          <w:szCs w:val="22"/>
        </w:rPr>
        <w:t xml:space="preserve">Machine-readable license terms set by the creator: commercial vs. non-commercial, territory, royalty rate, sublicensing rights. Enforced by smart contract. Readable by AI agents.</w:t>
      </w:r>
    </w:p>
    <w:p>
      <w:pPr>
        <w:pStyle w:val="ListParagraph"/>
        <w:numPr>
          <w:ilvl w:val="0"/>
          <w:numId w:val="2"/>
        </w:numPr>
        <w:spacing w:before="60" w:after="60"/>
      </w:pPr>
      <w:r>
        <w:rPr>
          <w:rFonts w:ascii="Arial" w:cs="Arial" w:eastAsia="Arial" w:hAnsi="Arial"/>
          <w:b/>
          <w:bCs/>
          <w:color w:val="0F1F1A"/>
          <w:sz w:val="22"/>
          <w:szCs w:val="22"/>
        </w:rPr>
        <w:t xml:space="preserve">Automated Royalty Distribution: </w:t>
      </w:r>
      <w:r>
        <w:rPr>
          <w:rFonts w:ascii="Arial" w:cs="Arial" w:eastAsia="Arial" w:hAnsi="Arial"/>
          <w:color w:val="333333"/>
          <w:sz w:val="22"/>
          <w:szCs w:val="22"/>
        </w:rPr>
        <w:t xml:space="preserve">When licensed content generates revenue, smart contracts automatically distribute payments to all registered rights holders — co-creators, parent IP, platform fee. No manual settlement.</w:t>
      </w:r>
    </w:p>
    <w:p>
      <w:pPr>
        <w:spacing w:before="100" w:after="0"/>
      </w:pPr>
      <w:r>
        <w:t xml:space="preserve"/>
      </w:r>
    </w:p>
    <w:p>
      <w:pPr>
        <w:spacing w:before="320" w:after="140"/>
      </w:pPr>
      <w:r>
        <w:rPr>
          <w:rFonts w:ascii="Arial" w:cs="Arial" w:eastAsia="Arial" w:hAnsi="Arial"/>
          <w:b/>
          <w:bCs/>
          <w:color w:val="1A7A4A"/>
          <w:sz w:val="28"/>
          <w:szCs w:val="28"/>
        </w:rPr>
        <w:t xml:space="preserve">2.2  The WIPO Integration Layer (New)</w:t>
      </w:r>
    </w:p>
    <w:p>
      <w:pPr>
        <w:spacing w:before="60" w:after="120"/>
        <w:jc w:val="both"/>
      </w:pPr>
      <w:r>
        <w:rPr>
          <w:rFonts w:ascii="Arial" w:cs="Arial" w:eastAsia="Arial" w:hAnsi="Arial"/>
          <w:color w:val="333333"/>
          <w:sz w:val="22"/>
          <w:szCs w:val="22"/>
        </w:rPr>
        <w:t xml:space="preserve">This is what elevates Mycelium from 'blockchain IP tool' to 'WIPO-complementary infrastructure.' Mycelium introduces a dedicated integration layer with four components:</w:t>
      </w:r>
    </w:p>
    <w:p>
      <w:pPr>
        <w:spacing w:before="80" w:after="0"/>
      </w:pPr>
      <w:r>
        <w:t xml:space="preserve"/>
      </w:r>
    </w:p>
    <w:p>
      <w:pPr>
        <w:spacing w:before="220" w:after="100"/>
      </w:pPr>
      <w:r>
        <w:rPr>
          <w:rFonts w:ascii="Arial" w:cs="Arial" w:eastAsia="Arial" w:hAnsi="Arial"/>
          <w:b/>
          <w:bCs/>
          <w:color w:val="0F1F1A"/>
          <w:sz w:val="24"/>
          <w:szCs w:val="24"/>
        </w:rPr>
        <w:t xml:space="preserve">Component 1 — WIPO-Compatible Metadata Standard</w:t>
      </w:r>
    </w:p>
    <w:p>
      <w:pPr>
        <w:spacing w:before="60" w:after="120"/>
        <w:jc w:val="both"/>
      </w:pPr>
      <w:r>
        <w:rPr>
          <w:rFonts w:ascii="Arial" w:cs="Arial" w:eastAsia="Arial" w:hAnsi="Arial"/>
          <w:color w:val="333333"/>
          <w:sz w:val="22"/>
          <w:szCs w:val="22"/>
        </w:rPr>
        <w:t xml:space="preserve">Every IP asset registered on Mycelium includes structured metadata fields aligned with WIPO's developing blockchain standard (Task No. 59). This ensures Mycelium records are recognized by WIPO systems as the standard matures. Fields include: creation date, creator identity attestation, IP type classification (matching WIPO Nice Classification for trademarks), content description, and prior art references.</w:t>
      </w:r>
    </w:p>
    <w:p>
      <w:pPr>
        <w:spacing w:before="80" w:after="0"/>
      </w:pPr>
      <w:r>
        <w:t xml:space="preserve"/>
      </w:r>
    </w:p>
    <w:p>
      <w:pPr>
        <w:spacing w:before="220" w:after="100"/>
      </w:pPr>
      <w:r>
        <w:rPr>
          <w:rFonts w:ascii="Arial" w:cs="Arial" w:eastAsia="Arial" w:hAnsi="Arial"/>
          <w:b/>
          <w:bCs/>
          <w:color w:val="0F1F1A"/>
          <w:sz w:val="24"/>
          <w:szCs w:val="24"/>
        </w:rPr>
        <w:t xml:space="preserve">Component 2 — Mycelium Evidence Package (MEP)</w:t>
      </w:r>
    </w:p>
    <w:p>
      <w:pPr>
        <w:spacing w:before="60" w:after="120"/>
        <w:jc w:val="both"/>
      </w:pPr>
      <w:r>
        <w:rPr>
          <w:rFonts w:ascii="Arial" w:cs="Arial" w:eastAsia="Arial" w:hAnsi="Arial"/>
          <w:color w:val="333333"/>
          <w:sz w:val="22"/>
          <w:szCs w:val="22"/>
        </w:rPr>
        <w:t xml:space="preserve">A standardized, exportable dossier generated from any Mycelium IP registration — formatted for submission to WIPO Arbitration and Mediation Center proceedings, Indonesian IP courts, and other jurisdictions. The MEP includes: on-chain registration proof (block number, transaction signature, timestamp), cryptographic content hash, creator identity attestation, license history, royalty distribution records, and a human-readable summary signed by the Mycelium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4"/>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i/>
                <w:iCs/>
                <w:color w:val="0F1F1A"/>
                <w:sz w:val="22"/>
                <w:szCs w:val="22"/>
              </w:rPr>
              <w:t xml:space="preserve">The MEP is the bridge between Mycelium's on-chain records and WIPO's legal processes. It transforms blockchain evidence into a format that lawyers, arbitrators, and judges can use.</w:t>
            </w:r>
          </w:p>
        </w:tc>
      </w:tr>
    </w:tbl>
    <w:p>
      <w:pPr>
        <w:spacing w:before="80" w:after="0"/>
      </w:pPr>
      <w:r>
        <w:t xml:space="preserve"/>
      </w:r>
    </w:p>
    <w:p>
      <w:pPr>
        <w:spacing w:before="220" w:after="100"/>
      </w:pPr>
      <w:r>
        <w:rPr>
          <w:rFonts w:ascii="Arial" w:cs="Arial" w:eastAsia="Arial" w:hAnsi="Arial"/>
          <w:b/>
          <w:bCs/>
          <w:color w:val="0F1F1A"/>
          <w:sz w:val="24"/>
          <w:szCs w:val="24"/>
        </w:rPr>
        <w:t xml:space="preserve">Component 3 — Madrid System Escalation Pathway</w:t>
      </w:r>
    </w:p>
    <w:p>
      <w:pPr>
        <w:spacing w:before="60" w:after="120"/>
        <w:jc w:val="both"/>
      </w:pPr>
      <w:r>
        <w:rPr>
          <w:rFonts w:ascii="Arial" w:cs="Arial" w:eastAsia="Arial" w:hAnsi="Arial"/>
          <w:color w:val="333333"/>
          <w:sz w:val="22"/>
          <w:szCs w:val="22"/>
        </w:rPr>
        <w:t xml:space="preserve">For crown jewel IP that has proven commercial value, Mycelium provides a structured escalation workflow to WIPO's Madrid System trademark registration. Mycelium registration data pre-populates the Madrid application with verified creator information, IP classification, and proof of first use — reducing application preparation time from weeks to hours.</w:t>
      </w:r>
    </w:p>
    <w:p>
      <w:pPr>
        <w:spacing w:before="80" w:after="0"/>
      </w:pPr>
      <w:r>
        <w:t xml:space="preserve"/>
      </w:r>
    </w:p>
    <w:p>
      <w:pPr>
        <w:spacing w:before="220" w:after="100"/>
      </w:pPr>
      <w:r>
        <w:rPr>
          <w:rFonts w:ascii="Arial" w:cs="Arial" w:eastAsia="Arial" w:hAnsi="Arial"/>
          <w:b/>
          <w:bCs/>
          <w:color w:val="0F1F1A"/>
          <w:sz w:val="24"/>
          <w:szCs w:val="24"/>
        </w:rPr>
        <w:t xml:space="preserve">Component 4 — WIPO ADR Evidence Bridge</w:t>
      </w:r>
    </w:p>
    <w:p>
      <w:pPr>
        <w:spacing w:before="60" w:after="120"/>
        <w:jc w:val="both"/>
      </w:pPr>
      <w:r>
        <w:rPr>
          <w:rFonts w:ascii="Arial" w:cs="Arial" w:eastAsia="Arial" w:hAnsi="Arial"/>
          <w:color w:val="333333"/>
          <w:sz w:val="22"/>
          <w:szCs w:val="22"/>
        </w:rPr>
        <w:t xml:space="preserve">Mycelium's royalty distribution records serve as evidence of commercial use and economic harm in IP disputes — one of the most difficult elements to prove in traditional IP litigation. When a WIPO arbitration case involves a Mycelium-registered IP, the protocol can generate a complete commercial history: every license issued, every royalty received, every distribution executed. This is evidence that paper-based systems cannot produce.</w:t>
      </w:r>
    </w:p>
    <w:p>
      <w:r>
        <w:br w:type="page"/>
      </w:r>
    </w:p>
    <w:p>
      <w:pPr>
        <w:pBdr>
          <w:bottom w:val="single" w:color="1A7A4A" w:sz="4" w:space="4"/>
        </w:pBdr>
        <w:spacing w:before="480" w:after="200"/>
      </w:pPr>
      <w:r>
        <w:rPr>
          <w:rFonts w:ascii="Arial" w:cs="Arial" w:eastAsia="Arial" w:hAnsi="Arial"/>
          <w:b/>
          <w:bCs/>
          <w:color w:val="0F1F1A"/>
          <w:sz w:val="36"/>
          <w:szCs w:val="36"/>
        </w:rPr>
        <w:t xml:space="preserve">3.  Why Solana</w:t>
      </w:r>
    </w:p>
    <w:p>
      <w:pPr>
        <w:spacing w:before="60" w:after="120"/>
        <w:jc w:val="both"/>
      </w:pPr>
      <w:r>
        <w:rPr>
          <w:rFonts w:ascii="Arial" w:cs="Arial" w:eastAsia="Arial" w:hAnsi="Arial"/>
          <w:color w:val="333333"/>
          <w:sz w:val="22"/>
          <w:szCs w:val="22"/>
        </w:rPr>
        <w:t xml:space="preserve">The choice of Solana is architectural, not aesthetic. Mycelium's WIPO complementarity requires technical properties that most blockchains cannot deliver.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3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Solana's Answer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Sub-second finality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 timestamp validity depends on precision and irreversibility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~400ms — faster than any competing L1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Near-zero tx cost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Microroyalties and high-volume content registration are economically viable only below $0.01/tx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$0.00025 per transaction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65K+ TPS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Creator networks produce thousands of IP events daily — the protocol cannot be a bottleneck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65,000 TPS — highest among L1s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WIPO standard alignment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On-chain records must be technically credible for institutional adoption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Solana's public, verifiable ledger meets judicial evidence standards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 developer ecosystem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Protocol needs local builder talent for fast iteration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Superteam Indonesia — active, funded, growing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Institutional backing</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Long-term protocol viability requires foundation support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Solana Foundation grants + strategic partnership programs</w:t>
            </w:r>
          </w:p>
        </w:tc>
      </w:tr>
    </w:tbl>
    <w:p>
      <w:pPr>
        <w:spacing w:before="200" w:after="0"/>
      </w:pPr>
      <w:r>
        <w:t xml:space="preserve"/>
      </w:r>
    </w:p>
    <w:p>
      <w:pPr>
        <w:spacing w:before="60" w:after="120"/>
        <w:jc w:val="both"/>
      </w:pPr>
      <w:r>
        <w:rPr>
          <w:rFonts w:ascii="Arial" w:cs="Arial" w:eastAsia="Arial" w:hAnsi="Arial"/>
          <w:color w:val="333333"/>
          <w:sz w:val="22"/>
          <w:szCs w:val="22"/>
        </w:rPr>
        <w:t xml:space="preserve">Additionally: Story Protocol — the primary comparable — has built its own L1 blockchain. This positions Story as competing with existing blockchain infrastructure. Mycelium, built on Solana, inherits a proven settlement layer and focuses entirely on the IP application layer. More importantly, Mycelium's WIPO complementarity positioning makes it a bridge between Web3 and traditional IP law — a bridge Story's architecture makes structurally more difficult to build.</w:t>
      </w:r>
    </w:p>
    <w:p>
      <w:r>
        <w:br w:type="page"/>
      </w:r>
    </w:p>
    <w:p>
      <w:pPr>
        <w:pBdr>
          <w:bottom w:val="single" w:color="1A7A4A" w:sz="4" w:space="4"/>
        </w:pBdr>
        <w:spacing w:before="480" w:after="200"/>
      </w:pPr>
      <w:r>
        <w:rPr>
          <w:rFonts w:ascii="Arial" w:cs="Arial" w:eastAsia="Arial" w:hAnsi="Arial"/>
          <w:b/>
          <w:bCs/>
          <w:color w:val="0F1F1A"/>
          <w:sz w:val="36"/>
          <w:szCs w:val="36"/>
        </w:rPr>
        <w:t xml:space="preserve">4.  Architecture Overview</w:t>
      </w:r>
    </w:p>
    <w:p>
      <w:pPr>
        <w:spacing w:before="320" w:after="140"/>
      </w:pPr>
      <w:r>
        <w:rPr>
          <w:rFonts w:ascii="Arial" w:cs="Arial" w:eastAsia="Arial" w:hAnsi="Arial"/>
          <w:b/>
          <w:bCs/>
          <w:color w:val="1A7A4A"/>
          <w:sz w:val="28"/>
          <w:szCs w:val="28"/>
        </w:rPr>
        <w:t xml:space="preserve">4.1  On-Chain Programs (Solana / Anchor)</w:t>
      </w:r>
    </w:p>
    <w:p>
      <w:pPr>
        <w:pStyle w:val="ListParagraph"/>
        <w:numPr>
          <w:ilvl w:val="0"/>
          <w:numId w:val="2"/>
        </w:numPr>
        <w:spacing w:before="60" w:after="60"/>
      </w:pPr>
      <w:r>
        <w:rPr>
          <w:rFonts w:ascii="Arial" w:cs="Arial" w:eastAsia="Arial" w:hAnsi="Arial"/>
          <w:b/>
          <w:bCs/>
          <w:color w:val="0F1F1A"/>
          <w:sz w:val="22"/>
          <w:szCs w:val="22"/>
        </w:rPr>
        <w:t xml:space="preserve">IP Registry Program: </w:t>
      </w:r>
      <w:r>
        <w:rPr>
          <w:rFonts w:ascii="Arial" w:cs="Arial" w:eastAsia="Arial" w:hAnsi="Arial"/>
          <w:color w:val="333333"/>
          <w:sz w:val="22"/>
          <w:szCs w:val="22"/>
        </w:rPr>
        <w:t xml:space="preserve">Creates IP asset PDAs with immutable timestamp, content hash, WIPO-compatible metadata, and creator identity. Enforces uniqueness per creator-content pair.</w:t>
      </w:r>
    </w:p>
    <w:p>
      <w:pPr>
        <w:pStyle w:val="ListParagraph"/>
        <w:numPr>
          <w:ilvl w:val="0"/>
          <w:numId w:val="2"/>
        </w:numPr>
        <w:spacing w:before="60" w:after="60"/>
      </w:pPr>
      <w:r>
        <w:rPr>
          <w:rFonts w:ascii="Arial" w:cs="Arial" w:eastAsia="Arial" w:hAnsi="Arial"/>
          <w:b/>
          <w:bCs/>
          <w:color w:val="0F1F1A"/>
          <w:sz w:val="22"/>
          <w:szCs w:val="22"/>
        </w:rPr>
        <w:t xml:space="preserve">License Module: </w:t>
      </w:r>
      <w:r>
        <w:rPr>
          <w:rFonts w:ascii="Arial" w:cs="Arial" w:eastAsia="Arial" w:hAnsi="Arial"/>
          <w:color w:val="333333"/>
          <w:sz w:val="22"/>
          <w:szCs w:val="22"/>
        </w:rPr>
        <w:t xml:space="preserve">Manages license term creation, issuance, validation, and revocation. Supports four standard license archetypes plus custom parameters. License tokens issued on-chain.</w:t>
      </w:r>
    </w:p>
    <w:p>
      <w:pPr>
        <w:pStyle w:val="ListParagraph"/>
        <w:numPr>
          <w:ilvl w:val="0"/>
          <w:numId w:val="2"/>
        </w:numPr>
        <w:spacing w:before="60" w:after="60"/>
      </w:pPr>
      <w:r>
        <w:rPr>
          <w:rFonts w:ascii="Arial" w:cs="Arial" w:eastAsia="Arial" w:hAnsi="Arial"/>
          <w:b/>
          <w:bCs/>
          <w:color w:val="0F1F1A"/>
          <w:sz w:val="22"/>
          <w:szCs w:val="22"/>
        </w:rPr>
        <w:t xml:space="preserve">Royalty Distribution Engine: </w:t>
      </w:r>
      <w:r>
        <w:rPr>
          <w:rFonts w:ascii="Arial" w:cs="Arial" w:eastAsia="Arial" w:hAnsi="Arial"/>
          <w:color w:val="333333"/>
          <w:sz w:val="22"/>
          <w:szCs w:val="22"/>
        </w:rPr>
        <w:t xml:space="preserve">Accepts revenue deposits for licensed IP. Automatically calculates and distributes splits to all registered rights holders in a single atomic transaction.</w:t>
      </w:r>
    </w:p>
    <w:p>
      <w:pPr>
        <w:pStyle w:val="ListParagraph"/>
        <w:numPr>
          <w:ilvl w:val="0"/>
          <w:numId w:val="2"/>
        </w:numPr>
        <w:spacing w:before="60" w:after="60"/>
      </w:pPr>
      <w:r>
        <w:rPr>
          <w:rFonts w:ascii="Arial" w:cs="Arial" w:eastAsia="Arial" w:hAnsi="Arial"/>
          <w:b/>
          <w:bCs/>
          <w:color w:val="0F1F1A"/>
          <w:sz w:val="22"/>
          <w:szCs w:val="22"/>
        </w:rPr>
        <w:t xml:space="preserve">WIPO Evidence Module: </w:t>
      </w:r>
      <w:r>
        <w:rPr>
          <w:rFonts w:ascii="Arial" w:cs="Arial" w:eastAsia="Arial" w:hAnsi="Arial"/>
          <w:color w:val="333333"/>
          <w:sz w:val="22"/>
          <w:szCs w:val="22"/>
        </w:rPr>
        <w:t xml:space="preserve">New in v0.2. Generates and signs the Mycelium Evidence Package from any registered IP asset. Produces a verifiable attestation of on-chain records formatted for WIPO and court submission.</w:t>
      </w:r>
    </w:p>
    <w:p>
      <w:pPr>
        <w:spacing w:before="100" w:after="0"/>
      </w:pPr>
      <w:r>
        <w:t xml:space="preserve"/>
      </w:r>
    </w:p>
    <w:p>
      <w:pPr>
        <w:spacing w:before="320" w:after="140"/>
      </w:pPr>
      <w:r>
        <w:rPr>
          <w:rFonts w:ascii="Arial" w:cs="Arial" w:eastAsia="Arial" w:hAnsi="Arial"/>
          <w:b/>
          <w:bCs/>
          <w:color w:val="1A7A4A"/>
          <w:sz w:val="28"/>
          <w:szCs w:val="28"/>
        </w:rPr>
        <w:t xml:space="preserve">4.2  Off-Chain Layer</w:t>
      </w:r>
    </w:p>
    <w:p>
      <w:pPr>
        <w:pStyle w:val="ListParagraph"/>
        <w:numPr>
          <w:ilvl w:val="0"/>
          <w:numId w:val="2"/>
        </w:numPr>
        <w:spacing w:before="60" w:after="60"/>
      </w:pPr>
      <w:r>
        <w:rPr>
          <w:rFonts w:ascii="Arial" w:cs="Arial" w:eastAsia="Arial" w:hAnsi="Arial"/>
          <w:b/>
          <w:bCs/>
          <w:color w:val="0F1F1A"/>
          <w:sz w:val="22"/>
          <w:szCs w:val="22"/>
        </w:rPr>
        <w:t xml:space="preserve">Content Storage: </w:t>
      </w:r>
      <w:r>
        <w:rPr>
          <w:rFonts w:ascii="Arial" w:cs="Arial" w:eastAsia="Arial" w:hAnsi="Arial"/>
          <w:color w:val="333333"/>
          <w:sz w:val="22"/>
          <w:szCs w:val="22"/>
        </w:rPr>
        <w:t xml:space="preserve">IPFS/Arweave for permanent, decentralized IP content and metadata storage</w:t>
      </w:r>
    </w:p>
    <w:p>
      <w:pPr>
        <w:pStyle w:val="ListParagraph"/>
        <w:numPr>
          <w:ilvl w:val="0"/>
          <w:numId w:val="2"/>
        </w:numPr>
        <w:spacing w:before="60" w:after="60"/>
      </w:pPr>
      <w:r>
        <w:rPr>
          <w:rFonts w:ascii="Arial" w:cs="Arial" w:eastAsia="Arial" w:hAnsi="Arial"/>
          <w:b/>
          <w:bCs/>
          <w:color w:val="0F1F1A"/>
          <w:sz w:val="22"/>
          <w:szCs w:val="22"/>
        </w:rPr>
        <w:t xml:space="preserve">Orchestration Service: </w:t>
      </w:r>
      <w:r>
        <w:rPr>
          <w:rFonts w:ascii="Arial" w:cs="Arial" w:eastAsia="Arial" w:hAnsi="Arial"/>
          <w:color w:val="333333"/>
          <w:sz w:val="22"/>
          <w:szCs w:val="22"/>
        </w:rPr>
        <w:t xml:space="preserve">Orchestration Service: creator identity verification, legal contract generation for off-chain licensing, Madrid System application pre-population, WIPO ADR evidence compilation</w:t>
      </w:r>
    </w:p>
    <w:p>
      <w:pPr>
        <w:pStyle w:val="ListParagraph"/>
        <w:numPr>
          <w:ilvl w:val="0"/>
          <w:numId w:val="2"/>
        </w:numPr>
        <w:spacing w:before="60" w:after="60"/>
      </w:pPr>
      <w:r>
        <w:rPr>
          <w:rFonts w:ascii="Arial" w:cs="Arial" w:eastAsia="Arial" w:hAnsi="Arial"/>
          <w:b/>
          <w:bCs/>
          <w:color w:val="0F1F1A"/>
          <w:sz w:val="22"/>
          <w:szCs w:val="22"/>
        </w:rPr>
        <w:t xml:space="preserve">Protocol Indexer: </w:t>
      </w:r>
      <w:r>
        <w:rPr>
          <w:rFonts w:ascii="Arial" w:cs="Arial" w:eastAsia="Arial" w:hAnsi="Arial"/>
          <w:color w:val="333333"/>
          <w:sz w:val="22"/>
          <w:szCs w:val="22"/>
        </w:rPr>
        <w:t xml:space="preserve">Real-time indexer for all IP events — registration, licensing, royalty flows, evidence package generation</w:t>
      </w:r>
    </w:p>
    <w:p>
      <w:pPr>
        <w:spacing w:before="100" w:after="0"/>
      </w:pPr>
      <w:r>
        <w:t xml:space="preserve"/>
      </w:r>
    </w:p>
    <w:p>
      <w:pPr>
        <w:spacing w:before="320" w:after="140"/>
      </w:pPr>
      <w:r>
        <w:rPr>
          <w:rFonts w:ascii="Arial" w:cs="Arial" w:eastAsia="Arial" w:hAnsi="Arial"/>
          <w:b/>
          <w:bCs/>
          <w:color w:val="1A7A4A"/>
          <w:sz w:val="28"/>
          <w:szCs w:val="28"/>
        </w:rPr>
        <w:t xml:space="preserve">4.3  The IP Graph + Prior Art Chain</w:t>
      </w:r>
    </w:p>
    <w:p>
      <w:pPr>
        <w:spacing w:before="60" w:after="120"/>
        <w:jc w:val="both"/>
      </w:pPr>
      <w:r>
        <w:rPr>
          <w:rFonts w:ascii="Arial" w:cs="Arial" w:eastAsia="Arial" w:hAnsi="Arial"/>
          <w:color w:val="333333"/>
          <w:sz w:val="22"/>
          <w:szCs w:val="22"/>
        </w:rPr>
        <w:t xml:space="preserve">Every Mycelium IP registration generates a node. Every license, derivative, or remix generates a directed edge. The resulting IP Graph is a live, queryable record of the genealogy and economic relationships between all registered IP assets. For WIPO purposes, this graph constitutes a prior art chain — demonstrating not just that an IP existed at a specific date, but how it was used, licensed, and generated commercial value over time. This is more comprehensive prior art evidence than any traditional system can produce.</w:t>
      </w:r>
    </w:p>
    <w:p>
      <w:r>
        <w:br w:type="page"/>
      </w:r>
    </w:p>
    <w:p>
      <w:pPr>
        <w:pBdr>
          <w:bottom w:val="single" w:color="1A7A4A" w:sz="4" w:space="4"/>
        </w:pBdr>
        <w:spacing w:before="480" w:after="200"/>
      </w:pPr>
      <w:r>
        <w:rPr>
          <w:rFonts w:ascii="Arial" w:cs="Arial" w:eastAsia="Arial" w:hAnsi="Arial"/>
          <w:b/>
          <w:bCs/>
          <w:color w:val="0F1F1A"/>
          <w:sz w:val="36"/>
          <w:szCs w:val="36"/>
        </w:rPr>
        <w:t xml:space="preserve">5.  Use Cases</w:t>
      </w:r>
    </w:p>
    <w:p>
      <w:pPr>
        <w:spacing w:before="320" w:after="140"/>
      </w:pPr>
      <w:r>
        <w:rPr>
          <w:rFonts w:ascii="Arial" w:cs="Arial" w:eastAsia="Arial" w:hAnsi="Arial"/>
          <w:b/>
          <w:bCs/>
          <w:color w:val="1A7A4A"/>
          <w:sz w:val="28"/>
          <w:szCs w:val="28"/>
        </w:rPr>
        <w:t xml:space="preserve">5.1  Character IP — Full Stack Protection</w:t>
      </w:r>
    </w:p>
    <w:p>
      <w:pPr>
        <w:spacing w:before="60" w:after="120"/>
        <w:jc w:val="both"/>
      </w:pPr>
      <w:r>
        <w:rPr>
          <w:rFonts w:ascii="Arial" w:cs="Arial" w:eastAsia="Arial" w:hAnsi="Arial"/>
          <w:color w:val="333333"/>
          <w:sz w:val="22"/>
          <w:szCs w:val="22"/>
        </w:rPr>
        <w:t xml:space="preserve">INFIA's character IP (Hai Dudu, Tahilalats) demonstrates the full Mycelium × WIPO stack in action. Characters are registered on Mycelium (instant, on-chain, timestamped). Brand collaborations execute as commercial licenses (smart contract, automated royalty split). As characters scale internationally, the Mycelium Evidence Package feeds the WIPO Madrid trademark application — with verified first use date, commercial activity records, and licensing history pre-populated. Total time from creation to WIPO application: days, not months.</w:t>
      </w:r>
    </w:p>
    <w:p>
      <w:pPr>
        <w:spacing w:before="80" w:after="0"/>
      </w:pPr>
      <w:r>
        <w:t xml:space="preserve"/>
      </w:r>
    </w:p>
    <w:p>
      <w:pPr>
        <w:spacing w:before="320" w:after="140"/>
      </w:pPr>
      <w:r>
        <w:rPr>
          <w:rFonts w:ascii="Arial" w:cs="Arial" w:eastAsia="Arial" w:hAnsi="Arial"/>
          <w:b/>
          <w:bCs/>
          <w:color w:val="1A7A4A"/>
          <w:sz w:val="28"/>
          <w:szCs w:val="28"/>
        </w:rPr>
        <w:t xml:space="preserve">5.2  High-Volume Content IP (Meme, Format, Series)</w:t>
      </w:r>
    </w:p>
    <w:p>
      <w:pPr>
        <w:spacing w:before="60" w:after="120"/>
        <w:jc w:val="both"/>
      </w:pPr>
      <w:r>
        <w:rPr>
          <w:rFonts w:ascii="Arial" w:cs="Arial" w:eastAsia="Arial" w:hAnsi="Arial"/>
          <w:color w:val="333333"/>
          <w:sz w:val="22"/>
          <w:szCs w:val="22"/>
        </w:rPr>
        <w:t xml:space="preserve">Meme formats, viral templates, and content series are registered on Mycelium in bulk — programmatically, via API. This establishes prior art at scale (something WIPO PROOF cannot do affordably) and tracks propagation across platforms. When a format is commercially valuable enough to warrant trademark protection, the Mycelium record provides proof of first use that dramatically accelerates the WIPO registration process.</w:t>
      </w:r>
    </w:p>
    <w:p>
      <w:pPr>
        <w:spacing w:before="80" w:after="0"/>
      </w:pPr>
      <w:r>
        <w:t xml:space="preserve"/>
      </w:r>
    </w:p>
    <w:p>
      <w:pPr>
        <w:spacing w:before="320" w:after="140"/>
      </w:pPr>
      <w:r>
        <w:rPr>
          <w:rFonts w:ascii="Arial" w:cs="Arial" w:eastAsia="Arial" w:hAnsi="Arial"/>
          <w:b/>
          <w:bCs/>
          <w:color w:val="1A7A4A"/>
          <w:sz w:val="28"/>
          <w:szCs w:val="28"/>
        </w:rPr>
        <w:t xml:space="preserve">5.3  AI Training Data Licensing</w:t>
      </w:r>
    </w:p>
    <w:p>
      <w:pPr>
        <w:spacing w:before="60" w:after="120"/>
        <w:jc w:val="both"/>
      </w:pPr>
      <w:r>
        <w:rPr>
          <w:rFonts w:ascii="Arial" w:cs="Arial" w:eastAsia="Arial" w:hAnsi="Arial"/>
          <w:color w:val="333333"/>
          <w:sz w:val="22"/>
          <w:szCs w:val="22"/>
        </w:rPr>
        <w:t xml:space="preserve">AI companies require rights-cleared, high-quality datasets. Mycelium enables data providers to register datasets as licensed IP, set terms for AI training use, and receive automated royalties. The WIPO Evidence Module ensures all AI licensing activity is documented in a format that supports enforcement if terms are violated. This is the highest-growth emerging use case — and the area where traditional IP systems are most completely inadequate.</w:t>
      </w:r>
    </w:p>
    <w:p>
      <w:pPr>
        <w:spacing w:before="80" w:after="0"/>
      </w:pPr>
      <w:r>
        <w:t xml:space="preserve"/>
      </w:r>
    </w:p>
    <w:p>
      <w:pPr>
        <w:spacing w:before="320" w:after="140"/>
      </w:pPr>
      <w:r>
        <w:rPr>
          <w:rFonts w:ascii="Arial" w:cs="Arial" w:eastAsia="Arial" w:hAnsi="Arial"/>
          <w:b/>
          <w:bCs/>
          <w:color w:val="1A7A4A"/>
          <w:sz w:val="28"/>
          <w:szCs w:val="28"/>
        </w:rPr>
        <w:t xml:space="preserve">5.4  WIPO Arbitration Support</w:t>
      </w:r>
    </w:p>
    <w:p>
      <w:pPr>
        <w:spacing w:before="60" w:after="120"/>
        <w:jc w:val="both"/>
      </w:pPr>
      <w:r>
        <w:rPr>
          <w:rFonts w:ascii="Arial" w:cs="Arial" w:eastAsia="Arial" w:hAnsi="Arial"/>
          <w:color w:val="333333"/>
          <w:sz w:val="22"/>
          <w:szCs w:val="22"/>
        </w:rPr>
        <w:t xml:space="preserve">When IP disputes reach WIPO's Arbitration and Mediation Center, Mycelium Evidence Packages provide the corroborating evidence that makes cases winnable. Registration timestamps establish ownership chronology. License records demonstrate commercial use. Royalty distribution records document economic harm. In the March 2025 Marseille precedent, blockchain evidence was decisive. Mycelium systematizes that advantage for every registered IP asset.</w:t>
      </w:r>
    </w:p>
    <w:p>
      <w:r>
        <w:br w:type="page"/>
      </w:r>
    </w:p>
    <w:p>
      <w:pPr>
        <w:pBdr>
          <w:bottom w:val="single" w:color="1A7A4A" w:sz="4" w:space="4"/>
        </w:pBdr>
        <w:spacing w:before="480" w:after="200"/>
      </w:pPr>
      <w:r>
        <w:rPr>
          <w:rFonts w:ascii="Arial" w:cs="Arial" w:eastAsia="Arial" w:hAnsi="Arial"/>
          <w:b/>
          <w:bCs/>
          <w:color w:val="0F1F1A"/>
          <w:sz w:val="36"/>
          <w:szCs w:val="36"/>
        </w:rPr>
        <w:t xml:space="preserve">6.  INFIA Group — Founding Anchor Partner</w:t>
      </w:r>
    </w:p>
    <w:p>
      <w:pPr>
        <w:spacing w:before="60" w:after="120"/>
        <w:jc w:val="both"/>
      </w:pPr>
      <w:r>
        <w:rPr>
          <w:rFonts w:ascii="Arial" w:cs="Arial" w:eastAsia="Arial" w:hAnsi="Arial"/>
          <w:color w:val="333333"/>
          <w:sz w:val="22"/>
          <w:szCs w:val="22"/>
        </w:rPr>
        <w:t xml:space="preserve">INFIA Group is an Indonesian creative IP and media holding company targeting $1B revenue. Founded by Aji Pratomo, INFIA operates across character IP development, digital media, content intelligence, and F&amp;B/placemaking. INFIA's role in Mycelium is founding anchor partner — the entity whose real IP problems Mycelium was built to solve, and whose IP assets provide the protocol with asset density that no competitor can replicate from zero.</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Mycelium Role</w:t>
            </w:r>
          </w:p>
        </w:tc>
        <w:tc>
          <w:tcPr>
            <w:tcW w:type="dxa" w:w="28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WIPO Pathway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Hai Dudu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Character IP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Genesis IP asset, commercial licensing pilot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Madrid trademark — Indonesia + ASEAN + global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Tahilalats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Character IP</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Derivative IP graph pilot, fan art royalties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Madrid trademark — Indonesia + global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Mindblowon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Studio IP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Multi-format registration, evidence package demo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Copyright + design registration via WIPO PROOF bridge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Dagelan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Media Brand IP</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High-volume content IP registration at scale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Madrid trademark — Indonesia</w:t>
            </w:r>
          </w:p>
        </w:tc>
      </w:tr>
    </w:tbl>
    <w:p>
      <w:r>
        <w:br w:type="page"/>
      </w:r>
    </w:p>
    <w:p>
      <w:pPr>
        <w:pBdr>
          <w:bottom w:val="single" w:color="1A7A4A" w:sz="4" w:space="4"/>
        </w:pBdr>
        <w:spacing w:before="480" w:after="200"/>
      </w:pPr>
      <w:r>
        <w:rPr>
          <w:rFonts w:ascii="Arial" w:cs="Arial" w:eastAsia="Arial" w:hAnsi="Arial"/>
          <w:b/>
          <w:bCs/>
          <w:color w:val="0F1F1A"/>
          <w:sz w:val="36"/>
          <w:szCs w:val="36"/>
        </w:rPr>
        <w:t xml:space="preserve">7.  Market Position</w:t>
      </w:r>
    </w:p>
    <w:p>
      <w:pPr>
        <w:spacing w:before="320" w:after="140"/>
      </w:pPr>
      <w:r>
        <w:rPr>
          <w:rFonts w:ascii="Arial" w:cs="Arial" w:eastAsia="Arial" w:hAnsi="Arial"/>
          <w:b/>
          <w:bCs/>
          <w:color w:val="1A7A4A"/>
          <w:sz w:val="28"/>
          <w:szCs w:val="28"/>
        </w:rPr>
        <w:t xml:space="preserve">7.1  Mycelium vs Story Protocol</w:t>
      </w:r>
    </w:p>
    <w:p>
      <w:pPr>
        <w:spacing w:before="60" w:after="120"/>
        <w:jc w:val="both"/>
      </w:pPr>
      <w:r>
        <w:rPr>
          <w:rFonts w:ascii="Arial" w:cs="Arial" w:eastAsia="Arial" w:hAnsi="Arial"/>
          <w:color w:val="333333"/>
          <w:sz w:val="22"/>
          <w:szCs w:val="22"/>
        </w:rPr>
        <w:t xml:space="preserve">Story Protocol is building IP infrastructure optimized for Western enterprise use cases and AI companies — on its own purpose-built L1 blockchain. Story's positioning is to replace traditional IP systems with on-chain alternatives. Mycelium's positioning is to complement them — making Mycelium a fundamentally different and far less threatening proposition to regulators, IP offices, lawyers, and institutional IP holders.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Story Protocol</w:t>
            </w:r>
          </w:p>
        </w:tc>
        <w:tc>
          <w:tcPr>
            <w:tcW w:type="dxa" w:w="32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Mycelium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Positioning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Replaces traditional IP systems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Complements WIPO — the missing on-chain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WIPO relationship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Parallel / competing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Formally complementary — feeds into WIPO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Regulatory stance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Disruptive — needs new legal frameworks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Conservative — aligns with WIPO's own blockchain standards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Evidence admissibility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specifically designed for this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WIPO Evidence Package — court-ready by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market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Western enterprise + AI companies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 creator economy + INFIA IP portfolio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Chain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 L1 (Story)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Solana — proven, scalable, SEA-native ecosystem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 Asset Density Day 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 — built from scratch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INFIA portfolio: Hai Dudu, Tahilalats, Dagelan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Creator UX</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Developer-centric</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Mobile-first, 60-second registration</w:t>
            </w:r>
          </w:p>
        </w:tc>
      </w:tr>
    </w:tbl>
    <w:p>
      <w:pPr>
        <w:spacing w:before="200" w:after="0"/>
      </w:pPr>
      <w:r>
        <w:t xml:space="preserve"/>
      </w:r>
    </w:p>
    <w:p>
      <w:pPr>
        <w:spacing w:before="320" w:after="140"/>
      </w:pPr>
      <w:r>
        <w:rPr>
          <w:rFonts w:ascii="Arial" w:cs="Arial" w:eastAsia="Arial" w:hAnsi="Arial"/>
          <w:b/>
          <w:bCs/>
          <w:color w:val="1A7A4A"/>
          <w:sz w:val="28"/>
          <w:szCs w:val="28"/>
        </w:rPr>
        <w:t xml:space="preserve">7.2  Mycelium vs WIPO PROOF</w:t>
      </w:r>
    </w:p>
    <w:p>
      <w:pPr>
        <w:spacing w:before="60" w:after="120"/>
        <w:jc w:val="both"/>
      </w:pPr>
      <w:r>
        <w:rPr>
          <w:rFonts w:ascii="Arial" w:cs="Arial" w:eastAsia="Arial" w:hAnsi="Arial"/>
          <w:color w:val="333333"/>
          <w:sz w:val="22"/>
          <w:szCs w:val="22"/>
        </w:rPr>
        <w:t xml:space="preserve">WIPO PROOF is WIPO's own timestamp service — the institutional acknowledgment that on-chain evidence has value. But WIPO PROOF is centralized (run by WIPO's servers), charges per-file fees, and has no programmable licensing or royalty automation. Mycelium is WIPO PROOF done right: decentralized, near-zero cost, volume-ready, and with the full programmability of Solana smart contracts.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3F8A" w:sz="24"/>
              <w:bottom w:val="none" w:color="FFFFFF" w:sz="0"/>
              <w:right w:val="none" w:color="FFFFFF" w:sz="0"/>
            </w:tcBorders>
            <w:shd w:fill="E8F0FB" w:val="clear"/>
            <w:tcMar>
              <w:top w:type="dxa" w:w="160"/>
              <w:left w:type="dxa" w:w="220"/>
              <w:bottom w:type="dxa" w:w="160"/>
              <w:right w:type="dxa" w:w="220"/>
            </w:tcMar>
          </w:tcPr>
          <w:p>
            <w:r>
              <w:rPr>
                <w:rFonts w:ascii="Arial" w:cs="Arial" w:eastAsia="Arial" w:hAnsi="Arial"/>
                <w:i/>
                <w:iCs/>
                <w:color w:val="003F8A"/>
                <w:sz w:val="22"/>
                <w:szCs w:val="22"/>
              </w:rPr>
              <w:t xml:space="preserve">Mycelium's long-term positioning: when WIPO formalizes its blockchain standard (Task No. 59), Mycelium is the reference implementation — the protocol that was already doing what WIPO is standardizing.</w:t>
            </w:r>
          </w:p>
        </w:tc>
      </w:tr>
    </w:tbl>
    <w:p>
      <w:r>
        <w:br w:type="page"/>
      </w:r>
    </w:p>
    <w:p>
      <w:pPr>
        <w:pBdr>
          <w:bottom w:val="single" w:color="1A7A4A" w:sz="4" w:space="4"/>
        </w:pBdr>
        <w:spacing w:before="480" w:after="200"/>
      </w:pPr>
      <w:r>
        <w:rPr>
          <w:rFonts w:ascii="Arial" w:cs="Arial" w:eastAsia="Arial" w:hAnsi="Arial"/>
          <w:b/>
          <w:bCs/>
          <w:color w:val="0F1F1A"/>
          <w:sz w:val="36"/>
          <w:szCs w:val="36"/>
        </w:rPr>
        <w:t xml:space="preserve">8.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7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Milestones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 — Foundation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 — Month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Litepaper, founding team assembly, Solana Foundation intro, Superteam Indonesia microgrant application, Tilleke &amp; Gibbins legal opinion on blockchain evidence admissibility in Indonesia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1 — Proof of Concept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Month 1–3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IP Registry + License Module + Royalty Engine on Solana devnet. WIPO Evidence Module (v1: basic MEP generation). INFIA pilot: Hai Dudu + Dagelan IP assets registered. Open-source release.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 Mainnet Beta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3–9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Mainnet deployment, mobile-first frontend, 100+ external registrations, first brand licensing pilot, Madrid System escalation pathway live. Solana Foundation convertible grant.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WIPO Integration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Month 9–18</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WIPO Evidence Package standard. WIPO ADR Evidence Bridge live. Fiat offramp for royalty distribution (GoPay/OVO). AI training data licensing module. Formal dialogue with WIPO Blockchain Task Force.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 — Standard-Setting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Position Mycelium as reference implementation for WIPO's developing blockchain standard. Regional expansion beyond Indonesia. IPFi integrations. Series A fundraise.</w:t>
            </w:r>
          </w:p>
        </w:tc>
      </w:tr>
    </w:tbl>
    <w:p>
      <w:pPr>
        <w:spacing w:before="200" w:after="0"/>
      </w:pPr>
      <w:r>
        <w:t xml:space="preserve"/>
      </w:r>
    </w:p>
    <w:p>
      <w:pPr>
        <w:pBdr>
          <w:bottom w:val="single" w:color="1A7A4A" w:sz="4" w:space="4"/>
        </w:pBdr>
        <w:spacing w:before="480" w:after="200"/>
      </w:pPr>
      <w:r>
        <w:rPr>
          <w:rFonts w:ascii="Arial" w:cs="Arial" w:eastAsia="Arial" w:hAnsi="Arial"/>
          <w:b/>
          <w:bCs/>
          <w:color w:val="0F1F1A"/>
          <w:sz w:val="36"/>
          <w:szCs w:val="36"/>
        </w:rPr>
        <w:t xml:space="preserve">9.  Team</w:t>
      </w:r>
    </w:p>
    <w:p>
      <w:pPr>
        <w:spacing w:before="60" w:after="120"/>
        <w:jc w:val="both"/>
      </w:pPr>
      <w:r>
        <w:rPr>
          <w:rFonts w:ascii="Arial" w:cs="Arial" w:eastAsia="Arial" w:hAnsi="Arial"/>
          <w:color w:val="333333"/>
          <w:sz w:val="22"/>
          <w:szCs w:val="22"/>
        </w:rPr>
        <w:t xml:space="preserve">Mycelium is assembling its founding team. INFIA Group serves as founding anchor partner. Three founding roles are being recruited:</w:t>
      </w:r>
    </w:p>
    <w:p>
      <w:pPr>
        <w:spacing w:before="60" w:after="0"/>
      </w:pPr>
      <w:r>
        <w:t xml:space="preserve"/>
      </w:r>
    </w:p>
    <w:p>
      <w:pPr>
        <w:pStyle w:val="ListParagraph"/>
        <w:numPr>
          <w:ilvl w:val="0"/>
          <w:numId w:val="2"/>
        </w:numPr>
        <w:spacing w:before="60" w:after="60"/>
      </w:pPr>
      <w:r>
        <w:rPr>
          <w:rFonts w:ascii="Arial" w:cs="Arial" w:eastAsia="Arial" w:hAnsi="Arial"/>
          <w:b/>
          <w:bCs/>
          <w:color w:val="0F1F1A"/>
          <w:sz w:val="22"/>
          <w:szCs w:val="22"/>
        </w:rPr>
        <w:t xml:space="preserve">Protocol Lead: </w:t>
      </w:r>
      <w:r>
        <w:rPr>
          <w:rFonts w:ascii="Arial" w:cs="Arial" w:eastAsia="Arial" w:hAnsi="Arial"/>
          <w:color w:val="333333"/>
          <w:sz w:val="22"/>
          <w:szCs w:val="22"/>
        </w:rPr>
        <w:t xml:space="preserve">Senior Solana/Anchor developer. Responsible for all smart contract architecture including the WIPO Evidence Module. Target: Superteam Indonesia network.</w:t>
      </w:r>
    </w:p>
    <w:p>
      <w:pPr>
        <w:pStyle w:val="ListParagraph"/>
        <w:numPr>
          <w:ilvl w:val="0"/>
          <w:numId w:val="2"/>
        </w:numPr>
        <w:spacing w:before="60" w:after="60"/>
      </w:pPr>
      <w:r>
        <w:rPr>
          <w:rFonts w:ascii="Arial" w:cs="Arial" w:eastAsia="Arial" w:hAnsi="Arial"/>
          <w:b/>
          <w:bCs/>
          <w:color w:val="0F1F1A"/>
          <w:sz w:val="22"/>
          <w:szCs w:val="22"/>
        </w:rPr>
        <w:t xml:space="preserve">IP &amp; Legal Architect: </w:t>
      </w:r>
      <w:r>
        <w:rPr>
          <w:rFonts w:ascii="Arial" w:cs="Arial" w:eastAsia="Arial" w:hAnsi="Arial"/>
          <w:color w:val="333333"/>
          <w:sz w:val="22"/>
          <w:szCs w:val="22"/>
        </w:rPr>
        <w:t xml:space="preserve">Attorney with both traditional IP law expertise (ideally WIPO-familiar) and Web3 protocol understanding. Responsible for legal validity of evidence packages and Madrid pathway. Target: Tilleke &amp; Gibbins × crypto-native counsel.</w:t>
      </w:r>
    </w:p>
    <w:p>
      <w:pPr>
        <w:pStyle w:val="ListParagraph"/>
        <w:numPr>
          <w:ilvl w:val="0"/>
          <w:numId w:val="2"/>
        </w:numPr>
        <w:spacing w:before="60" w:after="60"/>
      </w:pPr>
      <w:r>
        <w:rPr>
          <w:rFonts w:ascii="Arial" w:cs="Arial" w:eastAsia="Arial" w:hAnsi="Arial"/>
          <w:b/>
          <w:bCs/>
          <w:color w:val="0F1F1A"/>
          <w:sz w:val="22"/>
          <w:szCs w:val="22"/>
        </w:rPr>
        <w:t xml:space="preserve">Product Lead: </w:t>
      </w:r>
      <w:r>
        <w:rPr>
          <w:rFonts w:ascii="Arial" w:cs="Arial" w:eastAsia="Arial" w:hAnsi="Arial"/>
          <w:color w:val="333333"/>
          <w:sz w:val="22"/>
          <w:szCs w:val="22"/>
        </w:rPr>
        <w:t xml:space="preserve">Creator economy background, mobile product experience, SEA market knowledge. Responsible for creator-facing UX and INFIA pilot coordination.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4"/>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i/>
                <w:iCs/>
                <w:color w:val="0F1F1A"/>
                <w:sz w:val="22"/>
                <w:szCs w:val="22"/>
              </w:rPr>
              <w:t xml:space="preserve">The IP &amp; Legal Architect role is the critical hire for Mycelium's WIPO complementarity positioning. A protocol that generates legal evidence needs a lawyer who understands both the evidence and the protocol.</w:t>
            </w:r>
          </w:p>
        </w:tc>
      </w:tr>
    </w:tbl>
    <w:p>
      <w:r>
        <w:br w:type="page"/>
      </w:r>
    </w:p>
    <w:p>
      <w:pPr>
        <w:pBdr>
          <w:bottom w:val="single" w:color="1A7A4A" w:sz="4" w:space="4"/>
        </w:pBdr>
        <w:spacing w:before="480" w:after="200"/>
      </w:pPr>
      <w:r>
        <w:rPr>
          <w:rFonts w:ascii="Arial" w:cs="Arial" w:eastAsia="Arial" w:hAnsi="Arial"/>
          <w:b/>
          <w:bCs/>
          <w:color w:val="0F1F1A"/>
          <w:sz w:val="36"/>
          <w:szCs w:val="36"/>
        </w:rPr>
        <w:t xml:space="preserve">10.  Conclusion</w:t>
      </w:r>
    </w:p>
    <w:p>
      <w:pPr>
        <w:spacing w:before="60" w:after="120"/>
        <w:jc w:val="both"/>
      </w:pPr>
      <w:r>
        <w:rPr>
          <w:rFonts w:ascii="Arial" w:cs="Arial" w:eastAsia="Arial" w:hAnsi="Arial"/>
          <w:color w:val="333333"/>
          <w:sz w:val="22"/>
          <w:szCs w:val="22"/>
        </w:rPr>
        <w:t xml:space="preserve">WIPO has protected intellectual property for over 50 years. It will continue to do so. What WIPO cannot do — by design, by scale, by cost — is protect the IP of 64 million Indonesian creators at the speed and volume the digital economy requires.</w:t>
      </w:r>
    </w:p>
    <w:p>
      <w:pPr>
        <w:spacing w:before="80" w:after="0"/>
      </w:pPr>
      <w:r>
        <w:t xml:space="preserve"/>
      </w:r>
    </w:p>
    <w:p>
      <w:pPr>
        <w:spacing w:before="60" w:after="120"/>
        <w:jc w:val="both"/>
      </w:pPr>
      <w:r>
        <w:rPr>
          <w:rFonts w:ascii="Arial" w:cs="Arial" w:eastAsia="Arial" w:hAnsi="Arial"/>
          <w:color w:val="333333"/>
          <w:sz w:val="22"/>
          <w:szCs w:val="22"/>
        </w:rPr>
        <w:t xml:space="preserve">Mycelium fills that gap. Not by replacing WIPO, but by becoming the on-chain layer that makes WIPO's protection accessible to every creator who needs it — providing instant proof of creation, programmable licensing, automated royalty distribution, and a standardized evidence package that feeds directly into WIPO's formal systems when commercial value demands it.</w:t>
      </w:r>
    </w:p>
    <w:p>
      <w:pPr>
        <w:spacing w:before="80" w:after="0"/>
      </w:pPr>
      <w:r>
        <w:t xml:space="preserve"/>
      </w:r>
    </w:p>
    <w:p>
      <w:pPr>
        <w:spacing w:before="60" w:after="120"/>
        <w:jc w:val="both"/>
      </w:pPr>
      <w:r>
        <w:rPr>
          <w:rFonts w:ascii="Arial" w:cs="Arial" w:eastAsia="Arial" w:hAnsi="Arial"/>
          <w:color w:val="333333"/>
          <w:sz w:val="22"/>
          <w:szCs w:val="22"/>
        </w:rPr>
        <w:t xml:space="preserve">The legal foundation is established. The March 2025 Marseille precedent confirmed that blockchain timestamps are admissible evidence. WIPO is developing the standards. Solana provides the infrastructure. INFIA provides the IP assets. Southeast Asia provides the market.</w:t>
      </w:r>
    </w:p>
    <w:p>
      <w:pPr>
        <w:spacing w:before="80" w:after="0"/>
      </w:pPr>
      <w:r>
        <w:t xml:space="preserve"/>
      </w:r>
    </w:p>
    <w:p>
      <w:pPr>
        <w:spacing w:before="60" w:after="120"/>
        <w:jc w:val="both"/>
      </w:pPr>
      <w:r>
        <w:rPr>
          <w:rFonts w:ascii="Arial" w:cs="Arial" w:eastAsia="Arial" w:hAnsi="Arial"/>
          <w:color w:val="333333"/>
          <w:sz w:val="22"/>
          <w:szCs w:val="22"/>
        </w:rPr>
        <w:t xml:space="preserve">The only thing missing is the protocol that ties all of this together.</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4"/>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i/>
                <w:iCs/>
                <w:color w:val="0F1F1A"/>
                <w:sz w:val="22"/>
                <w:szCs w:val="22"/>
              </w:rPr>
              <w:t xml:space="preserve">Mycelium Network — Register everywhere. Enforce anywhere.</w:t>
            </w:r>
          </w:p>
        </w:tc>
      </w:tr>
    </w:tbl>
    <w:p>
      <w:pPr>
        <w:spacing w:before="400" w:after="0"/>
      </w:pPr>
      <w:r>
        <w:t xml:space="preserve"/>
      </w:r>
    </w:p>
    <w:p>
      <w:pPr>
        <w:jc w:val="center"/>
      </w:pPr>
      <w:r>
        <w:rPr>
          <w:rFonts w:ascii="Arial" w:cs="Arial" w:eastAsia="Arial" w:hAnsi="Arial"/>
          <w:i/>
          <w:iCs/>
          <w:color w:val="888888"/>
          <w:sz w:val="20"/>
          <w:szCs w:val="20"/>
        </w:rPr>
        <w:t xml:space="preserve">— End of Litepaper —</w:t>
      </w:r>
    </w:p>
    <w:p>
      <w:pPr>
        <w:spacing w:before="80" w:after="0"/>
        <w:jc w:val="center"/>
      </w:pPr>
      <w:r>
        <w:rPr>
          <w:rFonts w:ascii="Arial" w:cs="Arial" w:eastAsia="Arial" w:hAnsi="Arial"/>
          <w:color w:val="888888"/>
          <w:sz w:val="20"/>
          <w:szCs w:val="20"/>
        </w:rPr>
        <w:t xml:space="preserve">For inquiries: Aji Pratomo  ·  INFIA Group  ·  @memejunkies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2026-03-23T02:21:13.930Z</dcterms:created>
  <dcterms:modified xsi:type="dcterms:W3CDTF">2026-03-23T02:21:13.930Z</dcterms:modified>
</cp:coreProperties>
</file>

<file path=docProps/custom.xml><?xml version="1.0" encoding="utf-8"?>
<Properties xmlns="http://schemas.openxmlformats.org/officeDocument/2006/custom-properties" xmlns:vt="http://schemas.openxmlformats.org/officeDocument/2006/docPropsVTypes"/>
</file>