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1A" w:val="clear"/>
            <w:tcMar>
              <w:top w:type="dxa" w:w="240"/>
              <w:left w:type="dxa" w:w="360"/>
              <w:bottom w:type="dxa" w:w="200"/>
              <w:right w:type="dxa" w:w="360"/>
            </w:tcMar>
          </w:tcPr>
          <w:p>
            <w:r>
              <w:rPr>
                <w:rFonts w:ascii="Arial" w:cs="Arial" w:eastAsia="Arial" w:hAnsi="Arial"/>
                <w:b/>
                <w:bCs/>
                <w:color w:val="FFFFFF"/>
                <w:sz w:val="52"/>
                <w:szCs w:val="52"/>
              </w:rPr>
              <w:t xml:space="preserve">MYCELIUM NETWORK</w:t>
            </w:r>
          </w:p>
          <w:p>
            <w:pPr>
              <w:spacing w:before="60" w:after="40"/>
            </w:pPr>
            <w:r>
              <w:rPr>
                <w:rFonts w:ascii="Arial" w:cs="Arial" w:eastAsia="Arial" w:hAnsi="Arial"/>
                <w:b/>
                <w:bCs/>
                <w:color w:val="88CCAA"/>
                <w:sz w:val="26"/>
                <w:szCs w:val="26"/>
              </w:rPr>
              <w:t xml:space="preserve">Pitch Narrative</w:t>
            </w:r>
          </w:p>
          <w:p>
            <w:r>
              <w:rPr>
                <w:rFonts w:ascii="Arial" w:cs="Arial" w:eastAsia="Arial" w:hAnsi="Arial"/>
                <w:i/>
                <w:iCs/>
                <w:color w:val="556655"/>
                <w:sz w:val="20"/>
                <w:szCs w:val="20"/>
              </w:rPr>
              <w:t xml:space="preserve">For Superteam Indonesia  ·  Solana Foundation  ·  Strategic Partners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none" w:color="FFFFFF" w:sz="0"/>
              <w:bottom w:val="single" w:color="1A7A4A" w:sz="6"/>
              <w:right w:val="none" w:color="FFFFFF" w:sz="0"/>
            </w:tcBorders>
            <w:shd w:fill="FFFFFF" w:val="clear"/>
            <w:tcMar>
              <w:top w:type="dxa" w:w="200"/>
              <w:left w:type="dxa" w:w="240"/>
              <w:bottom w:type="dxa" w:w="200"/>
              <w:right w:type="dxa" w:w="240"/>
            </w:tcMar>
          </w:tcPr>
          <w:p>
            <w:pPr>
              <w:jc w:val="center"/>
            </w:pPr>
            <w:r>
              <w:rPr>
                <w:rFonts w:ascii="Arial" w:cs="Arial" w:eastAsia="Arial" w:hAnsi="Arial"/>
                <w:b/>
                <w:bCs/>
                <w:i/>
                <w:iCs/>
                <w:color w:val="0F1F1A"/>
                <w:sz w:val="26"/>
                <w:szCs w:val="26"/>
              </w:rPr>
              <w:t xml:space="preserve">WIPO protects IP in 193 countries. Mycelium makes it accessible to every creator in Southeast Asia — instantly, at near-zero cost, with automated royalties.</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F1F1A" w:val="clear"/>
            <w:tcMar>
              <w:top w:type="dxa" w:w="180"/>
              <w:left w:type="dxa" w:w="200"/>
              <w:bottom w:type="dxa" w:w="180"/>
              <w:right w:type="dxa" w:w="200"/>
            </w:tcMar>
            <w:vAlign w:val="center"/>
          </w:tcPr>
          <w:p>
            <w:pPr>
              <w:jc w:val="center"/>
            </w:pPr>
            <w:r>
              <w:rPr>
                <w:rFonts w:ascii="Arial" w:cs="Arial" w:eastAsia="Arial" w:hAnsi="Arial"/>
                <w:b/>
                <w:bCs/>
                <w:color w:val="FFFFFF"/>
                <w:sz w:val="48"/>
                <w:szCs w:val="48"/>
              </w:rPr>
              <w:t xml:space="preserve">$80T</w:t>
            </w:r>
          </w:p>
          <w:p>
            <w:pPr>
              <w:spacing w:before="40" w:after="0"/>
              <w:jc w:val="center"/>
            </w:pPr>
            <w:r>
              <w:rPr>
                <w:rFonts w:ascii="Arial" w:cs="Arial" w:eastAsia="Arial" w:hAnsi="Arial"/>
                <w:i/>
                <w:iCs/>
                <w:color w:val="CCFFDD"/>
                <w:sz w:val="18"/>
                <w:szCs w:val="18"/>
              </w:rPr>
              <w:t xml:space="preserve">Global IP asset class — inaccessible without infrastructure</w:t>
            </w:r>
          </w:p>
        </w:tc>
        <w:tc>
          <w:tcPr>
            <w:tcW w:type="dxa" w:w="3120"/>
            <w:tcBorders>
              <w:top w:val="none" w:color="FFFFFF" w:sz="0"/>
              <w:left w:val="none" w:color="FFFFFF" w:sz="0"/>
              <w:bottom w:val="none" w:color="FFFFFF" w:sz="0"/>
              <w:right w:val="none" w:color="FFFFFF" w:sz="0"/>
            </w:tcBorders>
            <w:shd w:fill="1A7A4A" w:val="clear"/>
            <w:tcMar>
              <w:top w:type="dxa" w:w="180"/>
              <w:left w:type="dxa" w:w="200"/>
              <w:bottom w:type="dxa" w:w="180"/>
              <w:right w:type="dxa" w:w="200"/>
            </w:tcMar>
            <w:vAlign w:val="center"/>
          </w:tcPr>
          <w:p>
            <w:pPr>
              <w:jc w:val="center"/>
            </w:pPr>
            <w:r>
              <w:rPr>
                <w:rFonts w:ascii="Arial" w:cs="Arial" w:eastAsia="Arial" w:hAnsi="Arial"/>
                <w:b/>
                <w:bCs/>
                <w:color w:val="FFFFFF"/>
                <w:sz w:val="48"/>
                <w:szCs w:val="48"/>
              </w:rPr>
              <w:t xml:space="preserve">70%</w:t>
            </w:r>
          </w:p>
          <w:p>
            <w:pPr>
              <w:spacing w:before="40" w:after="0"/>
              <w:jc w:val="center"/>
            </w:pPr>
            <w:r>
              <w:rPr>
                <w:rFonts w:ascii="Arial" w:cs="Arial" w:eastAsia="Arial" w:hAnsi="Arial"/>
                <w:i/>
                <w:iCs/>
                <w:color w:val="CCFFDD"/>
                <w:sz w:val="18"/>
                <w:szCs w:val="18"/>
              </w:rPr>
              <w:t xml:space="preserve">Increase in WIPO IP disputes 2024→2025. 71% are digital content.</w:t>
            </w:r>
          </w:p>
        </w:tc>
        <w:tc>
          <w:tcPr>
            <w:tcW w:type="dxa" w:w="3120"/>
            <w:tcBorders>
              <w:top w:val="none" w:color="FFFFFF" w:sz="0"/>
              <w:left w:val="none" w:color="FFFFFF" w:sz="0"/>
              <w:bottom w:val="none" w:color="FFFFFF" w:sz="0"/>
              <w:right w:val="none" w:color="FFFFFF" w:sz="0"/>
            </w:tcBorders>
            <w:shd w:fill="003F8A" w:val="clear"/>
            <w:tcMar>
              <w:top w:type="dxa" w:w="180"/>
              <w:left w:type="dxa" w:w="200"/>
              <w:bottom w:type="dxa" w:w="180"/>
              <w:right w:type="dxa" w:w="200"/>
            </w:tcMar>
            <w:vAlign w:val="center"/>
          </w:tcPr>
          <w:p>
            <w:pPr>
              <w:jc w:val="center"/>
            </w:pPr>
            <w:r>
              <w:rPr>
                <w:rFonts w:ascii="Arial" w:cs="Arial" w:eastAsia="Arial" w:hAnsi="Arial"/>
                <w:b/>
                <w:bCs/>
                <w:color w:val="FFFFFF"/>
                <w:sz w:val="48"/>
                <w:szCs w:val="48"/>
              </w:rPr>
              <w:t xml:space="preserve">CHF 653+</w:t>
            </w:r>
          </w:p>
          <w:p>
            <w:pPr>
              <w:spacing w:before="40" w:after="0"/>
              <w:jc w:val="center"/>
            </w:pPr>
            <w:r>
              <w:rPr>
                <w:rFonts w:ascii="Arial" w:cs="Arial" w:eastAsia="Arial" w:hAnsi="Arial"/>
                <w:i/>
                <w:iCs/>
                <w:color w:val="CCFFDD"/>
                <w:sz w:val="18"/>
                <w:szCs w:val="18"/>
              </w:rPr>
              <w:t xml:space="preserve">Cost of one WIPO Madrid trademark. Mycelium: $0.001</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A4A" w:val="clear"/>
            <w:tcMar>
              <w:top w:type="dxa" w:w="120"/>
              <w:left w:type="dxa" w:w="120"/>
              <w:bottom w:type="dxa" w:w="120"/>
              <w:right w:type="dxa" w:w="80"/>
            </w:tcMar>
          </w:tcPr>
          <w:p>
            <w:pPr>
              <w:jc w:val="center"/>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0"/>
                <w:szCs w:val="20"/>
              </w:rPr>
              <w:t xml:space="preserve">THE GAP WIPO CANNOT FILL</w:t>
            </w:r>
          </w:p>
          <w:p>
            <w:r>
              <w:rPr>
                <w:rFonts w:ascii="Arial" w:cs="Arial" w:eastAsia="Arial" w:hAnsi="Arial"/>
                <w:color w:val="333333"/>
                <w:sz w:val="21"/>
                <w:szCs w:val="21"/>
              </w:rPr>
              <w:t xml:space="preserve">WIPO's Madrid System, Berne Convention, and PCT are the gold standard for IP protection. But they cost hundreds to thousands of dollars per filing and take 12–18 months. For Indonesia's 64 million active creators producing IP every day, WIPO is structurally inaccessible — not because it's bad, but because it was built for enterprises, not individuals. The result: billions of dollars of creative value generated with zero legal protection.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A4A" w:val="clear"/>
            <w:tcMar>
              <w:top w:type="dxa" w:w="120"/>
              <w:left w:type="dxa" w:w="120"/>
              <w:bottom w:type="dxa" w:w="120"/>
              <w:right w:type="dxa" w:w="80"/>
            </w:tcMar>
          </w:tcPr>
          <w:p>
            <w:pPr>
              <w:jc w:val="center"/>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0"/>
                <w:szCs w:val="20"/>
              </w:rPr>
              <w:t xml:space="preserve">WHAT MYCELIUM DOES</w:t>
            </w:r>
          </w:p>
          <w:p>
            <w:r>
              <w:rPr>
                <w:rFonts w:ascii="Arial" w:cs="Arial" w:eastAsia="Arial" w:hAnsi="Arial"/>
                <w:color w:val="333333"/>
                <w:sz w:val="21"/>
                <w:szCs w:val="21"/>
              </w:rPr>
              <w:t xml:space="preserve">Mycelium is the on-chain layer that completes WIPO — not competes with it. Any creator registers IP in 60 seconds on Solana: immutable timestamp, content hash, programmable license terms. When an IP proves commercial value, Mycelium generates a WIPO-compatible Evidence Package: blockchain proof of creation, license history, royalty records — formatted for WIPO Arbitration Center submission and admissible in Indonesian courts under the March 2025 Marseille precedent.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3F8A" w:val="clear"/>
            <w:tcMar>
              <w:top w:type="dxa" w:w="120"/>
              <w:left w:type="dxa" w:w="120"/>
              <w:bottom w:type="dxa" w:w="120"/>
              <w:right w:type="dxa" w:w="80"/>
            </w:tcMar>
          </w:tcPr>
          <w:p>
            <w:pPr>
              <w:jc w:val="center"/>
            </w:pPr>
            <w:r>
              <w:rPr>
                <w:rFonts w:ascii="Arial" w:cs="Arial" w:eastAsia="Arial" w:hAnsi="Arial"/>
                <w:b/>
                <w:bCs/>
                <w:color w:val="FFFFFF"/>
                <w:sz w:val="28"/>
                <w:szCs w:val="28"/>
              </w:rPr>
              <w:t xml:space="preserve">W</w:t>
            </w:r>
          </w:p>
        </w:tc>
        <w:tc>
          <w:tcPr>
            <w:tcW w:type="dxa" w:w="87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before="0" w:after="60"/>
            </w:pPr>
            <w:r>
              <w:rPr>
                <w:rFonts w:ascii="Arial" w:cs="Arial" w:eastAsia="Arial" w:hAnsi="Arial"/>
                <w:b/>
                <w:bCs/>
                <w:color w:val="003F8A"/>
                <w:sz w:val="20"/>
                <w:szCs w:val="20"/>
              </w:rPr>
              <w:t xml:space="preserve">THE WIPO INTEGRATION LAYER</w:t>
            </w:r>
          </w:p>
          <w:p>
            <w:r>
              <w:rPr>
                <w:rFonts w:ascii="Arial" w:cs="Arial" w:eastAsia="Arial" w:hAnsi="Arial"/>
                <w:color w:val="333333"/>
                <w:sz w:val="21"/>
                <w:szCs w:val="21"/>
              </w:rPr>
              <w:t xml:space="preserve">Every Mycelium IP registration includes WIPO-compatible metadata (aligned with WIPO Task No. 59 blockchain standard). The Mycelium Evidence Package (MEP) is a standardized dossier formatted for WIPO ADR submission. The Madrid Escalation Pathway pre-populates trademark applications with Mycelium's verified first-use data. The result: Mycelium acts as the feeder layer into WIPO — making formal IP protection faster, cheaper, and better-evidenced.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A4A" w:val="clear"/>
            <w:tcMar>
              <w:top w:type="dxa" w:w="120"/>
              <w:left w:type="dxa" w:w="120"/>
              <w:bottom w:type="dxa" w:w="120"/>
              <w:right w:type="dxa" w:w="80"/>
            </w:tcMar>
          </w:tcPr>
          <w:p>
            <w:pPr>
              <w:jc w:val="center"/>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0"/>
                <w:szCs w:val="20"/>
              </w:rPr>
              <w:t xml:space="preserve">WHY NOW</w:t>
            </w:r>
          </w:p>
          <w:p>
            <w:r>
              <w:rPr>
                <w:rFonts w:ascii="Arial" w:cs="Arial" w:eastAsia="Arial" w:hAnsi="Arial"/>
                <w:color w:val="333333"/>
                <w:sz w:val="21"/>
                <w:szCs w:val="21"/>
              </w:rPr>
              <w:t xml:space="preserve">The legal foundation just locked in. In March 2025, the Marseille Judicial Court recognized blockchain timestamps as legitimate evidence of prior existence and ownership — making Mycelium records court-admissible. WIPO's own Blockchain Task Force is developing the standard that Mycelium is already implementing. The technology is proven. The legal framework is established. The market is 64 million creators who have never had access to formal IP protection. This is the moment.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A4A" w:val="clear"/>
            <w:tcMar>
              <w:top w:type="dxa" w:w="120"/>
              <w:left w:type="dxa" w:w="120"/>
              <w:bottom w:type="dxa" w:w="120"/>
              <w:right w:type="dxa" w:w="80"/>
            </w:tcMar>
          </w:tcPr>
          <w:p>
            <w:pPr>
              <w:jc w:val="center"/>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0"/>
                <w:szCs w:val="20"/>
              </w:rPr>
              <w:t xml:space="preserve">WHY SOLANA</w:t>
            </w:r>
          </w:p>
          <w:p>
            <w:r>
              <w:rPr>
                <w:rFonts w:ascii="Arial" w:cs="Arial" w:eastAsia="Arial" w:hAnsi="Arial"/>
                <w:color w:val="333333"/>
                <w:sz w:val="21"/>
                <w:szCs w:val="21"/>
              </w:rPr>
              <w:t xml:space="preserve">400ms finality. $0.00025 per transaction. 65,000 TPS. Superteam Indonesia's active developer ecosystem. Solana Foundation's strategic support programs. Mycelium's use cases — high-volume content registration, microroyalty distribution, real-time licensing — are only economically viable on a chain that can handle thousands of transactions per day at near-zero cost. That chain is Solana.</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before="0" w:after="120"/>
            </w:pPr>
            <w:r>
              <w:rPr>
                <w:rFonts w:ascii="Arial" w:cs="Arial" w:eastAsia="Arial" w:hAnsi="Arial"/>
                <w:b/>
                <w:bCs/>
                <w:color w:val="1A7A4A"/>
                <w:sz w:val="24"/>
                <w:szCs w:val="24"/>
              </w:rPr>
              <w:t xml:space="preserve">THE ANCHOR ADVANTAGE</w:t>
            </w:r>
          </w:p>
          <w:p>
            <w:pPr>
              <w:spacing w:before="0" w:after="120"/>
            </w:pPr>
            <w:r>
              <w:rPr>
                <w:rFonts w:ascii="Arial" w:cs="Arial" w:eastAsia="Arial" w:hAnsi="Arial"/>
                <w:color w:val="333333"/>
                <w:sz w:val="22"/>
                <w:szCs w:val="22"/>
              </w:rPr>
              <w:t xml:space="preserve">INFIA Group — Indonesia's leading creative IP company targeting $1B revenue — is Mycelium's founding anchor partner. No cold-start problem. Real IP assets on the protocol from day one.</w:t>
            </w:r>
          </w:p>
          <w:p>
            <w:pPr>
              <w:pStyle w:val="ListParagraph"/>
              <w:numPr>
                <w:ilvl w:val="0"/>
                <w:numId w:val="2"/>
              </w:numPr>
              <w:spacing w:before="60" w:after="60"/>
            </w:pPr>
            <w:r>
              <w:rPr>
                <w:rFonts w:ascii="Arial" w:cs="Arial" w:eastAsia="Arial" w:hAnsi="Arial"/>
                <w:b/>
                <w:bCs/>
                <w:color w:val="0F1F1A"/>
                <w:sz w:val="22"/>
                <w:szCs w:val="22"/>
              </w:rPr>
              <w:t xml:space="preserve">Day 1 IP — </w:t>
            </w:r>
            <w:r>
              <w:rPr>
                <w:rFonts w:ascii="Arial" w:cs="Arial" w:eastAsia="Arial" w:hAnsi="Arial"/>
                <w:color w:val="333333"/>
                <w:sz w:val="22"/>
                <w:szCs w:val="22"/>
              </w:rPr>
              <w:t xml:space="preserve">Hai Dudu, Tahilalats, Dagelan, Mindblowon registered as genesis IP assets on Mycelium</w:t>
            </w:r>
          </w:p>
          <w:p>
            <w:pPr>
              <w:pStyle w:val="ListParagraph"/>
              <w:numPr>
                <w:ilvl w:val="0"/>
                <w:numId w:val="2"/>
              </w:numPr>
              <w:spacing w:before="60" w:after="60"/>
            </w:pPr>
            <w:r>
              <w:rPr>
                <w:rFonts w:ascii="Arial" w:cs="Arial" w:eastAsia="Arial" w:hAnsi="Arial"/>
                <w:b/>
                <w:bCs/>
                <w:color w:val="0F1F1A"/>
                <w:sz w:val="22"/>
                <w:szCs w:val="22"/>
              </w:rPr>
              <w:t xml:space="preserve">WIPO Pathway — </w:t>
            </w:r>
            <w:r>
              <w:rPr>
                <w:rFonts w:ascii="Arial" w:cs="Arial" w:eastAsia="Arial" w:hAnsi="Arial"/>
                <w:color w:val="333333"/>
                <w:sz w:val="22"/>
                <w:szCs w:val="22"/>
              </w:rPr>
              <w:t xml:space="preserve">Character IP → Madrid trademark escalation pathway via Mycelium's WIPO integration</w:t>
            </w:r>
          </w:p>
          <w:p>
            <w:pPr>
              <w:pStyle w:val="ListParagraph"/>
              <w:numPr>
                <w:ilvl w:val="0"/>
                <w:numId w:val="2"/>
              </w:numPr>
              <w:spacing w:before="60" w:after="60"/>
            </w:pPr>
            <w:r>
              <w:rPr>
                <w:rFonts w:ascii="Arial" w:cs="Arial" w:eastAsia="Arial" w:hAnsi="Arial"/>
                <w:b/>
                <w:bCs/>
                <w:color w:val="0F1F1A"/>
                <w:sz w:val="22"/>
                <w:szCs w:val="22"/>
              </w:rPr>
              <w:t xml:space="preserve">First Licensees — </w:t>
            </w:r>
            <w:r>
              <w:rPr>
                <w:rFonts w:ascii="Arial" w:cs="Arial" w:eastAsia="Arial" w:hAnsi="Arial"/>
                <w:color w:val="333333"/>
                <w:sz w:val="22"/>
                <w:szCs w:val="22"/>
              </w:rPr>
              <w:t xml:space="preserve">50+ brand commercial relationships = first licensees from protocol launch</w:t>
            </w:r>
          </w:p>
          <w:p>
            <w:pPr>
              <w:pStyle w:val="ListParagraph"/>
              <w:numPr>
                <w:ilvl w:val="0"/>
                <w:numId w:val="2"/>
              </w:numPr>
              <w:spacing w:before="60" w:after="60"/>
            </w:pPr>
            <w:r>
              <w:rPr>
                <w:rFonts w:ascii="Arial" w:cs="Arial" w:eastAsia="Arial" w:hAnsi="Arial"/>
                <w:b/>
                <w:bCs/>
                <w:color w:val="0F1F1A"/>
                <w:sz w:val="22"/>
                <w:szCs w:val="22"/>
              </w:rPr>
              <w:t xml:space="preserve">Market Credibility — </w:t>
            </w:r>
            <w:r>
              <w:rPr>
                <w:rFonts w:ascii="Arial" w:cs="Arial" w:eastAsia="Arial" w:hAnsi="Arial"/>
                <w:color w:val="333333"/>
                <w:sz w:val="22"/>
                <w:szCs w:val="22"/>
              </w:rPr>
              <w:t xml:space="preserve">Institutional credibility that no crypto-native team can replicate</w:t>
            </w:r>
          </w:p>
        </w:tc>
      </w:tr>
    </w:tbl>
    <w:p>
      <w:pPr>
        <w:spacing w:before="240" w:after="0"/>
      </w:pPr>
      <w:r>
        <w:t xml:space="preserve"/>
      </w:r>
    </w:p>
    <w:p>
      <w:pPr>
        <w:pBdr>
          <w:bottom w:val="single" w:color="1A7A4A" w:sz="4" w:space="4"/>
        </w:pBdr>
        <w:spacing w:before="0" w:after="120"/>
      </w:pPr>
      <w:r>
        <w:rPr>
          <w:rFonts w:ascii="Arial" w:cs="Arial" w:eastAsia="Arial" w:hAnsi="Arial"/>
          <w:b/>
          <w:bCs/>
          <w:color w:val="0F1F1A"/>
          <w:sz w:val="28"/>
          <w:szCs w:val="28"/>
        </w:rPr>
        <w:t xml:space="preserve">HOW MYCELIUM WINS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Story Protocol</w:t>
            </w:r>
          </w:p>
        </w:tc>
        <w:tc>
          <w:tcPr>
            <w:tcW w:type="dxa" w:w="32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Mycelium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WIPO relationship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Parallel / competing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Formally complementary — feeds WIPO systems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Replaces traditional IP law</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Completes it — the missing on-chain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Western enterprise + AI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SEA creator economy — 64M creators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L1 (unproven at scale)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Solana — proven, 65K TPS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IP Day 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(Ippy mascot)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INFIA portfolio — real commercial IP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 evidence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designed for this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MEP — WIPO ADR-ready by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Regulatory risk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Disruptive framing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Conservative — aligns with WIPO standards</w:t>
            </w:r>
          </w:p>
        </w:tc>
      </w:tr>
    </w:tbl>
    <w:p>
      <w:pPr>
        <w:spacing w:before="240" w:after="0"/>
      </w:pPr>
      <w:r>
        <w:t xml:space="preserve"/>
      </w:r>
    </w:p>
    <w:p>
      <w:pPr>
        <w:pBdr>
          <w:bottom w:val="single" w:color="1A7A4A" w:sz="4" w:space="4"/>
        </w:pBdr>
        <w:spacing w:before="0" w:after="120"/>
      </w:pPr>
      <w:r>
        <w:rPr>
          <w:rFonts w:ascii="Arial" w:cs="Arial" w:eastAsia="Arial" w:hAnsi="Arial"/>
          <w:b/>
          <w:bCs/>
          <w:color w:val="0F1F1A"/>
          <w:sz w:val="28"/>
          <w:szCs w:val="28"/>
        </w:rPr>
        <w:t xml:space="preserve">WHAT WE'RE ASKING FOR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3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We Deliver</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1F1A"/>
                <w:sz w:val="20"/>
                <w:szCs w:val="20"/>
              </w:rPr>
              <w:t xml:space="preserve">Superteam Indonesia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Microgrant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sz w:val="20"/>
                <w:szCs w:val="20"/>
              </w:rPr>
              <w:t xml:space="preserve">Up to $10,000 USDC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PoC on devnet. Open-source smart contracts incl. WIPO Evidence Module. INFIA pilot data.</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003F8A"/>
                <w:sz w:val="20"/>
                <w:szCs w:val="20"/>
              </w:rPr>
              <w:t xml:space="preserve">Solana Foundation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Convertible Grant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3F8A"/>
                <w:sz w:val="20"/>
                <w:szCs w:val="20"/>
              </w:rPr>
              <w:t xml:space="preserve">$250k–$500k USDC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Mainnet beta. 100+ IP registrations. Brand licensing live. WIPO MEP v1 in production.</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1F1A" w:val="clear"/>
            <w:tcMar>
              <w:top w:type="dxa" w:w="240"/>
              <w:left w:type="dxa" w:w="280"/>
              <w:bottom w:type="dxa" w:w="240"/>
              <w:right w:type="dxa" w:w="280"/>
            </w:tcMar>
            <w:vAlign w:val="center"/>
          </w:tcPr>
          <w:p>
            <w:pPr>
              <w:jc w:val="center"/>
            </w:pPr>
            <w:r>
              <w:rPr>
                <w:rFonts w:ascii="Arial" w:cs="Arial" w:eastAsia="Arial" w:hAnsi="Arial"/>
                <w:b/>
                <w:bCs/>
                <w:i/>
                <w:iCs/>
                <w:color w:val="888888"/>
                <w:sz w:val="22"/>
                <w:szCs w:val="22"/>
              </w:rPr>
              <w:t xml:space="preserve">Story Protocol replaces WIPO.</w:t>
            </w:r>
          </w:p>
          <w:p>
            <w:pPr>
              <w:spacing w:before="80" w:after="0"/>
              <w:jc w:val="center"/>
            </w:pPr>
            <w:r>
              <w:rPr>
                <w:rFonts w:ascii="Arial" w:cs="Arial" w:eastAsia="Arial" w:hAnsi="Arial"/>
                <w:b/>
                <w:bCs/>
                <w:color w:val="FFFFFF"/>
                <w:sz w:val="28"/>
                <w:szCs w:val="28"/>
              </w:rPr>
              <w:t xml:space="preserve">Mycelium completes it.</w:t>
            </w:r>
          </w:p>
        </w:tc>
        <w:tc>
          <w:tcPr>
            <w:tcW w:type="dxa" w:w="4680"/>
            <w:tcBorders>
              <w:top w:val="none" w:color="FFFFFF" w:sz="0"/>
              <w:left w:val="none" w:color="FFFFFF" w:sz="0"/>
              <w:bottom w:val="none" w:color="FFFFFF" w:sz="0"/>
              <w:right w:val="none" w:color="FFFFFF" w:sz="0"/>
            </w:tcBorders>
            <w:shd w:fill="1A7A4A" w:val="clear"/>
            <w:tcMar>
              <w:top w:type="dxa" w:w="240"/>
              <w:left w:type="dxa" w:w="280"/>
              <w:bottom w:type="dxa" w:w="240"/>
              <w:right w:type="dxa" w:w="280"/>
            </w:tcMar>
            <w:vAlign w:val="center"/>
          </w:tcPr>
          <w:p>
            <w:pPr>
              <w:jc w:val="center"/>
            </w:pPr>
            <w:r>
              <w:rPr>
                <w:rFonts w:ascii="Arial" w:cs="Arial" w:eastAsia="Arial" w:hAnsi="Arial"/>
                <w:b/>
                <w:bCs/>
                <w:color w:val="FFFFFF"/>
                <w:sz w:val="24"/>
                <w:szCs w:val="24"/>
              </w:rPr>
              <w:t xml:space="preserve">Register everywhere.</w:t>
            </w:r>
          </w:p>
          <w:p>
            <w:pPr>
              <w:spacing w:before="80" w:after="0"/>
              <w:jc w:val="center"/>
            </w:pPr>
            <w:r>
              <w:rPr>
                <w:rFonts w:ascii="Arial" w:cs="Arial" w:eastAsia="Arial" w:hAnsi="Arial"/>
                <w:b/>
                <w:bCs/>
                <w:color w:val="CCFFDD"/>
                <w:sz w:val="24"/>
                <w:szCs w:val="24"/>
              </w:rPr>
              <w:t xml:space="preserve">Enforce anywhere.</w:t>
            </w:r>
          </w:p>
        </w:tc>
      </w:tr>
    </w:tbl>
    <w:p>
      <w:pPr>
        <w:spacing w:before="200" w:after="0"/>
      </w:pPr>
      <w:r>
        <w:t xml:space="preserve"/>
      </w:r>
    </w:p>
    <w:p>
      <w:pPr>
        <w:jc w:val="center"/>
      </w:pPr>
      <w:r>
        <w:rPr>
          <w:rFonts w:ascii="Arial" w:cs="Arial" w:eastAsia="Arial" w:hAnsi="Arial"/>
          <w:color w:val="888888"/>
          <w:sz w:val="20"/>
          <w:szCs w:val="20"/>
        </w:rPr>
        <w:t xml:space="preserve">Contact: Aji Pratomo  ·  INFIA Group  ·  @memejunkies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2026-03-23T02:21:14.311Z</dcterms:created>
  <dcterms:modified xsi:type="dcterms:W3CDTF">2026-03-23T02:21:14.312Z</dcterms:modified>
</cp:coreProperties>
</file>

<file path=docProps/custom.xml><?xml version="1.0" encoding="utf-8"?>
<Properties xmlns="http://schemas.openxmlformats.org/officeDocument/2006/custom-properties" xmlns:vt="http://schemas.openxmlformats.org/officeDocument/2006/docPropsVTypes"/>
</file>