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F1A" w:val="clear"/>
            <w:tcMar>
              <w:top w:type="dxa" w:w="300"/>
              <w:left w:type="dxa" w:w="360"/>
              <w:bottom w:type="dxa" w:w="300"/>
              <w:right w:type="dxa" w:w="360"/>
            </w:tcMar>
          </w:tcPr>
          <w:p>
            <w:r>
              <w:rPr>
                <w:rFonts w:ascii="Arial" w:cs="Arial" w:eastAsia="Arial" w:hAnsi="Arial"/>
                <w:b/>
                <w:bCs/>
                <w:color w:val="FFFFFF"/>
                <w:sz w:val="52"/>
                <w:szCs w:val="52"/>
              </w:rPr>
              <w:t xml:space="preserve">MYCELIUM NETWORK</w:t>
            </w:r>
          </w:p>
          <w:p>
            <w:pPr>
              <w:spacing w:before="80" w:after="0"/>
            </w:pPr>
            <w:r>
              <w:rPr>
                <w:rFonts w:ascii="Arial" w:cs="Arial" w:eastAsia="Arial" w:hAnsi="Arial"/>
                <w:color w:val="88CCAA"/>
                <w:sz w:val="28"/>
                <w:szCs w:val="28"/>
              </w:rPr>
              <w:t xml:space="preserve">Proof of Concept — Technical Specification v0.2</w:t>
            </w:r>
          </w:p>
          <w:p>
            <w:pPr>
              <w:spacing w:before="80" w:after="0"/>
            </w:pPr>
            <w:r>
              <w:rPr>
                <w:rFonts w:ascii="Arial" w:cs="Arial" w:eastAsia="Arial" w:hAnsi="Arial"/>
                <w:i/>
                <w:iCs/>
                <w:color w:val="88CCFF"/>
                <w:sz w:val="22"/>
                <w:szCs w:val="22"/>
              </w:rPr>
              <w:t xml:space="preserve">Now includes: WIPO Evidence Module (4th smart contract)</w:t>
            </w:r>
          </w:p>
          <w:p>
            <w:pPr>
              <w:spacing w:before="120" w:after="0"/>
            </w:pPr>
            <w:r>
              <w:rPr>
                <w:rFonts w:ascii="Arial" w:cs="Arial" w:eastAsia="Arial" w:hAnsi="Arial"/>
                <w:color w:val="555555"/>
                <w:sz w:val="20"/>
                <w:szCs w:val="20"/>
              </w:rPr>
              <w:t xml:space="preserve">March 2026  |  Confidential</w:t>
            </w:r>
          </w:p>
        </w:tc>
      </w:tr>
    </w:tbl>
    <w:p>
      <w:pPr>
        <w:spacing w:before="240" w:after="0"/>
      </w:pPr>
      <w:r>
        <w:t xml:space="preserve"/>
      </w:r>
    </w:p>
    <w:p>
      <w:pPr>
        <w:pBdr>
          <w:bottom w:val="single" w:color="1A7A4A" w:sz="4" w:space="4"/>
        </w:pBdr>
        <w:spacing w:before="480" w:after="200"/>
      </w:pPr>
      <w:r>
        <w:rPr>
          <w:rFonts w:ascii="Arial" w:cs="Arial" w:eastAsia="Arial" w:hAnsi="Arial"/>
          <w:b/>
          <w:bCs/>
          <w:color w:val="0F1F1A"/>
          <w:sz w:val="36"/>
          <w:szCs w:val="36"/>
        </w:rPr>
        <w:t xml:space="preserve">1.  Objective + Scope Change from v0.1</w:t>
      </w:r>
    </w:p>
    <w:p>
      <w:pPr>
        <w:spacing w:before="60" w:after="120"/>
        <w:jc w:val="both"/>
      </w:pPr>
      <w:r>
        <w:rPr>
          <w:rFonts w:ascii="Arial" w:cs="Arial" w:eastAsia="Arial" w:hAnsi="Arial"/>
          <w:color w:val="333333"/>
          <w:sz w:val="22"/>
          <w:szCs w:val="22"/>
        </w:rPr>
        <w:t xml:space="preserve">This specification updates the Mycelium PoC to include a fourth smart contract: the WIPO Evidence Module. This addition reflects Mycelium's upgraded positioning as a WIPO-complementary protocol, not merely a Story Protocol alternative.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4"/>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i/>
                <w:iCs/>
                <w:color w:val="0F1F1A"/>
                <w:sz w:val="22"/>
                <w:szCs w:val="22"/>
              </w:rPr>
              <w:t xml:space="preserve">The WIPO Evidence Module is the technical differentiator that no competitor has built. It transforms Mycelium from 'blockchain IP tool' into 'the on-chain layer that feeds WIPO.' This is worth the additional 1–2 weeks of development.</w:t>
            </w:r>
          </w:p>
        </w:tc>
      </w:tr>
    </w:tbl>
    <w:p>
      <w:pPr>
        <w:spacing w:before="100" w:after="0"/>
      </w:pPr>
      <w:r>
        <w:t xml:space="preserve"/>
      </w:r>
    </w:p>
    <w:p>
      <w:pPr>
        <w:spacing w:before="60" w:after="120"/>
        <w:jc w:val="both"/>
      </w:pPr>
      <w:r>
        <w:rPr>
          <w:rFonts w:ascii="Arial" w:cs="Arial" w:eastAsia="Arial" w:hAnsi="Arial"/>
          <w:color w:val="333333"/>
          <w:sz w:val="22"/>
          <w:szCs w:val="22"/>
        </w:rPr>
        <w:t xml:space="preserve">All other objectives from v0.1 remain unchanged: prove that IP registration, licensing, and royalty distribution work on Solana; produce a working demo for Solana Foundation; deliver open-source artifacts for Superteam Indonesia microgrant; validate with INFIA's real IP assets.</w:t>
      </w:r>
    </w:p>
    <w:p>
      <w:r>
        <w:br w:type="page"/>
      </w:r>
    </w:p>
    <w:p>
      <w:pPr>
        <w:pBdr>
          <w:bottom w:val="single" w:color="1A7A4A" w:sz="4" w:space="4"/>
        </w:pBdr>
        <w:spacing w:before="480" w:after="200"/>
      </w:pPr>
      <w:r>
        <w:rPr>
          <w:rFonts w:ascii="Arial" w:cs="Arial" w:eastAsia="Arial" w:hAnsi="Arial"/>
          <w:b/>
          <w:bCs/>
          <w:color w:val="0F1F1A"/>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Contracts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Rust + Anchor Framework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Anchor reduces boilerplate, built-in IDL generation, battle-tested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Blockchain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Solana Devnet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 identical to mainnet behavior, no financial risk during PoC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14 + TypeScript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 development, strong typing, Solana wallet adapter support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Wallet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Solana Wallet Adapter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Phantom, Backpack, all major Solana wallets out of the box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IPFS (NFT.storage)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tier sufficient for PoC, permanent, decentralized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Evidence Package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Off-chain JSON + on-chain signature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MEP generated off-chain, signed and anchored on-chain for tamper-proof export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WIPO Metadata Standard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 No. 59 alignment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fields matching WIPO's developing blockchain standard</w:t>
            </w:r>
          </w:p>
        </w:tc>
      </w:tr>
    </w:tbl>
    <w:p>
      <w:r>
        <w:br w:type="page"/>
      </w:r>
    </w:p>
    <w:p>
      <w:pPr>
        <w:pBdr>
          <w:bottom w:val="single" w:color="1A7A4A" w:sz="4" w:space="4"/>
        </w:pBdr>
        <w:spacing w:before="480" w:after="200"/>
      </w:pPr>
      <w:r>
        <w:rPr>
          <w:rFonts w:ascii="Arial" w:cs="Arial" w:eastAsia="Arial" w:hAnsi="Arial"/>
          <w:b/>
          <w:bCs/>
          <w:color w:val="0F1F1A"/>
          <w:sz w:val="36"/>
          <w:szCs w:val="36"/>
        </w:rPr>
        <w:t xml:space="preserve">3.  Smart Contract Specifications</w:t>
      </w:r>
    </w:p>
    <w:p>
      <w:pPr>
        <w:spacing w:before="60" w:after="120"/>
        <w:jc w:val="both"/>
      </w:pPr>
      <w:r>
        <w:rPr>
          <w:rFonts w:ascii="Arial" w:cs="Arial" w:eastAsia="Arial" w:hAnsi="Arial"/>
          <w:color w:val="333333"/>
          <w:sz w:val="22"/>
          <w:szCs w:val="22"/>
        </w:rPr>
        <w:t xml:space="preserve">The PoC implements four Anchor programs. Programs 1–3 are unchanged from v0.1. Program 4 is new.</w:t>
      </w:r>
    </w:p>
    <w:p>
      <w:pPr>
        <w:spacing w:before="80" w:after="0"/>
      </w:pPr>
      <w:r>
        <w:t xml:space="preserve"/>
      </w:r>
    </w:p>
    <w:p>
      <w:pPr>
        <w:spacing w:before="320" w:after="140"/>
      </w:pPr>
      <w:r>
        <w:rPr>
          <w:rFonts w:ascii="Arial" w:cs="Arial" w:eastAsia="Arial" w:hAnsi="Arial"/>
          <w:b/>
          <w:bCs/>
          <w:color w:val="1A7A4A"/>
          <w:sz w:val="28"/>
          <w:szCs w:val="28"/>
        </w:rPr>
        <w:t xml:space="preserve">3.1  Program 1: IP Registry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4"/>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i/>
                <w:iCs/>
                <w:color w:val="0F1F1A"/>
                <w:sz w:val="22"/>
                <w:szCs w:val="22"/>
              </w:rPr>
              <w:t xml:space="preserve">Register any creative work on-chain with immutable timestamp, content hash, and WIPO-compatible metadata.</w:t>
            </w:r>
          </w:p>
        </w:tc>
      </w:tr>
    </w:tbl>
    <w:p>
      <w:pPr>
        <w:spacing w:before="80" w:after="0"/>
      </w:pPr>
      <w:r>
        <w:t xml:space="preserve"/>
      </w:r>
    </w:p>
    <w:p>
      <w:pPr>
        <w:spacing w:before="60" w:after="120"/>
        <w:jc w:val="both"/>
      </w:pPr>
      <w:r>
        <w:rPr>
          <w:rFonts w:ascii="Arial" w:cs="Arial" w:eastAsia="Arial" w:hAnsi="Arial"/>
          <w:color w:val="333333"/>
          <w:sz w:val="22"/>
          <w:szCs w:val="22"/>
        </w:rPr>
        <w:t xml:space="preserve">Account structure, instructions (register_ip, update_ip, archive_ip), and key design decisions remain as specified in v0.1. One addition: the IpAsset struct now includes WIPO-specific metadata fields.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16"/>
              <w:bottom w:val="none" w:color="FFFFFF" w:sz="0"/>
              <w:right w:val="none" w:color="FFFFFF" w:sz="0"/>
            </w:tcBorders>
            <w:shd w:fill="1E1E1E" w:val="clear"/>
            <w:tcMar>
              <w:top w:type="dxa" w:w="160"/>
              <w:left w:type="dxa" w:w="200"/>
              <w:bottom w:type="dxa" w:w="160"/>
              <w:right w:type="dxa" w:w="200"/>
            </w:tcMar>
          </w:tcPr>
          <w:p>
            <w:pPr>
              <w:spacing w:before="20" w:after="20"/>
            </w:pPr>
            <w:r>
              <w:rPr>
                <w:rFonts w:ascii="Courier New" w:cs="Courier New" w:eastAsia="Courier New" w:hAnsi="Courier New"/>
                <w:color w:val="00FF88"/>
                <w:sz w:val="18"/>
                <w:szCs w:val="18"/>
              </w:rPr>
              <w:t xml:space="preserve">// NEW FIELDS added to IpAsset for WIPO compatibility</w:t>
            </w:r>
          </w:p>
          <w:p>
            <w:pPr>
              <w:spacing w:before="20" w:after="20"/>
            </w:pPr>
            <w:r>
              <w:rPr>
                <w:rFonts w:ascii="Courier New" w:cs="Courier New" w:eastAsia="Courier New" w:hAnsi="Courier New"/>
                <w:color w:val="00FF88"/>
                <w:sz w:val="18"/>
                <w:szCs w:val="18"/>
              </w:rPr>
              <w:t xml:space="preserve">pub struct IpAsset {</w:t>
            </w:r>
          </w:p>
          <w:p>
            <w:pPr>
              <w:spacing w:before="20" w:after="20"/>
            </w:pPr>
            <w:r>
              <w:rPr>
                <w:rFonts w:ascii="Courier New" w:cs="Courier New" w:eastAsia="Courier New" w:hAnsi="Courier New"/>
                <w:color w:val="00FF88"/>
                <w:sz w:val="18"/>
                <w:szCs w:val="18"/>
              </w:rPr>
              <w:t xml:space="preserve">    // ... existing fields unchanged ...</w:t>
            </w:r>
          </w:p>
          <w:p>
            <w:pPr>
              <w:spacing w:before="20" w:after="20"/>
            </w:pPr>
            <w:r>
              <w:rPr>
                <w:rFonts w:ascii="Courier New" w:cs="Courier New" w:eastAsia="Courier New" w:hAnsi="Courier New"/>
                <w:color w:val="00FF88"/>
                <w:sz w:val="18"/>
                <w:szCs w:val="18"/>
              </w:rPr>
              <w:t xml:space="preserve">    // NEW: WIPO-compatible metadata</w:t>
            </w:r>
          </w:p>
          <w:p>
            <w:pPr>
              <w:spacing w:before="20" w:after="20"/>
            </w:pPr>
            <w:r>
              <w:rPr>
                <w:rFonts w:ascii="Courier New" w:cs="Courier New" w:eastAsia="Courier New" w:hAnsi="Courier New"/>
                <w:color w:val="00FF88"/>
                <w:sz w:val="18"/>
                <w:szCs w:val="18"/>
              </w:rPr>
              <w:t xml:space="preserve">    pub nice_class: Option&lt;u8&gt;,       // Nice Classification number (trademarks)</w:t>
            </w:r>
          </w:p>
          <w:p>
            <w:pPr>
              <w:spacing w:before="20" w:after="20"/>
            </w:pPr>
            <w:r>
              <w:rPr>
                <w:rFonts w:ascii="Courier New" w:cs="Courier New" w:eastAsia="Courier New" w:hAnsi="Courier New"/>
                <w:color w:val="00FF88"/>
                <w:sz w:val="18"/>
                <w:szCs w:val="18"/>
              </w:rPr>
              <w:t xml:space="preserve">    pub berne_category: Option&lt;u8&gt;,   // Berne Convention work category (copyright)</w:t>
            </w:r>
          </w:p>
          <w:p>
            <w:pPr>
              <w:spacing w:before="20" w:after="20"/>
            </w:pPr>
            <w:r>
              <w:rPr>
                <w:rFonts w:ascii="Courier New" w:cs="Courier New" w:eastAsia="Courier New" w:hAnsi="Courier New"/>
                <w:color w:val="00FF88"/>
                <w:sz w:val="18"/>
                <w:szCs w:val="18"/>
              </w:rPr>
              <w:t xml:space="preserve">    pub country_of_origin: [u8; 2],   // ISO 3166-1 alpha-2 (ID = Indonesia)</w:t>
            </w:r>
          </w:p>
          <w:p>
            <w:pPr>
              <w:spacing w:before="20" w:after="20"/>
            </w:pPr>
            <w:r>
              <w:rPr>
                <w:rFonts w:ascii="Courier New" w:cs="Courier New" w:eastAsia="Courier New" w:hAnsi="Courier New"/>
                <w:color w:val="00FF88"/>
                <w:sz w:val="18"/>
                <w:szCs w:val="18"/>
              </w:rPr>
              <w:t xml:space="preserve">    pub first_use_date: Option&lt;i64&gt;,  // First commercial use (for trademark)</w:t>
            </w:r>
          </w:p>
          <w:p>
            <w:pPr>
              <w:spacing w:before="20" w:after="20"/>
            </w:pPr>
            <w:r>
              <w:rPr>
                <w:rFonts w:ascii="Courier New" w:cs="Courier New" w:eastAsia="Courier New" w:hAnsi="Courier New"/>
                <w:color w:val="00FF88"/>
                <w:sz w:val="18"/>
                <w:szCs w:val="18"/>
              </w:rPr>
              <w:t xml:space="preserve">    pub wipo_aligned: bool,            // Confirms WIPO metadata standard compliance</w:t>
            </w:r>
          </w:p>
          <w:p>
            <w:pPr>
              <w:spacing w:before="20" w:after="20"/>
            </w:pPr>
            <w:r>
              <w:rPr>
                <w:rFonts w:ascii="Courier New" w:cs="Courier New" w:eastAsia="Courier New" w:hAnsi="Courier New"/>
                <w:color w:val="00FF88"/>
                <w:sz w:val="18"/>
                <w:szCs w:val="18"/>
              </w:rPr>
              <w:t xml:space="preserve">}</w:t>
            </w:r>
          </w:p>
        </w:tc>
      </w:tr>
    </w:tbl>
    <w:p>
      <w:pPr>
        <w:spacing w:before="200" w:after="0"/>
      </w:pPr>
      <w:r>
        <w:t xml:space="preserve"/>
      </w:r>
    </w:p>
    <w:p>
      <w:pPr>
        <w:spacing w:before="320" w:after="140"/>
      </w:pPr>
      <w:r>
        <w:rPr>
          <w:rFonts w:ascii="Arial" w:cs="Arial" w:eastAsia="Arial" w:hAnsi="Arial"/>
          <w:b/>
          <w:bCs/>
          <w:color w:val="1A7A4A"/>
          <w:sz w:val="28"/>
          <w:szCs w:val="28"/>
        </w:rPr>
        <w:t xml:space="preserve">3.2  Program 2: License Module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4"/>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i/>
                <w:iCs/>
                <w:color w:val="0F1F1A"/>
                <w:sz w:val="22"/>
                <w:szCs w:val="22"/>
              </w:rPr>
              <w:t xml:space="preserve">Manage issuance, validation, and revocation of IP licenses.</w:t>
            </w:r>
          </w:p>
        </w:tc>
      </w:tr>
    </w:tbl>
    <w:p>
      <w:pPr>
        <w:spacing w:before="80" w:after="0"/>
      </w:pPr>
      <w:r>
        <w:t xml:space="preserve"/>
      </w:r>
    </w:p>
    <w:p>
      <w:pPr>
        <w:spacing w:before="60" w:after="120"/>
        <w:jc w:val="both"/>
      </w:pPr>
      <w:r>
        <w:rPr>
          <w:rFonts w:ascii="Arial" w:cs="Arial" w:eastAsia="Arial" w:hAnsi="Arial"/>
          <w:color w:val="333333"/>
          <w:sz w:val="22"/>
          <w:szCs w:val="22"/>
        </w:rPr>
        <w:t xml:space="preserve">Unchanged from v0.1. Issue, validate, revoke. Four license archetypes. Territory + duration + royalty parameters. License tokens on-chain.</w:t>
      </w:r>
    </w:p>
    <w:p>
      <w:pPr>
        <w:spacing w:before="200" w:after="0"/>
      </w:pPr>
      <w:r>
        <w:t xml:space="preserve"/>
      </w:r>
    </w:p>
    <w:p>
      <w:pPr>
        <w:spacing w:before="320" w:after="140"/>
      </w:pPr>
      <w:r>
        <w:rPr>
          <w:rFonts w:ascii="Arial" w:cs="Arial" w:eastAsia="Arial" w:hAnsi="Arial"/>
          <w:b/>
          <w:bCs/>
          <w:color w:val="1A7A4A"/>
          <w:sz w:val="28"/>
          <w:szCs w:val="28"/>
        </w:rPr>
        <w:t xml:space="preserve">3.3  Program 3: Royalty Distribution Engine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4"/>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i/>
                <w:iCs/>
                <w:color w:val="0F1F1A"/>
                <w:sz w:val="22"/>
                <w:szCs w:val="22"/>
              </w:rPr>
              <w:t xml:space="preserve">Accept revenue deposits, automatically distribute to all rights holders.</w:t>
            </w:r>
          </w:p>
        </w:tc>
      </w:tr>
    </w:tbl>
    <w:p>
      <w:pPr>
        <w:spacing w:before="80" w:after="0"/>
      </w:pPr>
      <w:r>
        <w:t xml:space="preserve"/>
      </w:r>
    </w:p>
    <w:p>
      <w:pPr>
        <w:spacing w:before="60" w:after="120"/>
        <w:jc w:val="both"/>
      </w:pPr>
      <w:r>
        <w:rPr>
          <w:rFonts w:ascii="Arial" w:cs="Arial" w:eastAsia="Arial" w:hAnsi="Arial"/>
          <w:color w:val="333333"/>
          <w:sz w:val="22"/>
          <w:szCs w:val="22"/>
        </w:rPr>
        <w:t xml:space="preserve">Unchanged from v0.1. Configure splits, deposit royalties, auto-distribute, withdraw. Multi-recipient atomic splits. Platform fee included.</w:t>
      </w:r>
    </w:p>
    <w:p>
      <w:pPr>
        <w:spacing w:before="200" w:after="0"/>
      </w:pPr>
      <w:r>
        <w:t xml:space="preserve"/>
      </w:r>
    </w:p>
    <w:p>
      <w:pPr>
        <w:spacing w:before="320" w:after="140"/>
      </w:pPr>
      <w:r>
        <w:rPr>
          <w:rFonts w:ascii="Arial" w:cs="Arial" w:eastAsia="Arial" w:hAnsi="Arial"/>
          <w:b/>
          <w:bCs/>
          <w:color w:val="003F8A"/>
          <w:sz w:val="28"/>
          <w:szCs w:val="28"/>
        </w:rPr>
        <w:t xml:space="preserve">3.4  Program 4: WIPO Evidence Module (NEW —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3F8A" w:sz="24"/>
              <w:bottom w:val="none" w:color="FFFFFF" w:sz="0"/>
              <w:right w:val="none" w:color="FFFFFF" w:sz="0"/>
            </w:tcBorders>
            <w:shd w:fill="E8F0FB" w:val="clear"/>
            <w:tcMar>
              <w:top w:type="dxa" w:w="160"/>
              <w:left w:type="dxa" w:w="220"/>
              <w:bottom w:type="dxa" w:w="160"/>
              <w:right w:type="dxa" w:w="220"/>
            </w:tcMar>
          </w:tcPr>
          <w:p>
            <w:r>
              <w:rPr>
                <w:rFonts w:ascii="Arial" w:cs="Arial" w:eastAsia="Arial" w:hAnsi="Arial"/>
                <w:i/>
                <w:iCs/>
                <w:color w:val="003F8A"/>
                <w:sz w:val="22"/>
                <w:szCs w:val="22"/>
              </w:rPr>
              <w:t xml:space="preserve">The critical new addition. Generates and anchors the Mycelium Evidence Package (MEP) — a standardized evidence dossier from any registered IP asset, formatted for WIPO Arbitration Center submission and admissible in Indonesian courts under the March 2025 Marseille precedent.</w:t>
            </w:r>
          </w:p>
        </w:tc>
      </w:tr>
    </w:tbl>
    <w:p>
      <w:pPr>
        <w:spacing w:before="100" w:after="0"/>
      </w:pPr>
      <w:r>
        <w:t xml:space="preserve"/>
      </w:r>
    </w:p>
    <w:p>
      <w:pPr>
        <w:spacing w:before="220" w:after="100"/>
      </w:pPr>
      <w:r>
        <w:rPr>
          <w:rFonts w:ascii="Arial" w:cs="Arial" w:eastAsia="Arial" w:hAnsi="Arial"/>
          <w:b/>
          <w:bCs/>
          <w:color w:val="0F1F1A"/>
          <w:sz w:val="24"/>
          <w:szCs w:val="24"/>
        </w:rPr>
        <w:t xml:space="preserve">What is the Mycelium Evidence Package (MEP)?</w:t>
      </w:r>
    </w:p>
    <w:p>
      <w:pPr>
        <w:spacing w:before="60" w:after="120"/>
        <w:jc w:val="both"/>
      </w:pPr>
      <w:r>
        <w:rPr>
          <w:rFonts w:ascii="Arial" w:cs="Arial" w:eastAsia="Arial" w:hAnsi="Arial"/>
          <w:color w:val="333333"/>
          <w:sz w:val="22"/>
          <w:szCs w:val="22"/>
        </w:rPr>
        <w:t xml:space="preserve">The MEP is a structured document that transforms Mycelium's on-chain records into a format that lawyers, arbitrators, and judges can use in IP disputes. It is generated on demand, signed by the Mycelium protocol, and anchored on-chain — making it tamper-proof and independently verifiable.</w:t>
      </w:r>
    </w:p>
    <w:p>
      <w:pPr>
        <w:spacing w:before="80" w:after="0"/>
      </w:pPr>
      <w:r>
        <w:t xml:space="preserve"/>
      </w:r>
    </w:p>
    <w:p>
      <w:pPr>
        <w:spacing w:before="220" w:after="100"/>
      </w:pPr>
      <w:r>
        <w:rPr>
          <w:rFonts w:ascii="Arial" w:cs="Arial" w:eastAsia="Arial" w:hAnsi="Arial"/>
          <w:b/>
          <w:bCs/>
          <w:color w:val="0F1F1A"/>
          <w:sz w:val="24"/>
          <w:szCs w:val="24"/>
        </w:rPr>
        <w:t xml:space="preserve">MEP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MEP Section</w:t>
            </w:r>
          </w:p>
        </w:tc>
        <w:tc>
          <w:tcPr>
            <w:tcW w:type="dxa" w:w="6560"/>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IP Registration Proof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 number, transaction signature, Solana cluster, registration timestamp (Unix + ISO 8601), PDA address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Content Authentication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SHA-256 content hash, IPFS CID, file type, file size — proving what was registered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Creator 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Wallet address (public key), optional identity attestation from Orchestration Service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 WIPO Metadata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IP type, Nice Classification (if trademark), Berne category (if copyright), country of origin, first use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License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licenses issued: licensee, terms, territory, date, royalty rate, current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 Commercial Activity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royalties received, number of distributions, distribution timeline — proves commercial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 Protocol Signature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Ed25519 signature from Mycelium protocol authority — signs the MEP hash on-chain for tamper-proof export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 Verification Instructions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How to independently verify all on-chain data via Solana Explorer and IPFS</w:t>
            </w:r>
          </w:p>
        </w:tc>
      </w:tr>
    </w:tbl>
    <w:p>
      <w:pPr>
        <w:spacing w:before="100" w:after="0"/>
      </w:pPr>
      <w:r>
        <w:t xml:space="preserve"/>
      </w:r>
    </w:p>
    <w:p>
      <w:pPr>
        <w:spacing w:before="220" w:after="100"/>
      </w:pPr>
      <w:r>
        <w:rPr>
          <w:rFonts w:ascii="Arial" w:cs="Arial" w:eastAsia="Arial" w:hAnsi="Arial"/>
          <w:b/>
          <w:bCs/>
          <w:color w:val="0F1F1A"/>
          <w:sz w:val="24"/>
          <w:szCs w:val="24"/>
        </w:rPr>
        <w:t xml:space="preserve">Account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3F8A" w:sz="16"/>
              <w:bottom w:val="none" w:color="FFFFFF" w:sz="0"/>
              <w:right w:val="none" w:color="FFFFFF" w:sz="0"/>
            </w:tcBorders>
            <w:shd w:fill="1E1E1E" w:val="clear"/>
            <w:tcMar>
              <w:top w:type="dxa" w:w="160"/>
              <w:left w:type="dxa" w:w="200"/>
              <w:bottom w:type="dxa" w:w="160"/>
              <w:right w:type="dxa" w:w="200"/>
            </w:tcMar>
          </w:tcPr>
          <w:p>
            <w:pPr>
              <w:spacing w:before="20" w:after="20"/>
            </w:pPr>
            <w:r>
              <w:rPr>
                <w:rFonts w:ascii="Courier New" w:cs="Courier New" w:eastAsia="Courier New" w:hAnsi="Courier New"/>
                <w:color w:val="88CCFF"/>
                <w:sz w:val="18"/>
                <w:szCs w:val="18"/>
              </w:rPr>
              <w:t xml:space="preserve">pub struct EvidencePackage {</w:t>
            </w:r>
          </w:p>
          <w:p>
            <w:pPr>
              <w:spacing w:before="20" w:after="20"/>
            </w:pPr>
            <w:r>
              <w:rPr>
                <w:rFonts w:ascii="Courier New" w:cs="Courier New" w:eastAsia="Courier New" w:hAnsi="Courier New"/>
                <w:color w:val="88CCFF"/>
                <w:sz w:val="18"/>
                <w:szCs w:val="18"/>
              </w:rPr>
              <w:t xml:space="preserve">    pub ip_asset: Pubkey,           // IP asset this package is generated for</w:t>
            </w:r>
          </w:p>
          <w:p>
            <w:pPr>
              <w:spacing w:before="20" w:after="20"/>
            </w:pPr>
            <w:r>
              <w:rPr>
                <w:rFonts w:ascii="Courier New" w:cs="Courier New" w:eastAsia="Courier New" w:hAnsi="Courier New"/>
                <w:color w:val="88CCFF"/>
                <w:sz w:val="18"/>
                <w:szCs w:val="18"/>
              </w:rPr>
              <w:t xml:space="preserve">    pub requested_by: Pubkey,       // Who requested the MEP (must be IP owner)</w:t>
            </w:r>
          </w:p>
          <w:p>
            <w:pPr>
              <w:spacing w:before="20" w:after="20"/>
            </w:pPr>
            <w:r>
              <w:rPr>
                <w:rFonts w:ascii="Courier New" w:cs="Courier New" w:eastAsia="Courier New" w:hAnsi="Courier New"/>
                <w:color w:val="88CCFF"/>
                <w:sz w:val="18"/>
                <w:szCs w:val="18"/>
              </w:rPr>
              <w:t xml:space="preserve">    pub generated_at: i64,          // Timestamp of MEP generation</w:t>
            </w:r>
          </w:p>
          <w:p>
            <w:pPr>
              <w:spacing w:before="20" w:after="20"/>
            </w:pPr>
            <w:r>
              <w:rPr>
                <w:rFonts w:ascii="Courier New" w:cs="Courier New" w:eastAsia="Courier New" w:hAnsi="Courier New"/>
                <w:color w:val="88CCFF"/>
                <w:sz w:val="18"/>
                <w:szCs w:val="18"/>
              </w:rPr>
              <w:t xml:space="preserve">    pub package_hash: [u8; 32],     // SHA-256 hash of full MEP JSON</w:t>
            </w:r>
          </w:p>
          <w:p>
            <w:pPr>
              <w:spacing w:before="20" w:after="20"/>
            </w:pPr>
            <w:r>
              <w:rPr>
                <w:rFonts w:ascii="Courier New" w:cs="Courier New" w:eastAsia="Courier New" w:hAnsi="Courier New"/>
                <w:color w:val="88CCFF"/>
                <w:sz w:val="18"/>
                <w:szCs w:val="18"/>
              </w:rPr>
              <w:t xml:space="preserve">    pub ipfs_uri: String,           // IPFS location of full MEP document</w:t>
            </w:r>
          </w:p>
          <w:p>
            <w:pPr>
              <w:spacing w:before="20" w:after="20"/>
            </w:pPr>
            <w:r>
              <w:rPr>
                <w:rFonts w:ascii="Courier New" w:cs="Courier New" w:eastAsia="Courier New" w:hAnsi="Courier New"/>
                <w:color w:val="88CCFF"/>
                <w:sz w:val="18"/>
                <w:szCs w:val="18"/>
              </w:rPr>
              <w:t xml:space="preserve">    pub protocol_signature: [u8; 64], // Ed25519 signature by Mycelium authority</w:t>
            </w:r>
          </w:p>
          <w:p>
            <w:pPr>
              <w:spacing w:before="20" w:after="20"/>
            </w:pPr>
            <w:r>
              <w:rPr>
                <w:rFonts w:ascii="Courier New" w:cs="Courier New" w:eastAsia="Courier New" w:hAnsi="Courier New"/>
                <w:color w:val="88CCFF"/>
                <w:sz w:val="18"/>
                <w:szCs w:val="18"/>
              </w:rPr>
              <w:t xml:space="preserve">    pub license_count: u32,         // Snapshot: licenses at time of generation</w:t>
            </w:r>
          </w:p>
          <w:p>
            <w:pPr>
              <w:spacing w:before="20" w:after="20"/>
            </w:pPr>
            <w:r>
              <w:rPr>
                <w:rFonts w:ascii="Courier New" w:cs="Courier New" w:eastAsia="Courier New" w:hAnsi="Courier New"/>
                <w:color w:val="88CCFF"/>
                <w:sz w:val="18"/>
                <w:szCs w:val="18"/>
              </w:rPr>
              <w:t xml:space="preserve">    pub total_royalties_bps: u64,   // Snapshot: total royalties distributed</w:t>
            </w:r>
          </w:p>
          <w:p>
            <w:pPr>
              <w:spacing w:before="20" w:after="20"/>
            </w:pPr>
            <w:r>
              <w:rPr>
                <w:rFonts w:ascii="Courier New" w:cs="Courier New" w:eastAsia="Courier New" w:hAnsi="Courier New"/>
                <w:color w:val="88CCFF"/>
                <w:sz w:val="18"/>
                <w:szCs w:val="18"/>
              </w:rPr>
              <w:t xml:space="preserve">    pub is_wipo_compliant: bool,    // Confirms WIPO metadata standard alignment</w:t>
            </w:r>
          </w:p>
          <w:p>
            <w:pPr>
              <w:spacing w:before="20" w:after="20"/>
            </w:pPr>
            <w:r>
              <w:rPr>
                <w:rFonts w:ascii="Courier New" w:cs="Courier New" w:eastAsia="Courier New" w:hAnsi="Courier New"/>
                <w:color w:val="88CCFF"/>
                <w:sz w:val="18"/>
                <w:szCs w:val="18"/>
              </w:rPr>
              <w:t xml:space="preserve">    pub bump: u8,</w:t>
            </w:r>
          </w:p>
          <w:p>
            <w:pPr>
              <w:spacing w:before="20" w:after="20"/>
            </w:pPr>
            <w:r>
              <w:rPr>
                <w:rFonts w:ascii="Courier New" w:cs="Courier New" w:eastAsia="Courier New" w:hAnsi="Courier New"/>
                <w:color w:val="88CCFF"/>
                <w:sz w:val="18"/>
                <w:szCs w:val="18"/>
              </w:rPr>
              <w:t xml:space="preserve">}</w:t>
            </w:r>
          </w:p>
        </w:tc>
      </w:tr>
    </w:tbl>
    <w:p>
      <w:pPr>
        <w:spacing w:before="100" w:after="0"/>
      </w:pPr>
      <w:r>
        <w:t xml:space="preserve"/>
      </w:r>
    </w:p>
    <w:p>
      <w:pPr>
        <w:spacing w:before="220" w:after="100"/>
      </w:pPr>
      <w:r>
        <w:rPr>
          <w:rFonts w:ascii="Arial" w:cs="Arial" w:eastAsia="Arial" w:hAnsi="Arial"/>
          <w:b/>
          <w:bCs/>
          <w:color w:val="0F1F1A"/>
          <w:sz w:val="24"/>
          <w:szCs w:val="24"/>
        </w:rPr>
        <w:t xml:space="preserve">Instructions</w:t>
      </w:r>
    </w:p>
    <w:p>
      <w:pPr>
        <w:pStyle w:val="ListParagraph"/>
        <w:numPr>
          <w:ilvl w:val="0"/>
          <w:numId w:val="2"/>
        </w:numPr>
        <w:spacing w:before="60" w:after="60"/>
      </w:pPr>
      <w:r>
        <w:rPr>
          <w:rFonts w:ascii="Arial" w:cs="Arial" w:eastAsia="Arial" w:hAnsi="Arial"/>
          <w:b/>
          <w:bCs/>
          <w:color w:val="0F1F1A"/>
          <w:sz w:val="22"/>
          <w:szCs w:val="22"/>
        </w:rPr>
        <w:t xml:space="preserve">generate_mep: </w:t>
      </w:r>
      <w:r>
        <w:rPr>
          <w:rFonts w:ascii="Arial" w:cs="Arial" w:eastAsia="Arial" w:hAnsi="Arial"/>
          <w:color w:val="333333"/>
          <w:sz w:val="22"/>
          <w:szCs w:val="22"/>
        </w:rPr>
        <w:t xml:space="preserve">IP owner calls this instruction. Protocol generates the full MEP off-chain (via Orchestration Service), uploads to IPFS, hashes the document, signs with protocol authority key, stores EvidencePackage PDA on-chain. Emits MEPGenerated event.</w:t>
      </w:r>
    </w:p>
    <w:p>
      <w:pPr>
        <w:pStyle w:val="ListParagraph"/>
        <w:numPr>
          <w:ilvl w:val="0"/>
          <w:numId w:val="2"/>
        </w:numPr>
        <w:spacing w:before="60" w:after="60"/>
      </w:pPr>
      <w:r>
        <w:rPr>
          <w:rFonts w:ascii="Arial" w:cs="Arial" w:eastAsia="Arial" w:hAnsi="Arial"/>
          <w:b/>
          <w:bCs/>
          <w:color w:val="0F1F1A"/>
          <w:sz w:val="22"/>
          <w:szCs w:val="22"/>
        </w:rPr>
        <w:t xml:space="preserve">verify_mep: </w:t>
      </w:r>
      <w:r>
        <w:rPr>
          <w:rFonts w:ascii="Arial" w:cs="Arial" w:eastAsia="Arial" w:hAnsi="Arial"/>
          <w:color w:val="333333"/>
          <w:sz w:val="22"/>
          <w:szCs w:val="22"/>
        </w:rPr>
        <w:t xml:space="preserve">Anyone can verify: provide the MEP IPFS URI and the on-chain PDA address. Protocol validates that the document hash matches the signed on-chain record. Returns true/false + signature validity. This is what a WIPO arbitrator uses to authenticate the evidence.</w:t>
      </w:r>
    </w:p>
    <w:p>
      <w:pPr>
        <w:pStyle w:val="ListParagraph"/>
        <w:numPr>
          <w:ilvl w:val="0"/>
          <w:numId w:val="2"/>
        </w:numPr>
        <w:spacing w:before="60" w:after="60"/>
      </w:pPr>
      <w:r>
        <w:rPr>
          <w:rFonts w:ascii="Arial" w:cs="Arial" w:eastAsia="Arial" w:hAnsi="Arial"/>
          <w:b/>
          <w:bCs/>
          <w:color w:val="0F1F1A"/>
          <w:sz w:val="22"/>
          <w:szCs w:val="22"/>
        </w:rPr>
        <w:t xml:space="preserve">update_mep: </w:t>
      </w:r>
      <w:r>
        <w:rPr>
          <w:rFonts w:ascii="Arial" w:cs="Arial" w:eastAsia="Arial" w:hAnsi="Arial"/>
          <w:color w:val="333333"/>
          <w:sz w:val="22"/>
          <w:szCs w:val="22"/>
        </w:rPr>
        <w:t xml:space="preserve">IP owner can request an updated MEP incorporating newer license history and royalty data. Previous MEP remains valid — both are retained as a chronological evidence chain.</w:t>
      </w:r>
    </w:p>
    <w:p>
      <w:pPr>
        <w:spacing w:before="100" w:after="0"/>
      </w:pPr>
      <w:r>
        <w:t xml:space="preserve"/>
      </w:r>
    </w:p>
    <w:p>
      <w:pPr>
        <w:spacing w:before="220" w:after="100"/>
      </w:pPr>
      <w:r>
        <w:rPr>
          <w:rFonts w:ascii="Arial" w:cs="Arial" w:eastAsia="Arial" w:hAnsi="Arial"/>
          <w:b/>
          <w:bCs/>
          <w:color w:val="0F1F1A"/>
          <w:sz w:val="24"/>
          <w:szCs w:val="24"/>
        </w:rPr>
        <w:t xml:space="preserve">How MEP Is Used in WIPO Proceedings</w:t>
      </w:r>
    </w:p>
    <w:p>
      <w:pPr>
        <w:spacing w:before="60" w:after="120"/>
        <w:jc w:val="both"/>
      </w:pPr>
      <w:r>
        <w:rPr>
          <w:rFonts w:ascii="Arial" w:cs="Arial" w:eastAsia="Arial" w:hAnsi="Arial"/>
          <w:color w:val="333333"/>
          <w:sz w:val="22"/>
          <w:szCs w:val="22"/>
        </w:rPr>
        <w:t xml:space="preserve">When an IP dispute reaches WIPO's Arbitration and Mediation Center, the IP owner submits the MEP as corroborating evidence alongside their formal WIPO filings. The MEP demonstrates: (1) when the IP was created, (2) that the creator owned it, (3) that it was commercially used, and (4) the economic harm suffered through unauthorized use. All of these are cryptographically verifiable by the arbitration panel via the verify_mep instruction — no trust in Mycelium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3F8A" w:sz="24"/>
              <w:bottom w:val="none" w:color="FFFFFF" w:sz="0"/>
              <w:right w:val="none" w:color="FFFFFF" w:sz="0"/>
            </w:tcBorders>
            <w:shd w:fill="E8F0FB" w:val="clear"/>
            <w:tcMar>
              <w:top w:type="dxa" w:w="160"/>
              <w:left w:type="dxa" w:w="220"/>
              <w:bottom w:type="dxa" w:w="160"/>
              <w:right w:type="dxa" w:w="220"/>
            </w:tcMar>
          </w:tcPr>
          <w:p>
            <w:r>
              <w:rPr>
                <w:rFonts w:ascii="Arial" w:cs="Arial" w:eastAsia="Arial" w:hAnsi="Arial"/>
                <w:i/>
                <w:iCs/>
                <w:color w:val="003F8A"/>
                <w:sz w:val="22"/>
                <w:szCs w:val="22"/>
              </w:rPr>
              <w:t xml:space="preserve">In the March 2025 Marseille case, blockchain evidence was decisive because it provided an irrefutable creation timestamp. The MEP systematizes that advantage across every dimension of an IP dispute — creation, use, commercialization, and harm.</w:t>
            </w:r>
          </w:p>
        </w:tc>
      </w:tr>
    </w:tbl>
    <w:p>
      <w:r>
        <w:br w:type="page"/>
      </w:r>
    </w:p>
    <w:p>
      <w:pPr>
        <w:pBdr>
          <w:bottom w:val="single" w:color="1A7A4A" w:sz="4" w:space="4"/>
        </w:pBdr>
        <w:spacing w:before="480" w:after="200"/>
      </w:pPr>
      <w:r>
        <w:rPr>
          <w:rFonts w:ascii="Arial" w:cs="Arial" w:eastAsia="Arial" w:hAnsi="Arial"/>
          <w:b/>
          <w:bCs/>
          <w:color w:val="0F1F1A"/>
          <w:sz w:val="36"/>
          <w:szCs w:val="36"/>
        </w:rPr>
        <w:t xml:space="preserve">4.  Frontend Specification (Updated)</w:t>
      </w:r>
    </w:p>
    <w:p>
      <w:pPr>
        <w:spacing w:before="60" w:after="120"/>
        <w:jc w:val="both"/>
      </w:pPr>
      <w:r>
        <w:rPr>
          <w:rFonts w:ascii="Arial" w:cs="Arial" w:eastAsia="Arial" w:hAnsi="Arial"/>
          <w:color w:val="333333"/>
          <w:sz w:val="22"/>
          <w:szCs w:val="22"/>
        </w:rPr>
        <w:t xml:space="preserve">Frontend adds one new page for the WIPO Evidence Module. All other pages unchanged from v0.1.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5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 wallet, INFIA demo assets, protocol stats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Register IP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/register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Upload → hash → metadata → license type → sign → confirm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 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registered assets, timestamps, license terms, royalty earnings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License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/license/:addr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Request license, view active licenses, royalty terms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Royalties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/royalties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Deposit, view distribution history, withdraw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IP Explorer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/explore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Browse all registered IP, filter by type/creator/license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WIPO Evidence  [NEW]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/evidence/:addr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 MEP, download as PDF + JSON, verify on-chain signature, share verification link</w:t>
            </w:r>
          </w:p>
        </w:tc>
      </w:tr>
    </w:tbl>
    <w:p>
      <w:pPr>
        <w:spacing w:before="100" w:after="0"/>
      </w:pPr>
      <w:r>
        <w:t xml:space="preserve"/>
      </w:r>
    </w:p>
    <w:p>
      <w:pPr>
        <w:spacing w:before="60" w:after="120"/>
        <w:jc w:val="both"/>
      </w:pPr>
      <w:r>
        <w:rPr>
          <w:rFonts w:ascii="Arial" w:cs="Arial" w:eastAsia="Arial" w:hAnsi="Arial"/>
          <w:color w:val="333333"/>
          <w:sz w:val="22"/>
          <w:szCs w:val="22"/>
        </w:rPr>
        <w:t xml:space="preserve">The /evidence page is the most important new surface. It should be designed to communicate professionalism and legal credibility — the user should feel like they are generating a legitimate legal document, not a crypto widget. PDF export with Mycelium branding, formatted for print, with verification QR code.</w:t>
      </w:r>
    </w:p>
    <w:p>
      <w:r>
        <w:br w:type="page"/>
      </w:r>
    </w:p>
    <w:p>
      <w:pPr>
        <w:pBdr>
          <w:bottom w:val="single" w:color="1A7A4A" w:sz="4" w:space="4"/>
        </w:pBdr>
        <w:spacing w:before="480" w:after="200"/>
      </w:pPr>
      <w:r>
        <w:rPr>
          <w:rFonts w:ascii="Arial" w:cs="Arial" w:eastAsia="Arial" w:hAnsi="Arial"/>
          <w:b/>
          <w:bCs/>
          <w:color w:val="0F1F1A"/>
          <w:sz w:val="36"/>
          <w:szCs w:val="36"/>
        </w:rPr>
        <w:t xml:space="preserve">5.  Implementation Timeline (Updated — 12 Weeks)</w:t>
      </w:r>
    </w:p>
    <w:p>
      <w:pPr>
        <w:spacing w:before="60" w:after="120"/>
        <w:jc w:val="both"/>
      </w:pPr>
      <w:r>
        <w:rPr>
          <w:rFonts w:ascii="Arial" w:cs="Arial" w:eastAsia="Arial" w:hAnsi="Arial"/>
          <w:color w:val="333333"/>
          <w:sz w:val="22"/>
          <w:szCs w:val="22"/>
        </w:rPr>
        <w:t xml:space="preserve">WIPO Evidence Module adds 2 weeks to the original 10-week timeline. The additional development is justified by the strategic positioning it enables — this is the feature that differentiates Mycelium from every competitor.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67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14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Environment setup, Anchor scaffold for 4 programs, IPFS integration, GitHub repo. Add WIPO metadata fields to IpAsset struct.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PLANNED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IP Registry: register_ip + update_ip, unit tests, devnet deploy. Frontend scaffold: Next.js, wallet adapter, connect wallet.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PLANNED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IP Registry: archive_ip, integration tests. Frontend: /register page — file upload, hash, metadata form, WIPO fields (Nice Classification, country, first use 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PLANNED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License Module: issue_license + validate_license. Frontend: /portfolio and /license pages.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PLANNED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License Module: revoke_license. Royalty Engine: configure_royalty + deposit_royalty. INFIA PILOT: Register Hai Dudu + Dagelan on devnet.</w:t>
            </w:r>
          </w:p>
        </w:tc>
        <w:tc>
          <w:tcPr>
            <w:tcW w:type="dxa" w:w="1400"/>
            <w:tcBorders>
              <w:top w:val="single" w:color="CCCCCC" w:sz="1"/>
              <w:left w:val="single" w:color="CCCCCC" w:sz="1"/>
              <w:bottom w:val="single" w:color="CCCCCC" w:sz="1"/>
              <w:right w:val="single" w:color="CCCCCC" w:sz="1"/>
            </w:tcBorders>
            <w:shd w:fill="E8F5EE" w:val="clear"/>
            <w:tcMar>
              <w:top w:type="dxa" w:w="80"/>
              <w:left w:type="dxa" w:w="80"/>
              <w:bottom w:type="dxa" w:w="80"/>
              <w:right w:type="dxa" w:w="80"/>
            </w:tcMar>
          </w:tcPr>
          <w:p>
            <w:pPr>
              <w:jc w:val="center"/>
            </w:pPr>
            <w:r>
              <w:rPr>
                <w:rFonts w:ascii="Arial" w:cs="Arial" w:eastAsia="Arial" w:hAnsi="Arial"/>
                <w:b/>
                <w:bCs/>
                <w:color w:val="1A7A4A"/>
                <w:sz w:val="17"/>
                <w:szCs w:val="17"/>
              </w:rPr>
              <w:t xml:space="preserve">MILESTONE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6</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Royalty Engine: withdraw_royalty, multi-recipient atomic split tests. Frontend: /royalties 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PLANNED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7</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WIPO Evidence Module: Orchestration Service (off-chain MEP JSON generation). IPFS upload pipeline. Ed25519 signing infrastructure.</w:t>
            </w:r>
          </w:p>
        </w:tc>
        <w:tc>
          <w:tcPr>
            <w:tcW w:type="dxa" w:w="1400"/>
            <w:tcBorders>
              <w:top w:val="single" w:color="CCCCCC" w:sz="1"/>
              <w:left w:val="single" w:color="CCCCCC" w:sz="1"/>
              <w:bottom w:val="single" w:color="CCCCCC" w:sz="1"/>
              <w:right w:val="single" w:color="CCCCCC" w:sz="1"/>
            </w:tcBorders>
            <w:shd w:fill="E8F0FB" w:val="clear"/>
            <w:tcMar>
              <w:top w:type="dxa" w:w="80"/>
              <w:left w:type="dxa" w:w="80"/>
              <w:bottom w:type="dxa" w:w="80"/>
              <w:right w:type="dxa" w:w="80"/>
            </w:tcMar>
          </w:tcPr>
          <w:p>
            <w:pPr>
              <w:jc w:val="center"/>
            </w:pPr>
            <w:r>
              <w:rPr>
                <w:rFonts w:ascii="Arial" w:cs="Arial" w:eastAsia="Arial" w:hAnsi="Arial"/>
                <w:b/>
                <w:bCs/>
                <w:color w:val="003F8A"/>
                <w:sz w:val="17"/>
                <w:szCs w:val="17"/>
              </w:rPr>
              <w:t xml:space="preserve">WIPO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8</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WIPO Evidence Module: generate_mep + verify_mep on-chain instructions. Full integration test: register → license → royalty → generate MEP → verify.</w:t>
            </w:r>
          </w:p>
        </w:tc>
        <w:tc>
          <w:tcPr>
            <w:tcW w:type="dxa" w:w="1400"/>
            <w:tcBorders>
              <w:top w:val="single" w:color="CCCCCC" w:sz="1"/>
              <w:left w:val="single" w:color="CCCCCC" w:sz="1"/>
              <w:bottom w:val="single" w:color="CCCCCC" w:sz="1"/>
              <w:right w:val="single" w:color="CCCCCC" w:sz="1"/>
            </w:tcBorders>
            <w:shd w:fill="E8F0FB" w:val="clear"/>
            <w:tcMar>
              <w:top w:type="dxa" w:w="80"/>
              <w:left w:type="dxa" w:w="80"/>
              <w:bottom w:type="dxa" w:w="80"/>
              <w:right w:type="dxa" w:w="80"/>
            </w:tcMar>
          </w:tcPr>
          <w:p>
            <w:pPr>
              <w:jc w:val="center"/>
            </w:pPr>
            <w:r>
              <w:rPr>
                <w:rFonts w:ascii="Arial" w:cs="Arial" w:eastAsia="Arial" w:hAnsi="Arial"/>
                <w:b/>
                <w:bCs/>
                <w:color w:val="003F8A"/>
                <w:sz w:val="17"/>
                <w:szCs w:val="17"/>
              </w:rPr>
              <w:t xml:space="preserve">WIPO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9</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 /evidence page. MEP PDF export with Mycelium branding + verification QR code. INFIA pilot: generate MEP for Hai Dudu IP asset.</w:t>
            </w:r>
          </w:p>
        </w:tc>
        <w:tc>
          <w:tcPr>
            <w:tcW w:type="dxa" w:w="1400"/>
            <w:tcBorders>
              <w:top w:val="single" w:color="CCCCCC" w:sz="1"/>
              <w:left w:val="single" w:color="CCCCCC" w:sz="1"/>
              <w:bottom w:val="single" w:color="CCCCCC" w:sz="1"/>
              <w:right w:val="single" w:color="CCCCCC" w:sz="1"/>
            </w:tcBorders>
            <w:shd w:fill="E8F5EE" w:val="clear"/>
            <w:tcMar>
              <w:top w:type="dxa" w:w="80"/>
              <w:left w:type="dxa" w:w="80"/>
              <w:bottom w:type="dxa" w:w="80"/>
              <w:right w:type="dxa" w:w="80"/>
            </w:tcMar>
          </w:tcPr>
          <w:p>
            <w:pPr>
              <w:jc w:val="center"/>
            </w:pPr>
            <w:r>
              <w:rPr>
                <w:rFonts w:ascii="Arial" w:cs="Arial" w:eastAsia="Arial" w:hAnsi="Arial"/>
                <w:b/>
                <w:bCs/>
                <w:color w:val="1A7A4A"/>
                <w:sz w:val="17"/>
                <w:szCs w:val="17"/>
              </w:rPr>
              <w:t xml:space="preserve">MILESTONE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10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End-to-end testing across all 4 programs with INFIA assets. Bug fixes. INFIA brand partner pilot: commercial license + royalty deposit + MEP generation.</w:t>
            </w:r>
          </w:p>
        </w:tc>
        <w:tc>
          <w:tcPr>
            <w:tcW w:type="dxa" w:w="1400"/>
            <w:tcBorders>
              <w:top w:val="single" w:color="CCCCCC" w:sz="1"/>
              <w:left w:val="single" w:color="CCCCCC" w:sz="1"/>
              <w:bottom w:val="single" w:color="CCCCCC" w:sz="1"/>
              <w:right w:val="single" w:color="CCCCCC" w:sz="1"/>
            </w:tcBorders>
            <w:shd w:fill="E8F5EE" w:val="clear"/>
            <w:tcMar>
              <w:top w:type="dxa" w:w="80"/>
              <w:left w:type="dxa" w:w="80"/>
              <w:bottom w:type="dxa" w:w="80"/>
              <w:right w:type="dxa" w:w="80"/>
            </w:tcMar>
          </w:tcPr>
          <w:p>
            <w:pPr>
              <w:jc w:val="center"/>
            </w:pPr>
            <w:r>
              <w:rPr>
                <w:rFonts w:ascii="Arial" w:cs="Arial" w:eastAsia="Arial" w:hAnsi="Arial"/>
                <w:b/>
                <w:bCs/>
                <w:color w:val="1A7A4A"/>
                <w:sz w:val="17"/>
                <w:szCs w:val="17"/>
              </w:rPr>
              <w:t xml:space="preserve">MILESTONE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11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 /explore page. IP Explorer search + filter. UI polish across all pages. Internal security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PLANNED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1F1A"/>
                <w:sz w:val="20"/>
                <w:szCs w:val="20"/>
              </w:rPr>
              <w:t xml:space="preserve">Wk 12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Documentation: README, developer guide, WIPO Evidence Module guide, API reference. Open-source release. Demo video (5 min). Deliver to Solana Foundation + Superteam.</w:t>
            </w:r>
          </w:p>
        </w:tc>
        <w:tc>
          <w:tcPr>
            <w:tcW w:type="dxa" w:w="1400"/>
            <w:tcBorders>
              <w:top w:val="single" w:color="CCCCCC" w:sz="1"/>
              <w:left w:val="single" w:color="CCCCCC" w:sz="1"/>
              <w:bottom w:val="single" w:color="CCCCCC" w:sz="1"/>
              <w:right w:val="single" w:color="CCCCCC" w:sz="1"/>
            </w:tcBorders>
            <w:shd w:fill="E8F5EE" w:val="clear"/>
            <w:tcMar>
              <w:top w:type="dxa" w:w="80"/>
              <w:left w:type="dxa" w:w="80"/>
              <w:bottom w:type="dxa" w:w="80"/>
              <w:right w:type="dxa" w:w="80"/>
            </w:tcMar>
          </w:tcPr>
          <w:p>
            <w:pPr>
              <w:jc w:val="center"/>
            </w:pPr>
            <w:r>
              <w:rPr>
                <w:rFonts w:ascii="Arial" w:cs="Arial" w:eastAsia="Arial" w:hAnsi="Arial"/>
                <w:b/>
                <w:bCs/>
                <w:color w:val="1A7A4A"/>
                <w:sz w:val="17"/>
                <w:szCs w:val="17"/>
              </w:rPr>
              <w:t xml:space="preserve">MILESTONE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35400" w:sz="24"/>
              <w:bottom w:val="none" w:color="FFFFFF" w:sz="0"/>
              <w:right w:val="none" w:color="FFFFFF" w:sz="0"/>
            </w:tcBorders>
            <w:shd w:fill="FEF9E7" w:val="clear"/>
            <w:tcMar>
              <w:top w:type="dxa" w:w="160"/>
              <w:left w:type="dxa" w:w="220"/>
              <w:bottom w:type="dxa" w:w="160"/>
              <w:right w:type="dxa" w:w="220"/>
            </w:tcMar>
          </w:tcPr>
          <w:p>
            <w:r>
              <w:rPr>
                <w:rFonts w:ascii="Arial" w:cs="Arial" w:eastAsia="Arial" w:hAnsi="Arial"/>
                <w:i/>
                <w:iCs/>
                <w:color w:val="333333"/>
                <w:sz w:val="22"/>
                <w:szCs w:val="22"/>
              </w:rPr>
              <w:t xml:space="preserve">WIPO Evidence Module (Weeks 7–9) is the critical path addition. If development slips, compress Week 11 (UI polish) — the /evidence page and MEP functionality are non-negotiable.</w:t>
            </w:r>
          </w:p>
        </w:tc>
      </w:tr>
    </w:tbl>
    <w:p>
      <w:r>
        <w:br w:type="page"/>
      </w:r>
    </w:p>
    <w:p>
      <w:pPr>
        <w:pBdr>
          <w:bottom w:val="single" w:color="1A7A4A" w:sz="4" w:space="4"/>
        </w:pBdr>
        <w:spacing w:before="480" w:after="200"/>
      </w:pPr>
      <w:r>
        <w:rPr>
          <w:rFonts w:ascii="Arial" w:cs="Arial" w:eastAsia="Arial" w:hAnsi="Arial"/>
          <w:b/>
          <w:bCs/>
          <w:color w:val="0F1F1A"/>
          <w:sz w:val="36"/>
          <w:szCs w:val="36"/>
        </w:rPr>
        <w:t xml:space="preserve">6.  Cost Estimate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43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Protocol Lead (12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wks × $600/wk. Includes WIPO Evidence Module. Superteam Indonesia bounty rate.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Frontend Developer (12 weeks)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$2,400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 wks × $200/wk. Includes /evidence page + MEP PDF export.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IPFS NFT.storage free tier + QuickNode devnet + Vercel + signing service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Legal opinion (Tilleke &amp; Gibbins)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Narrow written opinion: is Mycelium MEP admissible in Indonesian IP courts? This is the legal validation that unlocks institutional credibility.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 + Misc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MEP PDF template design, testing assets, INFIA character IP files</w:t>
            </w:r>
          </w:p>
        </w:tc>
      </w:tr>
      <w:tr>
        <w:tc>
          <w:tcPr>
            <w:tcW w:type="dxa" w:w="3000"/>
            <w:tcBorders>
              <w:top w:val="single" w:color="CCCCCC" w:sz="1"/>
              <w:left w:val="single" w:color="CCCCCC" w:sz="1"/>
              <w:bottom w:val="single" w:color="CCCCCC" w:sz="1"/>
              <w:right w:val="single" w:color="CCCCCC" w:sz="1"/>
            </w:tcBorders>
            <w:shd w:fill="0F1F1A" w:val="clear"/>
            <w:tcMar>
              <w:top w:type="dxa" w:w="100"/>
              <w:left w:type="dxa" w:w="120"/>
              <w:bottom w:type="dxa" w:w="100"/>
              <w:right w:type="dxa" w:w="120"/>
            </w:tcMar>
          </w:tcPr>
          <w:p>
            <w:r>
              <w:rPr>
                <w:rFonts w:ascii="Arial" w:cs="Arial" w:eastAsia="Arial" w:hAnsi="Arial"/>
                <w:b/>
                <w:bCs/>
                <w:color w:val="FFFFFF"/>
                <w:sz w:val="22"/>
                <w:szCs w:val="22"/>
              </w:rPr>
              <w:t xml:space="preserve">TOTAL</w:t>
            </w:r>
          </w:p>
        </w:tc>
        <w:tc>
          <w:tcPr>
            <w:tcW w:type="dxa" w:w="20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$10,700</w:t>
            </w:r>
          </w:p>
        </w:tc>
        <w:tc>
          <w:tcPr>
            <w:tcW w:type="dxa" w:w="4360"/>
            <w:tcBorders>
              <w:top w:val="single" w:color="CCCCCC" w:sz="1"/>
              <w:left w:val="single" w:color="CCCCCC" w:sz="1"/>
              <w:bottom w:val="single" w:color="CCCCCC" w:sz="1"/>
              <w:right w:val="single" w:color="CCCCCC" w:sz="1"/>
            </w:tcBorders>
            <w:shd w:fill="0F1F1A" w:val="clear"/>
            <w:tcMar>
              <w:top w:type="dxa" w:w="100"/>
              <w:left w:type="dxa" w:w="120"/>
              <w:bottom w:type="dxa" w:w="100"/>
              <w:right w:type="dxa" w:w="120"/>
            </w:tcMar>
          </w:tcPr>
          <w:p>
            <w:r>
              <w:rPr>
                <w:rFonts w:ascii="Arial" w:cs="Arial" w:eastAsia="Arial" w:hAnsi="Arial"/>
                <w:color w:val="88CCAA"/>
                <w:sz w:val="20"/>
                <w:szCs w:val="20"/>
              </w:rPr>
              <w:t xml:space="preserve">Slightly above $10k Superteam ceiling. Recommend requesting $10k from Superteam + $700 from INFIA. Or negotiate $700 legal opinion separately.</w:t>
            </w:r>
          </w:p>
        </w:tc>
      </w:tr>
    </w:tbl>
    <w:p>
      <w:pPr>
        <w:spacing w:before="200" w:after="0"/>
      </w:pPr>
      <w:r>
        <w:t xml:space="preserve"/>
      </w:r>
    </w:p>
    <w:p>
      <w:pPr>
        <w:pBdr>
          <w:bottom w:val="single" w:color="1A7A4A" w:sz="4" w:space="4"/>
        </w:pBdr>
        <w:spacing w:before="480" w:after="200"/>
      </w:pPr>
      <w:r>
        <w:rPr>
          <w:rFonts w:ascii="Arial" w:cs="Arial" w:eastAsia="Arial" w:hAnsi="Arial"/>
          <w:b/>
          <w:bCs/>
          <w:color w:val="0F1F1A"/>
          <w:sz w:val="36"/>
          <w:szCs w:val="36"/>
        </w:rPr>
        <w:t xml:space="preserve">7.  Success Metrics (Updated)</w:t>
      </w:r>
    </w:p>
    <w:p>
      <w:pPr>
        <w:spacing w:before="320" w:after="140"/>
      </w:pPr>
      <w:r>
        <w:rPr>
          <w:rFonts w:ascii="Arial" w:cs="Arial" w:eastAsia="Arial" w:hAnsi="Arial"/>
          <w:b/>
          <w:bCs/>
          <w:color w:val="1A7A4A"/>
          <w:sz w:val="28"/>
          <w:szCs w:val="28"/>
        </w:rPr>
        <w:t xml:space="preserve">7.1  Technical Metrics</w:t>
      </w:r>
    </w:p>
    <w:p>
      <w:pPr>
        <w:pStyle w:val="ListParagraph"/>
        <w:numPr>
          <w:ilvl w:val="0"/>
          <w:numId w:val="2"/>
        </w:numPr>
        <w:spacing w:before="60" w:after="60"/>
      </w:pPr>
      <w:r>
        <w:rPr>
          <w:rFonts w:ascii="Arial" w:cs="Arial" w:eastAsia="Arial" w:hAnsi="Arial"/>
          <w:b/>
          <w:bCs/>
          <w:color w:val="0F1F1A"/>
          <w:sz w:val="22"/>
          <w:szCs w:val="22"/>
        </w:rPr>
        <w:t xml:space="preserve">T1: </w:t>
      </w:r>
      <w:r>
        <w:rPr>
          <w:rFonts w:ascii="Arial" w:cs="Arial" w:eastAsia="Arial" w:hAnsi="Arial"/>
          <w:color w:val="333333"/>
          <w:sz w:val="22"/>
          <w:szCs w:val="22"/>
        </w:rPr>
        <w:t xml:space="preserve">All 4 Anchor programs deployed and verified on Solana devnet</w:t>
      </w:r>
    </w:p>
    <w:p>
      <w:pPr>
        <w:pStyle w:val="ListParagraph"/>
        <w:numPr>
          <w:ilvl w:val="0"/>
          <w:numId w:val="2"/>
        </w:numPr>
        <w:spacing w:before="60" w:after="60"/>
      </w:pPr>
      <w:r>
        <w:rPr>
          <w:rFonts w:ascii="Arial" w:cs="Arial" w:eastAsia="Arial" w:hAnsi="Arial"/>
          <w:b/>
          <w:bCs/>
          <w:color w:val="0F1F1A"/>
          <w:sz w:val="22"/>
          <w:szCs w:val="22"/>
        </w:rPr>
        <w:t xml:space="preserve">T2: </w:t>
      </w:r>
      <w:r>
        <w:rPr>
          <w:rFonts w:ascii="Arial" w:cs="Arial" w:eastAsia="Arial" w:hAnsi="Arial"/>
          <w:color w:val="333333"/>
          <w:sz w:val="22"/>
          <w:szCs w:val="22"/>
        </w:rPr>
        <w:t xml:space="preserve">Full end-to-end flow: register → license → royalty → generate MEP → verify MEP on-chain</w:t>
      </w:r>
    </w:p>
    <w:p>
      <w:pPr>
        <w:pStyle w:val="ListParagraph"/>
        <w:numPr>
          <w:ilvl w:val="0"/>
          <w:numId w:val="2"/>
        </w:numPr>
        <w:spacing w:before="60" w:after="60"/>
      </w:pPr>
      <w:r>
        <w:rPr>
          <w:rFonts w:ascii="Arial" w:cs="Arial" w:eastAsia="Arial" w:hAnsi="Arial"/>
          <w:b/>
          <w:bCs/>
          <w:color w:val="0F1F1A"/>
          <w:sz w:val="22"/>
          <w:szCs w:val="22"/>
        </w:rPr>
        <w:t xml:space="preserve">T3: </w:t>
      </w:r>
      <w:r>
        <w:rPr>
          <w:rFonts w:ascii="Arial" w:cs="Arial" w:eastAsia="Arial" w:hAnsi="Arial"/>
          <w:color w:val="333333"/>
          <w:sz w:val="22"/>
          <w:szCs w:val="22"/>
        </w:rPr>
        <w:t xml:space="preserve">MEP PDF export functional, branded, print-ready, with QR verification code</w:t>
      </w:r>
    </w:p>
    <w:p>
      <w:pPr>
        <w:pStyle w:val="ListParagraph"/>
        <w:numPr>
          <w:ilvl w:val="0"/>
          <w:numId w:val="2"/>
        </w:numPr>
        <w:spacing w:before="60" w:after="60"/>
      </w:pPr>
      <w:r>
        <w:rPr>
          <w:rFonts w:ascii="Arial" w:cs="Arial" w:eastAsia="Arial" w:hAnsi="Arial"/>
          <w:b/>
          <w:bCs/>
          <w:color w:val="0F1F1A"/>
          <w:sz w:val="22"/>
          <w:szCs w:val="22"/>
        </w:rPr>
        <w:t xml:space="preserve">T4: </w:t>
      </w:r>
      <w:r>
        <w:rPr>
          <w:rFonts w:ascii="Arial" w:cs="Arial" w:eastAsia="Arial" w:hAnsi="Arial"/>
          <w:color w:val="333333"/>
          <w:sz w:val="22"/>
          <w:szCs w:val="22"/>
        </w:rPr>
        <w:t xml:space="preserve">MEP verify_mep instruction returns correct result for both valid and tampered documents</w:t>
      </w:r>
    </w:p>
    <w:p>
      <w:pPr>
        <w:pStyle w:val="ListParagraph"/>
        <w:numPr>
          <w:ilvl w:val="0"/>
          <w:numId w:val="2"/>
        </w:numPr>
        <w:spacing w:before="60" w:after="60"/>
      </w:pPr>
      <w:r>
        <w:rPr>
          <w:rFonts w:ascii="Arial" w:cs="Arial" w:eastAsia="Arial" w:hAnsi="Arial"/>
          <w:b/>
          <w:bCs/>
          <w:color w:val="0F1F1A"/>
          <w:sz w:val="22"/>
          <w:szCs w:val="22"/>
        </w:rPr>
        <w:t xml:space="preserve">T5: </w:t>
      </w:r>
      <w:r>
        <w:rPr>
          <w:rFonts w:ascii="Arial" w:cs="Arial" w:eastAsia="Arial" w:hAnsi="Arial"/>
          <w:color w:val="333333"/>
          <w:sz w:val="22"/>
          <w:szCs w:val="22"/>
        </w:rPr>
        <w:t xml:space="preserve">Unit test coverage &gt; 80% for all four programs</w:t>
      </w:r>
    </w:p>
    <w:p>
      <w:pPr>
        <w:pStyle w:val="ListParagraph"/>
        <w:numPr>
          <w:ilvl w:val="0"/>
          <w:numId w:val="2"/>
        </w:numPr>
        <w:spacing w:before="60" w:after="60"/>
      </w:pPr>
      <w:r>
        <w:rPr>
          <w:rFonts w:ascii="Arial" w:cs="Arial" w:eastAsia="Arial" w:hAnsi="Arial"/>
          <w:b/>
          <w:bCs/>
          <w:color w:val="0F1F1A"/>
          <w:sz w:val="22"/>
          <w:szCs w:val="22"/>
        </w:rPr>
        <w:t xml:space="preserve">T6: </w:t>
      </w:r>
      <w:r>
        <w:rPr>
          <w:rFonts w:ascii="Arial" w:cs="Arial" w:eastAsia="Arial" w:hAnsi="Arial"/>
          <w:color w:val="333333"/>
          <w:sz w:val="22"/>
          <w:szCs w:val="22"/>
        </w:rPr>
        <w:t xml:space="preserve">All code open-sourced on GitHub under MIT license</w:t>
      </w:r>
    </w:p>
    <w:p>
      <w:pPr>
        <w:spacing w:before="80" w:after="0"/>
      </w:pPr>
      <w:r>
        <w:t xml:space="preserve"/>
      </w:r>
    </w:p>
    <w:p>
      <w:pPr>
        <w:spacing w:before="320" w:after="140"/>
      </w:pPr>
      <w:r>
        <w:rPr>
          <w:rFonts w:ascii="Arial" w:cs="Arial" w:eastAsia="Arial" w:hAnsi="Arial"/>
          <w:b/>
          <w:bCs/>
          <w:color w:val="1A7A4A"/>
          <w:sz w:val="28"/>
          <w:szCs w:val="28"/>
        </w:rPr>
        <w:t xml:space="preserve">7.2  Pilot Metrics (INFIA)</w:t>
      </w:r>
    </w:p>
    <w:p>
      <w:pPr>
        <w:pStyle w:val="ListParagraph"/>
        <w:numPr>
          <w:ilvl w:val="0"/>
          <w:numId w:val="2"/>
        </w:numPr>
        <w:spacing w:before="60" w:after="60"/>
      </w:pPr>
      <w:r>
        <w:rPr>
          <w:rFonts w:ascii="Arial" w:cs="Arial" w:eastAsia="Arial" w:hAnsi="Arial"/>
          <w:b/>
          <w:bCs/>
          <w:color w:val="0F1F1A"/>
          <w:sz w:val="22"/>
          <w:szCs w:val="22"/>
        </w:rPr>
        <w:t xml:space="preserve">P1: </w:t>
      </w:r>
      <w:r>
        <w:rPr>
          <w:rFonts w:ascii="Arial" w:cs="Arial" w:eastAsia="Arial" w:hAnsi="Arial"/>
          <w:color w:val="333333"/>
          <w:sz w:val="22"/>
          <w:szCs w:val="22"/>
        </w:rPr>
        <w:t xml:space="preserve">Minimum 5 INFIA IP assets registered with full WIPO-compatible metadata</w:t>
      </w:r>
    </w:p>
    <w:p>
      <w:pPr>
        <w:pStyle w:val="ListParagraph"/>
        <w:numPr>
          <w:ilvl w:val="0"/>
          <w:numId w:val="2"/>
        </w:numPr>
        <w:spacing w:before="60" w:after="60"/>
      </w:pPr>
      <w:r>
        <w:rPr>
          <w:rFonts w:ascii="Arial" w:cs="Arial" w:eastAsia="Arial" w:hAnsi="Arial"/>
          <w:b/>
          <w:bCs/>
          <w:color w:val="0F1F1A"/>
          <w:sz w:val="22"/>
          <w:szCs w:val="22"/>
        </w:rPr>
        <w:t xml:space="preserve">P2: </w:t>
      </w:r>
      <w:r>
        <w:rPr>
          <w:rFonts w:ascii="Arial" w:cs="Arial" w:eastAsia="Arial" w:hAnsi="Arial"/>
          <w:color w:val="333333"/>
          <w:sz w:val="22"/>
          <w:szCs w:val="22"/>
        </w:rPr>
        <w:t xml:space="preserve">Minimum 1 MEP generated for Hai Dudu IP asset, exported as PDF</w:t>
      </w:r>
    </w:p>
    <w:p>
      <w:pPr>
        <w:pStyle w:val="ListParagraph"/>
        <w:numPr>
          <w:ilvl w:val="0"/>
          <w:numId w:val="2"/>
        </w:numPr>
        <w:spacing w:before="60" w:after="60"/>
      </w:pPr>
      <w:r>
        <w:rPr>
          <w:rFonts w:ascii="Arial" w:cs="Arial" w:eastAsia="Arial" w:hAnsi="Arial"/>
          <w:b/>
          <w:bCs/>
          <w:color w:val="0F1F1A"/>
          <w:sz w:val="22"/>
          <w:szCs w:val="22"/>
        </w:rPr>
        <w:t xml:space="preserve">P3: </w:t>
      </w:r>
      <w:r>
        <w:rPr>
          <w:rFonts w:ascii="Arial" w:cs="Arial" w:eastAsia="Arial" w:hAnsi="Arial"/>
          <w:color w:val="333333"/>
          <w:sz w:val="22"/>
          <w:szCs w:val="22"/>
        </w:rPr>
        <w:t xml:space="preserve">MEP verified on-chain by independent party (protocol team member using separate wallet)</w:t>
      </w:r>
    </w:p>
    <w:p>
      <w:pPr>
        <w:pStyle w:val="ListParagraph"/>
        <w:numPr>
          <w:ilvl w:val="0"/>
          <w:numId w:val="2"/>
        </w:numPr>
        <w:spacing w:before="60" w:after="60"/>
      </w:pPr>
      <w:r>
        <w:rPr>
          <w:rFonts w:ascii="Arial" w:cs="Arial" w:eastAsia="Arial" w:hAnsi="Arial"/>
          <w:b/>
          <w:bCs/>
          <w:color w:val="0F1F1A"/>
          <w:sz w:val="22"/>
          <w:szCs w:val="22"/>
        </w:rPr>
        <w:t xml:space="preserve">P4: </w:t>
      </w:r>
      <w:r>
        <w:rPr>
          <w:rFonts w:ascii="Arial" w:cs="Arial" w:eastAsia="Arial" w:hAnsi="Arial"/>
          <w:color w:val="333333"/>
          <w:sz w:val="22"/>
          <w:szCs w:val="22"/>
        </w:rPr>
        <w:t xml:space="preserve">1 commercial license issued, royalty distributed, MEP updated with commercial activity record</w:t>
      </w:r>
    </w:p>
    <w:p>
      <w:pPr>
        <w:spacing w:before="80" w:after="0"/>
      </w:pPr>
      <w:r>
        <w:t xml:space="preserve"/>
      </w:r>
    </w:p>
    <w:p>
      <w:pPr>
        <w:spacing w:before="320" w:after="140"/>
      </w:pPr>
      <w:r>
        <w:rPr>
          <w:rFonts w:ascii="Arial" w:cs="Arial" w:eastAsia="Arial" w:hAnsi="Arial"/>
          <w:b/>
          <w:bCs/>
          <w:color w:val="1A7A4A"/>
          <w:sz w:val="28"/>
          <w:szCs w:val="28"/>
        </w:rPr>
        <w:t xml:space="preserve">7.3  Strategic Metrics</w:t>
      </w:r>
    </w:p>
    <w:p>
      <w:pPr>
        <w:pStyle w:val="ListParagraph"/>
        <w:numPr>
          <w:ilvl w:val="0"/>
          <w:numId w:val="2"/>
        </w:numPr>
        <w:spacing w:before="60" w:after="60"/>
      </w:pPr>
      <w:r>
        <w:rPr>
          <w:rFonts w:ascii="Arial" w:cs="Arial" w:eastAsia="Arial" w:hAnsi="Arial"/>
          <w:b/>
          <w:bCs/>
          <w:color w:val="0F1F1A"/>
          <w:sz w:val="22"/>
          <w:szCs w:val="22"/>
        </w:rPr>
        <w:t xml:space="preserve">S1: </w:t>
      </w:r>
      <w:r>
        <w:rPr>
          <w:rFonts w:ascii="Arial" w:cs="Arial" w:eastAsia="Arial" w:hAnsi="Arial"/>
          <w:color w:val="333333"/>
          <w:sz w:val="22"/>
          <w:szCs w:val="22"/>
        </w:rPr>
        <w:t xml:space="preserve">Written legal opinion from Indonesian IP counsel on MEP admissibility in Indonesian courts</w:t>
      </w:r>
    </w:p>
    <w:p>
      <w:pPr>
        <w:pStyle w:val="ListParagraph"/>
        <w:numPr>
          <w:ilvl w:val="0"/>
          <w:numId w:val="2"/>
        </w:numPr>
        <w:spacing w:before="60" w:after="60"/>
      </w:pPr>
      <w:r>
        <w:rPr>
          <w:rFonts w:ascii="Arial" w:cs="Arial" w:eastAsia="Arial" w:hAnsi="Arial"/>
          <w:b/>
          <w:bCs/>
          <w:color w:val="0F1F1A"/>
          <w:sz w:val="22"/>
          <w:szCs w:val="22"/>
        </w:rPr>
        <w:t xml:space="preserve">S2: </w:t>
      </w:r>
      <w:r>
        <w:rPr>
          <w:rFonts w:ascii="Arial" w:cs="Arial" w:eastAsia="Arial" w:hAnsi="Arial"/>
          <w:color w:val="333333"/>
          <w:sz w:val="22"/>
          <w:szCs w:val="22"/>
        </w:rPr>
        <w:t xml:space="preserve">Solana Foundation pitch meeting scheduled — PoC demo + MEP as proof points</w:t>
      </w:r>
    </w:p>
    <w:p>
      <w:pPr>
        <w:pStyle w:val="ListParagraph"/>
        <w:numPr>
          <w:ilvl w:val="0"/>
          <w:numId w:val="2"/>
        </w:numPr>
        <w:spacing w:before="60" w:after="60"/>
      </w:pPr>
      <w:r>
        <w:rPr>
          <w:rFonts w:ascii="Arial" w:cs="Arial" w:eastAsia="Arial" w:hAnsi="Arial"/>
          <w:b/>
          <w:bCs/>
          <w:color w:val="0F1F1A"/>
          <w:sz w:val="22"/>
          <w:szCs w:val="22"/>
        </w:rPr>
        <w:t xml:space="preserve">S3: </w:t>
      </w:r>
      <w:r>
        <w:rPr>
          <w:rFonts w:ascii="Arial" w:cs="Arial" w:eastAsia="Arial" w:hAnsi="Arial"/>
          <w:color w:val="333333"/>
          <w:sz w:val="22"/>
          <w:szCs w:val="22"/>
        </w:rPr>
        <w:t xml:space="preserve">Superteam Indonesia microgrant deliverable submitted and approved</w:t>
      </w:r>
    </w:p>
    <w:p>
      <w:pPr>
        <w:pStyle w:val="ListParagraph"/>
        <w:numPr>
          <w:ilvl w:val="0"/>
          <w:numId w:val="2"/>
        </w:numPr>
        <w:spacing w:before="60" w:after="60"/>
      </w:pPr>
      <w:r>
        <w:rPr>
          <w:rFonts w:ascii="Arial" w:cs="Arial" w:eastAsia="Arial" w:hAnsi="Arial"/>
          <w:b/>
          <w:bCs/>
          <w:color w:val="0F1F1A"/>
          <w:sz w:val="22"/>
          <w:szCs w:val="22"/>
        </w:rPr>
        <w:t xml:space="preserve">S4: </w:t>
      </w:r>
      <w:r>
        <w:rPr>
          <w:rFonts w:ascii="Arial" w:cs="Arial" w:eastAsia="Arial" w:hAnsi="Arial"/>
          <w:color w:val="333333"/>
          <w:sz w:val="22"/>
          <w:szCs w:val="22"/>
        </w:rPr>
        <w:t xml:space="preserve">At least one WIPO-familiar legal or institutional contact has reviewed the MEP concept</w:t>
      </w:r>
    </w:p>
    <w:p>
      <w:pPr>
        <w:spacing w:before="200" w:after="0"/>
      </w:pPr>
      <w:r>
        <w:t xml:space="preserve"/>
      </w:r>
    </w:p>
    <w:p>
      <w:pPr>
        <w:pBdr>
          <w:bottom w:val="single" w:color="1A7A4A" w:sz="4" w:space="4"/>
        </w:pBdr>
        <w:spacing w:before="480" w:after="200"/>
      </w:pPr>
      <w:r>
        <w:rPr>
          <w:rFonts w:ascii="Arial" w:cs="Arial" w:eastAsia="Arial" w:hAnsi="Arial"/>
          <w:b/>
          <w:bCs/>
          <w:color w:val="0F1F1A"/>
          <w:sz w:val="36"/>
          <w:szCs w:val="36"/>
        </w:rPr>
        <w:t xml:space="preserve">8.  Scope Exclusions (Unchanged from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4A" w:sz="24"/>
              <w:bottom w:val="none" w:color="FFFFFF" w:sz="0"/>
              <w:right w:val="none" w:color="FFFFFF" w:sz="0"/>
            </w:tcBorders>
            <w:shd w:fill="E8F5EE" w:val="clear"/>
            <w:tcMar>
              <w:top w:type="dxa" w:w="160"/>
              <w:left w:type="dxa" w:w="220"/>
              <w:bottom w:type="dxa" w:w="160"/>
              <w:right w:type="dxa" w:w="220"/>
            </w:tcMar>
          </w:tcPr>
          <w:p>
            <w:r>
              <w:rPr>
                <w:rFonts w:ascii="Arial" w:cs="Arial" w:eastAsia="Arial" w:hAnsi="Arial"/>
                <w:i/>
                <w:iCs/>
                <w:color w:val="0F1F1A"/>
                <w:sz w:val="22"/>
                <w:szCs w:val="22"/>
              </w:rPr>
              <w:t xml:space="preserve">These items remain out of scope for the PoC. Ship the 4 contracts. Then build the rest.</w:t>
            </w:r>
          </w:p>
        </w:tc>
      </w:tr>
    </w:tbl>
    <w:p>
      <w:pPr>
        <w:spacing w:before="10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Token design or launch of any kind</w:t>
      </w:r>
    </w:p>
    <w:p>
      <w:pPr>
        <w:pStyle w:val="ListParagraph"/>
        <w:numPr>
          <w:ilvl w:val="0"/>
          <w:numId w:val="2"/>
        </w:numPr>
        <w:spacing w:before="60" w:after="60"/>
      </w:pPr>
      <w:r>
        <w:rPr>
          <w:rFonts w:ascii="Arial" w:cs="Arial" w:eastAsia="Arial" w:hAnsi="Arial"/>
          <w:color w:val="333333"/>
          <w:sz w:val="22"/>
          <w:szCs w:val="22"/>
        </w:rPr>
        <w:t xml:space="preserve">Mainnet deployment</w:t>
      </w:r>
    </w:p>
    <w:p>
      <w:pPr>
        <w:pStyle w:val="ListParagraph"/>
        <w:numPr>
          <w:ilvl w:val="0"/>
          <w:numId w:val="2"/>
        </w:numPr>
        <w:spacing w:before="60" w:after="60"/>
      </w:pPr>
      <w:r>
        <w:rPr>
          <w:rFonts w:ascii="Arial" w:cs="Arial" w:eastAsia="Arial" w:hAnsi="Arial"/>
          <w:color w:val="333333"/>
          <w:sz w:val="22"/>
          <w:szCs w:val="22"/>
        </w:rPr>
        <w:t xml:space="preserve">Formal security audit (Certik, OtterSec, etc.)</w:t>
      </w:r>
    </w:p>
    <w:p>
      <w:pPr>
        <w:pStyle w:val="ListParagraph"/>
        <w:numPr>
          <w:ilvl w:val="0"/>
          <w:numId w:val="2"/>
        </w:numPr>
        <w:spacing w:before="60" w:after="60"/>
      </w:pPr>
      <w:r>
        <w:rPr>
          <w:rFonts w:ascii="Arial" w:cs="Arial" w:eastAsia="Arial" w:hAnsi="Arial"/>
          <w:color w:val="333333"/>
          <w:sz w:val="22"/>
          <w:szCs w:val="22"/>
        </w:rPr>
        <w:t xml:space="preserve">Fiat on/off ramp (GoPay/OVO)</w:t>
      </w:r>
    </w:p>
    <w:p>
      <w:pPr>
        <w:pStyle w:val="ListParagraph"/>
        <w:numPr>
          <w:ilvl w:val="0"/>
          <w:numId w:val="2"/>
        </w:numPr>
        <w:spacing w:before="60" w:after="60"/>
      </w:pPr>
      <w:r>
        <w:rPr>
          <w:rFonts w:ascii="Arial" w:cs="Arial" w:eastAsia="Arial" w:hAnsi="Arial"/>
          <w:color w:val="333333"/>
          <w:sz w:val="22"/>
          <w:szCs w:val="22"/>
        </w:rPr>
        <w:t xml:space="preserve">Native mobile application</w:t>
      </w:r>
    </w:p>
    <w:p>
      <w:pPr>
        <w:pStyle w:val="ListParagraph"/>
        <w:numPr>
          <w:ilvl w:val="0"/>
          <w:numId w:val="2"/>
        </w:numPr>
        <w:spacing w:before="60" w:after="60"/>
      </w:pPr>
      <w:r>
        <w:rPr>
          <w:rFonts w:ascii="Arial" w:cs="Arial" w:eastAsia="Arial" w:hAnsi="Arial"/>
          <w:color w:val="333333"/>
          <w:sz w:val="22"/>
          <w:szCs w:val="22"/>
        </w:rPr>
        <w:t xml:space="preserve">AI training data licensing module</w:t>
      </w:r>
    </w:p>
    <w:p>
      <w:pPr>
        <w:pStyle w:val="ListParagraph"/>
        <w:numPr>
          <w:ilvl w:val="0"/>
          <w:numId w:val="2"/>
        </w:numPr>
        <w:spacing w:before="60" w:after="60"/>
      </w:pPr>
      <w:r>
        <w:rPr>
          <w:rFonts w:ascii="Arial" w:cs="Arial" w:eastAsia="Arial" w:hAnsi="Arial"/>
          <w:color w:val="333333"/>
          <w:sz w:val="22"/>
          <w:szCs w:val="22"/>
        </w:rPr>
        <w:t xml:space="preserve">Madrid System direct integration (roadmap Phase 3)</w:t>
      </w:r>
    </w:p>
    <w:p>
      <w:pPr>
        <w:pStyle w:val="ListParagraph"/>
        <w:numPr>
          <w:ilvl w:val="0"/>
          <w:numId w:val="2"/>
        </w:numPr>
        <w:spacing w:before="60" w:after="60"/>
      </w:pPr>
      <w:r>
        <w:rPr>
          <w:rFonts w:ascii="Arial" w:cs="Arial" w:eastAsia="Arial" w:hAnsi="Arial"/>
          <w:color w:val="333333"/>
          <w:sz w:val="22"/>
          <w:szCs w:val="22"/>
        </w:rPr>
        <w:t xml:space="preserve">WIPO formal partnership or endorsement</w:t>
      </w:r>
    </w:p>
    <w:p>
      <w:pPr>
        <w:pStyle w:val="ListParagraph"/>
        <w:numPr>
          <w:ilvl w:val="0"/>
          <w:numId w:val="2"/>
        </w:numPr>
        <w:spacing w:before="60" w:after="60"/>
      </w:pPr>
      <w:r>
        <w:rPr>
          <w:rFonts w:ascii="Arial" w:cs="Arial" w:eastAsia="Arial" w:hAnsi="Arial"/>
          <w:color w:val="333333"/>
          <w:sz w:val="22"/>
          <w:szCs w:val="22"/>
        </w:rPr>
        <w:t xml:space="preserve">Cross-chain functionality</w:t>
      </w:r>
    </w:p>
    <w:p>
      <w:pPr>
        <w:pStyle w:val="ListParagraph"/>
        <w:numPr>
          <w:ilvl w:val="0"/>
          <w:numId w:val="2"/>
        </w:numPr>
        <w:spacing w:before="60" w:after="60"/>
      </w:pPr>
      <w:r>
        <w:rPr>
          <w:rFonts w:ascii="Arial" w:cs="Arial" w:eastAsia="Arial" w:hAnsi="Arial"/>
          <w:color w:val="333333"/>
          <w:sz w:val="22"/>
          <w:szCs w:val="22"/>
        </w:rPr>
        <w:t xml:space="preserve">Public user onboarding or marketing</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1F1A" w:val="clear"/>
            <w:tcMar>
              <w:top w:type="dxa" w:w="240"/>
              <w:left w:type="dxa" w:w="280"/>
              <w:bottom w:type="dxa" w:w="240"/>
              <w:right w:type="dxa" w:w="280"/>
            </w:tcMar>
          </w:tcPr>
          <w:p>
            <w:pPr>
              <w:jc w:val="center"/>
            </w:pPr>
            <w:r>
              <w:rPr>
                <w:rFonts w:ascii="Arial" w:cs="Arial" w:eastAsia="Arial" w:hAnsi="Arial"/>
                <w:b/>
                <w:bCs/>
                <w:color w:val="FFFFFF"/>
                <w:sz w:val="32"/>
                <w:szCs w:val="32"/>
              </w:rPr>
              <w:t xml:space="preserve">12 weeks. 4 contracts.</w:t>
            </w:r>
          </w:p>
          <w:p>
            <w:pPr>
              <w:spacing w:before="80" w:after="0"/>
              <w:jc w:val="center"/>
            </w:pPr>
            <w:r>
              <w:rPr>
                <w:rFonts w:ascii="Arial" w:cs="Arial" w:eastAsia="Arial" w:hAnsi="Arial"/>
                <w:i/>
                <w:iCs/>
                <w:color w:val="88CCAA"/>
                <w:sz w:val="22"/>
                <w:szCs w:val="22"/>
              </w:rPr>
              <w:t xml:space="preserve">1 working protocol that feeds WIPO.</w:t>
            </w:r>
          </w:p>
        </w:tc>
        <w:tc>
          <w:tcPr>
            <w:tcW w:type="dxa" w:w="4680"/>
            <w:tcBorders>
              <w:top w:val="none" w:color="FFFFFF" w:sz="0"/>
              <w:left w:val="none" w:color="FFFFFF" w:sz="0"/>
              <w:bottom w:val="none" w:color="FFFFFF" w:sz="0"/>
              <w:right w:val="none" w:color="FFFFFF" w:sz="0"/>
            </w:tcBorders>
            <w:shd w:fill="003F8A" w:val="clear"/>
            <w:tcMar>
              <w:top w:type="dxa" w:w="240"/>
              <w:left w:type="dxa" w:w="280"/>
              <w:bottom w:type="dxa" w:w="240"/>
              <w:right w:type="dxa" w:w="280"/>
            </w:tcMar>
          </w:tcPr>
          <w:p>
            <w:pPr>
              <w:jc w:val="center"/>
            </w:pPr>
            <w:r>
              <w:rPr>
                <w:rFonts w:ascii="Arial" w:cs="Arial" w:eastAsia="Arial" w:hAnsi="Arial"/>
                <w:b/>
                <w:bCs/>
                <w:color w:val="FFFFFF"/>
                <w:sz w:val="26"/>
                <w:szCs w:val="26"/>
              </w:rPr>
              <w:t xml:space="preserve">Register everywhere.</w:t>
            </w:r>
          </w:p>
          <w:p>
            <w:pPr>
              <w:spacing w:before="80" w:after="0"/>
              <w:jc w:val="center"/>
            </w:pPr>
            <w:r>
              <w:rPr>
                <w:rFonts w:ascii="Arial" w:cs="Arial" w:eastAsia="Arial" w:hAnsi="Arial"/>
                <w:b/>
                <w:bCs/>
                <w:color w:val="CCE0FF"/>
                <w:sz w:val="26"/>
                <w:szCs w:val="26"/>
              </w:rPr>
              <w:t xml:space="preserve">Enforce anywhere.</w:t>
            </w:r>
          </w:p>
        </w:tc>
      </w:tr>
    </w:tbl>
    <w:p>
      <w:pPr>
        <w:spacing w:before="200" w:after="0"/>
      </w:pPr>
      <w:r>
        <w:t xml:space="preserve"/>
      </w:r>
    </w:p>
    <w:p>
      <w:pPr>
        <w:jc w:val="center"/>
      </w:pPr>
      <w:r>
        <w:rPr>
          <w:rFonts w:ascii="Arial" w:cs="Arial" w:eastAsia="Arial" w:hAnsi="Arial"/>
          <w:color w:val="888888"/>
          <w:sz w:val="18"/>
          <w:szCs w:val="18"/>
        </w:rPr>
        <w:t xml:space="preserve">Mycelium Network  ·  PoC Technical Specification v0.2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2026-03-23T02:21:14.605Z</dcterms:created>
  <dcterms:modified xsi:type="dcterms:W3CDTF">2026-03-23T02:21:14.605Z</dcterms:modified>
</cp:coreProperties>
</file>

<file path=docProps/custom.xml><?xml version="1.0" encoding="utf-8"?>
<Properties xmlns="http://schemas.openxmlformats.org/officeDocument/2006/custom-properties" xmlns:vt="http://schemas.openxmlformats.org/officeDocument/2006/docPropsVTypes"/>
</file>