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35BF0" w:rsidRDefault="00CD3007">
      <w:bookmarkStart w:id="0" w:name="_GoBack"/>
      <w:bookmarkEnd w:id="0"/>
      <w:r>
        <w:rPr>
          <w:b/>
          <w:sz w:val="28"/>
        </w:rPr>
        <w:t>Exercise 8: Create a Mobile Security Policy</w:t>
      </w:r>
    </w:p>
    <w:p w:rsidR="00B35BF0" w:rsidRDefault="00B35BF0"/>
    <w:p w:rsidR="00B35BF0" w:rsidRDefault="00CD3007">
      <w:r>
        <w:rPr>
          <w:b/>
        </w:rPr>
        <w:t xml:space="preserve">Intro: </w:t>
      </w:r>
      <w:r>
        <w:t>In this session, participants complete a mobile risk assessment for themselves, an organization, or a campaign, and use this to develop a mobile security policy. The mobile security policy is based on the assessment and mitigation ideas introduced in earli</w:t>
      </w:r>
      <w:r>
        <w:t xml:space="preserve">er sections. </w:t>
      </w:r>
    </w:p>
    <w:p w:rsidR="00B35BF0" w:rsidRDefault="00B35BF0"/>
    <w:p w:rsidR="00B35BF0" w:rsidRDefault="00CD3007">
      <w:r>
        <w:rPr>
          <w:b/>
        </w:rPr>
        <w:t>Timing: 2-3 hours</w:t>
      </w:r>
    </w:p>
    <w:p w:rsidR="00B35BF0" w:rsidRDefault="00B35BF0"/>
    <w:p w:rsidR="00B35BF0" w:rsidRDefault="00CD3007">
      <w:r>
        <w:rPr>
          <w:b/>
        </w:rPr>
        <w:t>Equipment Needed:</w:t>
      </w:r>
    </w:p>
    <w:p w:rsidR="00B35BF0" w:rsidRDefault="00CD3007">
      <w:pPr>
        <w:numPr>
          <w:ilvl w:val="0"/>
          <w:numId w:val="10"/>
        </w:numPr>
        <w:ind w:hanging="359"/>
      </w:pPr>
      <w:r>
        <w:t>Copies of the</w:t>
      </w:r>
      <w:hyperlink r:id="rId8">
        <w:r>
          <w:rPr>
            <w:color w:val="000099"/>
            <w:u w:val="single"/>
          </w:rPr>
          <w:t xml:space="preserve"> Risk Assessment worksheet</w:t>
        </w:r>
      </w:hyperlink>
      <w:r>
        <w:t xml:space="preserve"> and </w:t>
      </w:r>
      <w:hyperlink r:id="rId9">
        <w:proofErr w:type="spellStart"/>
        <w:r>
          <w:rPr>
            <w:color w:val="000099"/>
            <w:u w:val="single"/>
          </w:rPr>
          <w:t>MobileActive’s</w:t>
        </w:r>
        <w:proofErr w:type="spellEnd"/>
        <w:r>
          <w:rPr>
            <w:color w:val="000099"/>
            <w:u w:val="single"/>
          </w:rPr>
          <w:t xml:space="preserve"> Guide to Mobile Security Risk Assessment</w:t>
        </w:r>
      </w:hyperlink>
      <w:r>
        <w:t>.</w:t>
      </w:r>
    </w:p>
    <w:p w:rsidR="00B35BF0" w:rsidRDefault="00CD3007">
      <w:pPr>
        <w:numPr>
          <w:ilvl w:val="0"/>
          <w:numId w:val="10"/>
        </w:numPr>
        <w:ind w:hanging="359"/>
      </w:pPr>
      <w:r>
        <w:t>Paper and pens (or have participants bring in laptops if they prefer).</w:t>
      </w:r>
    </w:p>
    <w:p w:rsidR="00B35BF0" w:rsidRDefault="00CD3007">
      <w:pPr>
        <w:numPr>
          <w:ilvl w:val="0"/>
          <w:numId w:val="10"/>
        </w:numPr>
        <w:ind w:hanging="359"/>
      </w:pPr>
      <w:r>
        <w:t>If you think there are some participants who won’t want to or be able to develop a policy for their own situation, c</w:t>
      </w:r>
      <w:r>
        <w:t>onsider bringing along some printed scenarios they could use instead.</w:t>
      </w:r>
    </w:p>
    <w:p w:rsidR="00B35BF0" w:rsidRDefault="00B35BF0"/>
    <w:p w:rsidR="00B35BF0" w:rsidRDefault="00CD3007">
      <w:r>
        <w:rPr>
          <w:b/>
        </w:rPr>
        <w:t>Content Outline and Main Topics:</w:t>
      </w:r>
    </w:p>
    <w:p w:rsidR="00B35BF0" w:rsidRDefault="00CD3007">
      <w:pPr>
        <w:numPr>
          <w:ilvl w:val="0"/>
          <w:numId w:val="6"/>
        </w:numPr>
        <w:ind w:hanging="359"/>
      </w:pPr>
      <w:r>
        <w:rPr>
          <w:b/>
        </w:rPr>
        <w:t>Instruction (15 minutes</w:t>
      </w:r>
      <w:r>
        <w:t>): Review of risk assessment and security policies.</w:t>
      </w:r>
    </w:p>
    <w:p w:rsidR="00B35BF0" w:rsidRDefault="00CD3007">
      <w:pPr>
        <w:numPr>
          <w:ilvl w:val="0"/>
          <w:numId w:val="6"/>
        </w:numPr>
        <w:ind w:hanging="359"/>
      </w:pPr>
      <w:r>
        <w:rPr>
          <w:b/>
        </w:rPr>
        <w:t>Exercise (45 minutes-1 hour</w:t>
      </w:r>
      <w:r>
        <w:t xml:space="preserve">): Risk assessment. </w:t>
      </w:r>
    </w:p>
    <w:p w:rsidR="00B35BF0" w:rsidRDefault="00CD3007">
      <w:pPr>
        <w:numPr>
          <w:ilvl w:val="0"/>
          <w:numId w:val="6"/>
        </w:numPr>
        <w:ind w:hanging="359"/>
      </w:pPr>
      <w:r>
        <w:rPr>
          <w:b/>
        </w:rPr>
        <w:t>Exercise (45 minutes-1 hour</w:t>
      </w:r>
      <w:r>
        <w:t>):</w:t>
      </w:r>
      <w:r>
        <w:t xml:space="preserve"> Policy creation.</w:t>
      </w:r>
    </w:p>
    <w:p w:rsidR="00B35BF0" w:rsidRDefault="00CD3007">
      <w:pPr>
        <w:numPr>
          <w:ilvl w:val="0"/>
          <w:numId w:val="6"/>
        </w:numPr>
        <w:ind w:hanging="359"/>
      </w:pPr>
      <w:r>
        <w:rPr>
          <w:b/>
        </w:rPr>
        <w:t>Discussion (30-45 minutes</w:t>
      </w:r>
      <w:r>
        <w:t>): Report back.</w:t>
      </w:r>
    </w:p>
    <w:p w:rsidR="00B35BF0" w:rsidRDefault="00B35BF0"/>
    <w:p w:rsidR="00B35BF0" w:rsidRDefault="00CD3007">
      <w:r>
        <w:rPr>
          <w:b/>
        </w:rPr>
        <w:t>Objectives/Expected Outcomes:</w:t>
      </w:r>
    </w:p>
    <w:p w:rsidR="00B35BF0" w:rsidRDefault="00CD3007">
      <w:pPr>
        <w:numPr>
          <w:ilvl w:val="0"/>
          <w:numId w:val="8"/>
        </w:numPr>
        <w:ind w:hanging="359"/>
      </w:pPr>
      <w:r>
        <w:t>Participants will become familiar with the process of assessment and mitigation.</w:t>
      </w:r>
    </w:p>
    <w:p w:rsidR="00B35BF0" w:rsidRDefault="00CD3007">
      <w:pPr>
        <w:numPr>
          <w:ilvl w:val="0"/>
          <w:numId w:val="8"/>
        </w:numPr>
        <w:ind w:hanging="359"/>
      </w:pPr>
      <w:r>
        <w:t>Participants will develop a first draft of a policy that could be developed further b</w:t>
      </w:r>
      <w:r>
        <w:t xml:space="preserve">y themselves or their </w:t>
      </w:r>
      <w:proofErr w:type="spellStart"/>
      <w:r>
        <w:t>organisation</w:t>
      </w:r>
      <w:proofErr w:type="spellEnd"/>
      <w:r>
        <w:t>.</w:t>
      </w:r>
    </w:p>
    <w:p w:rsidR="00B35BF0" w:rsidRDefault="00B35BF0"/>
    <w:p w:rsidR="00B35BF0" w:rsidRDefault="00CD3007">
      <w:r>
        <w:rPr>
          <w:b/>
        </w:rPr>
        <w:t>Additional Resources for Trainers and Participants:</w:t>
      </w:r>
    </w:p>
    <w:p w:rsidR="00B35BF0" w:rsidRDefault="00CD3007">
      <w:pPr>
        <w:numPr>
          <w:ilvl w:val="0"/>
          <w:numId w:val="10"/>
        </w:numPr>
        <w:ind w:hanging="359"/>
      </w:pPr>
      <w:hyperlink r:id="rId10">
        <w:r>
          <w:rPr>
            <w:color w:val="000099"/>
            <w:u w:val="single"/>
          </w:rPr>
          <w:t>Guide to Mobile Security Risk Assessment</w:t>
        </w:r>
      </w:hyperlink>
    </w:p>
    <w:p w:rsidR="00B35BF0" w:rsidRDefault="00CD3007">
      <w:pPr>
        <w:numPr>
          <w:ilvl w:val="0"/>
          <w:numId w:val="5"/>
        </w:numPr>
        <w:ind w:hanging="359"/>
      </w:pPr>
      <w:hyperlink r:id="rId11">
        <w:proofErr w:type="spellStart"/>
        <w:r>
          <w:rPr>
            <w:color w:val="000099"/>
            <w:u w:val="single"/>
          </w:rPr>
          <w:t>SaferMobile</w:t>
        </w:r>
        <w:proofErr w:type="spellEnd"/>
        <w:r>
          <w:rPr>
            <w:color w:val="000099"/>
            <w:u w:val="single"/>
          </w:rPr>
          <w:t xml:space="preserve"> Lockdown Guides</w:t>
        </w:r>
      </w:hyperlink>
    </w:p>
    <w:p w:rsidR="00B35BF0" w:rsidRDefault="00CD3007">
      <w:pPr>
        <w:numPr>
          <w:ilvl w:val="0"/>
          <w:numId w:val="5"/>
        </w:numPr>
        <w:ind w:hanging="359"/>
      </w:pPr>
      <w:hyperlink r:id="rId12">
        <w:r>
          <w:rPr>
            <w:color w:val="000099"/>
            <w:u w:val="single"/>
          </w:rPr>
          <w:t>Mobile Tactics for Participants in Peaceful Assemblies</w:t>
        </w:r>
      </w:hyperlink>
    </w:p>
    <w:p w:rsidR="00B35BF0" w:rsidRDefault="00CD3007">
      <w:pPr>
        <w:numPr>
          <w:ilvl w:val="0"/>
          <w:numId w:val="5"/>
        </w:numPr>
        <w:ind w:hanging="359"/>
      </w:pPr>
      <w:hyperlink r:id="rId13">
        <w:r>
          <w:rPr>
            <w:color w:val="000099"/>
            <w:u w:val="single"/>
          </w:rPr>
          <w:t>Mobile Security Risks Primer</w:t>
        </w:r>
      </w:hyperlink>
      <w:r>
        <w:br/>
      </w:r>
    </w:p>
    <w:p w:rsidR="00B35BF0" w:rsidRDefault="00CD3007">
      <w:r>
        <w:rPr>
          <w:b/>
          <w:sz w:val="36"/>
        </w:rPr>
        <w:t>Content</w:t>
      </w:r>
    </w:p>
    <w:p w:rsidR="00B35BF0" w:rsidRDefault="00B35BF0"/>
    <w:p w:rsidR="00B35BF0" w:rsidRDefault="00CD3007">
      <w:r>
        <w:rPr>
          <w:b/>
          <w:sz w:val="28"/>
        </w:rPr>
        <w:t>1. Instruction (15 minutes</w:t>
      </w:r>
      <w:r>
        <w:rPr>
          <w:sz w:val="28"/>
        </w:rPr>
        <w:t>): Review of risk assessment and security policies.</w:t>
      </w:r>
    </w:p>
    <w:p w:rsidR="00B35BF0" w:rsidRDefault="00CD3007">
      <w:pPr>
        <w:numPr>
          <w:ilvl w:val="0"/>
          <w:numId w:val="9"/>
        </w:numPr>
        <w:ind w:left="1440" w:hanging="359"/>
      </w:pPr>
      <w:r>
        <w:t xml:space="preserve">Return to the example of </w:t>
      </w:r>
      <w:hyperlink r:id="rId14">
        <w:r>
          <w:rPr>
            <w:color w:val="000099"/>
            <w:u w:val="single"/>
          </w:rPr>
          <w:t>Mobile Tactics for Participan</w:t>
        </w:r>
        <w:r>
          <w:rPr>
            <w:color w:val="000099"/>
            <w:u w:val="single"/>
          </w:rPr>
          <w:t>ts in Peaceful Assemblies</w:t>
        </w:r>
      </w:hyperlink>
      <w:r>
        <w:t>.</w:t>
      </w:r>
    </w:p>
    <w:p w:rsidR="00B35BF0" w:rsidRDefault="00CD3007">
      <w:pPr>
        <w:numPr>
          <w:ilvl w:val="0"/>
          <w:numId w:val="9"/>
        </w:numPr>
        <w:ind w:left="1440" w:hanging="359"/>
      </w:pPr>
      <w:r>
        <w:t>Introduce the exercise and ask participants to think about what kind of policy (individual, group, organization, event, network, campaign) they’d like to create.</w:t>
      </w:r>
    </w:p>
    <w:p w:rsidR="00B35BF0" w:rsidRDefault="00CD3007">
      <w:pPr>
        <w:numPr>
          <w:ilvl w:val="0"/>
          <w:numId w:val="9"/>
        </w:numPr>
        <w:ind w:left="1440" w:hanging="359"/>
      </w:pPr>
      <w:r>
        <w:lastRenderedPageBreak/>
        <w:t xml:space="preserve">Divide into groups. Participants can work on </w:t>
      </w:r>
      <w:proofErr w:type="spellStart"/>
      <w:r>
        <w:t>on</w:t>
      </w:r>
      <w:proofErr w:type="spellEnd"/>
      <w:r>
        <w:t xml:space="preserve"> individual plans al</w:t>
      </w:r>
      <w:r>
        <w:t>one, while participants doing group plans can work with other members of that organization, campaign, event, or network.</w:t>
      </w:r>
    </w:p>
    <w:p w:rsidR="00B35BF0" w:rsidRDefault="00B35BF0"/>
    <w:p w:rsidR="00B35BF0" w:rsidRDefault="00CD3007">
      <w:r>
        <w:rPr>
          <w:b/>
          <w:sz w:val="28"/>
        </w:rPr>
        <w:t>2. Exercise (45 minutes-1 hour</w:t>
      </w:r>
      <w:r>
        <w:rPr>
          <w:sz w:val="28"/>
        </w:rPr>
        <w:t xml:space="preserve">): Risk assessment. </w:t>
      </w:r>
    </w:p>
    <w:p w:rsidR="00B35BF0" w:rsidRDefault="00B35BF0"/>
    <w:p w:rsidR="00B35BF0" w:rsidRDefault="00CD3007">
      <w:pPr>
        <w:numPr>
          <w:ilvl w:val="0"/>
          <w:numId w:val="7"/>
        </w:numPr>
        <w:ind w:left="1440" w:hanging="359"/>
      </w:pPr>
      <w:r>
        <w:t xml:space="preserve"> Each individual or group should assess their mobile risks and identify mitigation techniques for risks. Remind participants to document everything, including any risks they identify.</w:t>
      </w:r>
    </w:p>
    <w:p w:rsidR="00B35BF0" w:rsidRDefault="00CD3007">
      <w:pPr>
        <w:numPr>
          <w:ilvl w:val="0"/>
          <w:numId w:val="3"/>
        </w:numPr>
        <w:ind w:left="1440" w:hanging="359"/>
      </w:pPr>
      <w:r>
        <w:t>You can have a check-in discussion after this step with the whole group,</w:t>
      </w:r>
      <w:r>
        <w:t xml:space="preserve"> or ask participants to share their risk assessment with a partner.</w:t>
      </w:r>
    </w:p>
    <w:p w:rsidR="00B35BF0" w:rsidRDefault="00B35BF0"/>
    <w:p w:rsidR="00B35BF0" w:rsidRDefault="00CD3007">
      <w:r>
        <w:rPr>
          <w:sz w:val="28"/>
        </w:rPr>
        <w:t xml:space="preserve">3. </w:t>
      </w:r>
      <w:r>
        <w:rPr>
          <w:b/>
          <w:sz w:val="28"/>
        </w:rPr>
        <w:t>Exercise (45 minutes-1 hour</w:t>
      </w:r>
      <w:r>
        <w:rPr>
          <w:sz w:val="28"/>
        </w:rPr>
        <w:t>): Policy creation.</w:t>
      </w:r>
    </w:p>
    <w:p w:rsidR="00B35BF0" w:rsidRDefault="00B35BF0"/>
    <w:p w:rsidR="00B35BF0" w:rsidRDefault="00CD3007">
      <w:pPr>
        <w:numPr>
          <w:ilvl w:val="0"/>
          <w:numId w:val="1"/>
        </w:numPr>
        <w:ind w:hanging="359"/>
      </w:pPr>
      <w:r>
        <w:t>Based on the risk assessment and mitigation ideas, participants should now create a plan comprising mobile-security focused action items</w:t>
      </w:r>
      <w:r>
        <w:t xml:space="preserve">.  </w:t>
      </w:r>
    </w:p>
    <w:p w:rsidR="00B35BF0" w:rsidRDefault="00CD3007">
      <w:pPr>
        <w:numPr>
          <w:ilvl w:val="0"/>
          <w:numId w:val="2"/>
        </w:numPr>
        <w:ind w:hanging="359"/>
      </w:pPr>
      <w:r>
        <w:t>Where the individual or group is creating rules, they should also be certain to assign responsibility for enforcing the policy, and generally thinking about how it will work on an ongoing basis.</w:t>
      </w:r>
    </w:p>
    <w:p w:rsidR="00B35BF0" w:rsidRDefault="00B35BF0"/>
    <w:p w:rsidR="00B35BF0" w:rsidRDefault="00CD3007">
      <w:r>
        <w:rPr>
          <w:b/>
          <w:sz w:val="28"/>
        </w:rPr>
        <w:t>4. Discussion (30-45 minutes</w:t>
      </w:r>
      <w:r>
        <w:rPr>
          <w:sz w:val="28"/>
        </w:rPr>
        <w:t>): Report back.</w:t>
      </w:r>
    </w:p>
    <w:p w:rsidR="00B35BF0" w:rsidRDefault="00B35BF0"/>
    <w:p w:rsidR="00B35BF0" w:rsidRDefault="00CD3007">
      <w:pPr>
        <w:numPr>
          <w:ilvl w:val="0"/>
          <w:numId w:val="4"/>
        </w:numPr>
        <w:ind w:hanging="359"/>
      </w:pPr>
      <w:r>
        <w:t>Participants gather and a representative of each group presents the plan. Remind participants that security, whether of an app or a policy</w:t>
      </w:r>
      <w:proofErr w:type="gramStart"/>
      <w:r>
        <w:t>,  is</w:t>
      </w:r>
      <w:proofErr w:type="gramEnd"/>
      <w:r>
        <w:t xml:space="preserve"> improved through peer review.</w:t>
      </w:r>
    </w:p>
    <w:sectPr w:rsidR="00B35BF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007" w:rsidRDefault="00CD3007">
      <w:pPr>
        <w:spacing w:line="240" w:lineRule="auto"/>
      </w:pPr>
      <w:r>
        <w:separator/>
      </w:r>
    </w:p>
  </w:endnote>
  <w:endnote w:type="continuationSeparator" w:id="0">
    <w:p w:rsidR="00CD3007" w:rsidRDefault="00CD3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B7D" w:rsidRDefault="00A24B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B7D" w:rsidRDefault="00A24B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B7D" w:rsidRDefault="00A24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007" w:rsidRDefault="00CD3007">
      <w:pPr>
        <w:spacing w:line="240" w:lineRule="auto"/>
      </w:pPr>
      <w:r>
        <w:separator/>
      </w:r>
    </w:p>
  </w:footnote>
  <w:footnote w:type="continuationSeparator" w:id="0">
    <w:p w:rsidR="00CD3007" w:rsidRDefault="00CD30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B7D" w:rsidRDefault="00A24B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BF0" w:rsidRPr="00A24B7D" w:rsidRDefault="00B35BF0" w:rsidP="00A24B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B7D" w:rsidRDefault="00A24B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04A74"/>
    <w:multiLevelType w:val="multilevel"/>
    <w:tmpl w:val="2D90684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67E27B6"/>
    <w:multiLevelType w:val="multilevel"/>
    <w:tmpl w:val="685E595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24127FF4"/>
    <w:multiLevelType w:val="multilevel"/>
    <w:tmpl w:val="F3A22E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9445656"/>
    <w:multiLevelType w:val="multilevel"/>
    <w:tmpl w:val="CCB82B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C7C479F"/>
    <w:multiLevelType w:val="multilevel"/>
    <w:tmpl w:val="C46287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449672AE"/>
    <w:multiLevelType w:val="multilevel"/>
    <w:tmpl w:val="7772C4B4"/>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
    <w:nsid w:val="641077F4"/>
    <w:multiLevelType w:val="multilevel"/>
    <w:tmpl w:val="4E7A0B7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B696039"/>
    <w:multiLevelType w:val="multilevel"/>
    <w:tmpl w:val="67E2E3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DD259D8"/>
    <w:multiLevelType w:val="multilevel"/>
    <w:tmpl w:val="F79A74C6"/>
    <w:lvl w:ilvl="0">
      <w:start w:val="1"/>
      <w:numFmt w:val="decimal"/>
      <w:lvlText w:val="%1"/>
      <w:lvlJc w:val="left"/>
      <w:pPr>
        <w:ind w:left="720" w:firstLine="360"/>
      </w:pPr>
      <w:rPr>
        <w:rFonts w:ascii="Calibri" w:eastAsia="Calibri" w:hAnsi="Calibri" w:cs="Calibri"/>
        <w:b/>
        <w:i w:val="0"/>
        <w:smallCaps w:val="0"/>
        <w:strike w:val="0"/>
        <w:color w:val="000000"/>
        <w:sz w:val="24"/>
        <w:u w:val="none"/>
        <w:vertAlign w:val="baseline"/>
      </w:rPr>
    </w:lvl>
    <w:lvl w:ilvl="1">
      <w:start w:val="1"/>
      <w:numFmt w:val="lowerLetter"/>
      <w:lvlText w:val="%2"/>
      <w:lvlJc w:val="left"/>
      <w:pPr>
        <w:ind w:left="1440" w:firstLine="1080"/>
      </w:pPr>
      <w:rPr>
        <w:rFonts w:ascii="Calibri" w:eastAsia="Calibri" w:hAnsi="Calibri" w:cs="Calibri"/>
        <w:b/>
        <w:i w:val="0"/>
        <w:smallCaps w:val="0"/>
        <w:strike w:val="0"/>
        <w:color w:val="000000"/>
        <w:sz w:val="24"/>
        <w:u w:val="none"/>
        <w:vertAlign w:val="baseline"/>
      </w:rPr>
    </w:lvl>
    <w:lvl w:ilvl="2">
      <w:start w:val="1"/>
      <w:numFmt w:val="lowerRoman"/>
      <w:lvlText w:val="%3"/>
      <w:lvlJc w:val="left"/>
      <w:pPr>
        <w:ind w:left="2160" w:firstLine="1800"/>
      </w:pPr>
      <w:rPr>
        <w:rFonts w:ascii="Calibri" w:eastAsia="Calibri" w:hAnsi="Calibri" w:cs="Calibri"/>
        <w:b/>
        <w:i w:val="0"/>
        <w:smallCaps w:val="0"/>
        <w:strike w:val="0"/>
        <w:color w:val="000000"/>
        <w:sz w:val="24"/>
        <w:u w:val="none"/>
        <w:vertAlign w:val="baseline"/>
      </w:rPr>
    </w:lvl>
    <w:lvl w:ilvl="3">
      <w:start w:val="1"/>
      <w:numFmt w:val="decimal"/>
      <w:lvlText w:val="%4"/>
      <w:lvlJc w:val="left"/>
      <w:pPr>
        <w:ind w:left="2880" w:firstLine="2520"/>
      </w:pPr>
      <w:rPr>
        <w:rFonts w:ascii="Calibri" w:eastAsia="Calibri" w:hAnsi="Calibri" w:cs="Calibri"/>
        <w:b/>
        <w:i w:val="0"/>
        <w:smallCaps w:val="0"/>
        <w:strike w:val="0"/>
        <w:color w:val="000000"/>
        <w:sz w:val="24"/>
        <w:u w:val="none"/>
        <w:vertAlign w:val="baseline"/>
      </w:rPr>
    </w:lvl>
    <w:lvl w:ilvl="4">
      <w:start w:val="1"/>
      <w:numFmt w:val="lowerLetter"/>
      <w:lvlText w:val="%5"/>
      <w:lvlJc w:val="left"/>
      <w:pPr>
        <w:ind w:left="3600" w:firstLine="3240"/>
      </w:pPr>
      <w:rPr>
        <w:rFonts w:ascii="Calibri" w:eastAsia="Calibri" w:hAnsi="Calibri" w:cs="Calibri"/>
        <w:b/>
        <w:i w:val="0"/>
        <w:smallCaps w:val="0"/>
        <w:strike w:val="0"/>
        <w:color w:val="000000"/>
        <w:sz w:val="24"/>
        <w:u w:val="none"/>
        <w:vertAlign w:val="baseline"/>
      </w:rPr>
    </w:lvl>
    <w:lvl w:ilvl="5">
      <w:start w:val="1"/>
      <w:numFmt w:val="lowerRoman"/>
      <w:lvlText w:val="%6"/>
      <w:lvlJc w:val="left"/>
      <w:pPr>
        <w:ind w:left="4320" w:firstLine="3960"/>
      </w:pPr>
      <w:rPr>
        <w:rFonts w:ascii="Calibri" w:eastAsia="Calibri" w:hAnsi="Calibri" w:cs="Calibri"/>
        <w:b/>
        <w:i w:val="0"/>
        <w:smallCaps w:val="0"/>
        <w:strike w:val="0"/>
        <w:color w:val="000000"/>
        <w:sz w:val="24"/>
        <w:u w:val="none"/>
        <w:vertAlign w:val="baseline"/>
      </w:rPr>
    </w:lvl>
    <w:lvl w:ilvl="6">
      <w:start w:val="1"/>
      <w:numFmt w:val="decimal"/>
      <w:lvlText w:val="%7"/>
      <w:lvlJc w:val="left"/>
      <w:pPr>
        <w:ind w:left="5040" w:firstLine="4680"/>
      </w:pPr>
      <w:rPr>
        <w:rFonts w:ascii="Calibri" w:eastAsia="Calibri" w:hAnsi="Calibri" w:cs="Calibri"/>
        <w:b/>
        <w:i w:val="0"/>
        <w:smallCaps w:val="0"/>
        <w:strike w:val="0"/>
        <w:color w:val="000000"/>
        <w:sz w:val="24"/>
        <w:u w:val="none"/>
        <w:vertAlign w:val="baseline"/>
      </w:rPr>
    </w:lvl>
    <w:lvl w:ilvl="7">
      <w:start w:val="1"/>
      <w:numFmt w:val="lowerLetter"/>
      <w:lvlText w:val="%8"/>
      <w:lvlJc w:val="left"/>
      <w:pPr>
        <w:ind w:left="5760" w:firstLine="5400"/>
      </w:pPr>
      <w:rPr>
        <w:rFonts w:ascii="Calibri" w:eastAsia="Calibri" w:hAnsi="Calibri" w:cs="Calibri"/>
        <w:b/>
        <w:i w:val="0"/>
        <w:smallCaps w:val="0"/>
        <w:strike w:val="0"/>
        <w:color w:val="000000"/>
        <w:sz w:val="24"/>
        <w:u w:val="none"/>
        <w:vertAlign w:val="baseline"/>
      </w:rPr>
    </w:lvl>
    <w:lvl w:ilvl="8">
      <w:start w:val="1"/>
      <w:numFmt w:val="lowerRoman"/>
      <w:lvlText w:val="%9"/>
      <w:lvlJc w:val="left"/>
      <w:pPr>
        <w:ind w:left="6480" w:firstLine="6120"/>
      </w:pPr>
      <w:rPr>
        <w:rFonts w:ascii="Calibri" w:eastAsia="Calibri" w:hAnsi="Calibri" w:cs="Calibri"/>
        <w:b/>
        <w:i w:val="0"/>
        <w:smallCaps w:val="0"/>
        <w:strike w:val="0"/>
        <w:color w:val="000000"/>
        <w:sz w:val="24"/>
        <w:u w:val="none"/>
        <w:vertAlign w:val="baseline"/>
      </w:rPr>
    </w:lvl>
  </w:abstractNum>
  <w:abstractNum w:abstractNumId="9">
    <w:nsid w:val="77FD6A21"/>
    <w:multiLevelType w:val="multilevel"/>
    <w:tmpl w:val="7A8CC90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5"/>
  </w:num>
  <w:num w:numId="2">
    <w:abstractNumId w:val="7"/>
  </w:num>
  <w:num w:numId="3">
    <w:abstractNumId w:val="0"/>
  </w:num>
  <w:num w:numId="4">
    <w:abstractNumId w:val="4"/>
  </w:num>
  <w:num w:numId="5">
    <w:abstractNumId w:val="1"/>
  </w:num>
  <w:num w:numId="6">
    <w:abstractNumId w:val="8"/>
  </w:num>
  <w:num w:numId="7">
    <w:abstractNumId w:val="2"/>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B35BF0"/>
    <w:rsid w:val="00A24B7D"/>
    <w:rsid w:val="00B35BF0"/>
    <w:rsid w:val="00CD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A24B7D"/>
    <w:pPr>
      <w:tabs>
        <w:tab w:val="center" w:pos="4680"/>
        <w:tab w:val="right" w:pos="9360"/>
      </w:tabs>
      <w:spacing w:line="240" w:lineRule="auto"/>
    </w:pPr>
  </w:style>
  <w:style w:type="character" w:customStyle="1" w:styleId="HeaderChar">
    <w:name w:val="Header Char"/>
    <w:basedOn w:val="DefaultParagraphFont"/>
    <w:link w:val="Header"/>
    <w:uiPriority w:val="99"/>
    <w:rsid w:val="00A24B7D"/>
    <w:rPr>
      <w:rFonts w:ascii="Arial" w:eastAsia="Arial" w:hAnsi="Arial" w:cs="Arial"/>
      <w:color w:val="000000"/>
    </w:rPr>
  </w:style>
  <w:style w:type="paragraph" w:styleId="Footer">
    <w:name w:val="footer"/>
    <w:basedOn w:val="Normal"/>
    <w:link w:val="FooterChar"/>
    <w:uiPriority w:val="99"/>
    <w:unhideWhenUsed/>
    <w:rsid w:val="00A24B7D"/>
    <w:pPr>
      <w:tabs>
        <w:tab w:val="center" w:pos="4680"/>
        <w:tab w:val="right" w:pos="9360"/>
      </w:tabs>
      <w:spacing w:line="240" w:lineRule="auto"/>
    </w:pPr>
  </w:style>
  <w:style w:type="character" w:customStyle="1" w:styleId="FooterChar">
    <w:name w:val="Footer Char"/>
    <w:basedOn w:val="DefaultParagraphFont"/>
    <w:link w:val="Footer"/>
    <w:uiPriority w:val="99"/>
    <w:rsid w:val="00A24B7D"/>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A24B7D"/>
    <w:pPr>
      <w:tabs>
        <w:tab w:val="center" w:pos="4680"/>
        <w:tab w:val="right" w:pos="9360"/>
      </w:tabs>
      <w:spacing w:line="240" w:lineRule="auto"/>
    </w:pPr>
  </w:style>
  <w:style w:type="character" w:customStyle="1" w:styleId="HeaderChar">
    <w:name w:val="Header Char"/>
    <w:basedOn w:val="DefaultParagraphFont"/>
    <w:link w:val="Header"/>
    <w:uiPriority w:val="99"/>
    <w:rsid w:val="00A24B7D"/>
    <w:rPr>
      <w:rFonts w:ascii="Arial" w:eastAsia="Arial" w:hAnsi="Arial" w:cs="Arial"/>
      <w:color w:val="000000"/>
    </w:rPr>
  </w:style>
  <w:style w:type="paragraph" w:styleId="Footer">
    <w:name w:val="footer"/>
    <w:basedOn w:val="Normal"/>
    <w:link w:val="FooterChar"/>
    <w:uiPriority w:val="99"/>
    <w:unhideWhenUsed/>
    <w:rsid w:val="00A24B7D"/>
    <w:pPr>
      <w:tabs>
        <w:tab w:val="center" w:pos="4680"/>
        <w:tab w:val="right" w:pos="9360"/>
      </w:tabs>
      <w:spacing w:line="240" w:lineRule="auto"/>
    </w:pPr>
  </w:style>
  <w:style w:type="character" w:customStyle="1" w:styleId="FooterChar">
    <w:name w:val="Footer Char"/>
    <w:basedOn w:val="DefaultParagraphFont"/>
    <w:link w:val="Footer"/>
    <w:uiPriority w:val="99"/>
    <w:rsid w:val="00A24B7D"/>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d/1rrHTilbnxyokxQOlmm9LcECByglGG6ByBRwWEvgVhFs/edit?hl=en_US" TargetMode="External"/><Relationship Id="rId13" Type="http://schemas.openxmlformats.org/officeDocument/2006/relationships/hyperlink" Target="http://www.mobileactive.org/howtos/mobile-security-risks"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mobileactive.org/howtos/mobile-tactics-peaceful-assembli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obileactive.org/safermobile-lockdow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mobileactive.org/risk-assessmen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mobileactive.org/risk-assessment" TargetMode="External"/><Relationship Id="rId14" Type="http://schemas.openxmlformats.org/officeDocument/2006/relationships/hyperlink" Target="http://mobileactive.org/howtos/mobile-tactics-peaceful-assembl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2013-03-25T00:10:00Z</dcterms:created>
  <dcterms:modified xsi:type="dcterms:W3CDTF">2013-03-25T00:10:00Z</dcterms:modified>
</cp:coreProperties>
</file>