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EE896" w14:textId="77777777" w:rsidR="00192AA4" w:rsidRDefault="00192AA4" w:rsidP="00192AA4">
      <w:r>
        <w:rPr>
          <w:rFonts w:hint="eastAsia"/>
        </w:rPr>
        <w:t>案件背景：甲借给乙20万元，期满未还。丙欠乙10万元货款也已到期，乙曾向丙发出催收通知书。乙、丙之间的供货合同约定，若因合同履行发生争议，由Y仲裁委员会仲裁。另外，乙对于丁还享有8万元的人身损害赔偿请求权。</w:t>
      </w:r>
    </w:p>
    <w:p w14:paraId="43ADC59E" w14:textId="77777777" w:rsidR="00192AA4" w:rsidRDefault="00192AA4" w:rsidP="00192AA4">
      <w:r>
        <w:rPr>
          <w:rFonts w:hint="eastAsia"/>
        </w:rPr>
        <w:t>问题：甲、乙应分别以谁为被告主张债权？</w:t>
      </w:r>
    </w:p>
    <w:p w14:paraId="79DC0F38" w14:textId="77777777" w:rsidR="00B762B5" w:rsidRPr="00192AA4" w:rsidRDefault="00B762B5"/>
    <w:sectPr w:rsidR="00B762B5" w:rsidRPr="00192AA4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4"/>
    <w:rsid w:val="00192AA4"/>
    <w:rsid w:val="009D1031"/>
    <w:rsid w:val="00B762B5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F405"/>
  <w15:chartTrackingRefBased/>
  <w15:docId w15:val="{DBF499F6-6722-9B4E-976D-98EC6B2C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2021-01-21T09:35:00Z</dcterms:created>
  <dcterms:modified xsi:type="dcterms:W3CDTF">2021-01-21T09:36:00Z</dcterms:modified>
</cp:coreProperties>
</file>