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PONTIFÍCIA UNIVERSIDADE CATÓLICA DO RIO DE JANEIRO</w:t>
        <w:br/>
      </w:r>
      <w:r>
        <w:rPr>
          <w:rFonts w:ascii="Arial" w:hAnsi="Arial" w:eastAsia="Arial"/>
          <w:color w:val="000000"/>
          <w:sz w:val="24"/>
        </w:rPr>
        <w:t>Projeto de Engenharia de Produção</w:t>
        <w:br/>
        <w:br/>
      </w:r>
      <w:r>
        <w:rPr>
          <w:rFonts w:ascii="Arial" w:hAnsi="Arial" w:eastAsia="Arial"/>
          <w:b/>
          <w:color w:val="000000"/>
          <w:sz w:val="28"/>
        </w:rPr>
        <w:t>SIMULAÇÃO DE CENÁRIOS DE MALHA LOGÍSTICA COM IMPACTO DA REFORMA TRIBUTÁRIA</w:t>
        <w:br/>
      </w:r>
      <w:r>
        <w:rPr>
          <w:rFonts w:ascii="Arial" w:hAnsi="Arial" w:eastAsia="Arial"/>
          <w:color w:val="000000"/>
          <w:sz w:val="24"/>
        </w:rPr>
        <w:t>Um estudo de caso em cadeias de varejo e indústria</w:t>
      </w:r>
    </w:p>
    <w:p/>
    <w:p>
      <w:pPr>
        <w:jc w:val="center"/>
      </w:pPr>
      <w:r>
        <w:rPr>
          <w:rFonts w:ascii="Arial" w:hAnsi="Arial"/>
          <w:color w:val="000000"/>
          <w:sz w:val="22"/>
        </w:rPr>
        <w:t>Hugo Hickman — 230205</w:t>
        <w:br/>
        <w:t>Giovanna Sabatini — 2011088</w:t>
        <w:br/>
        <w:br/>
        <w:t>Orientador: Prof. Igor Tona Peres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000000"/>
          <w:sz w:val="22"/>
        </w:rPr>
        <w:t>Rio de Janeiro</w:t>
        <w:br/>
        <w:t>Junho de 2026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Resumo executivo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Este trabalho avalia cenários discretos de malha logística para duas empresas, considerando custos físicos, tributação parametrizada, estoque, distribuição, transferência e frete. A solução implementada compara uma lista finita de configurações de centros de distribuição (CDs), calcula indicadores de qualidade, risco e robustez e oferece uma camada Monte Carlo exploratória para representar incerteza parametrizada.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principal correção desta versão é separar três objetos que estavam confundidos: o baseline operacional atual, o baseline comparável no mesmo regime tributário do cenário e o resultado simulado. Os savings publicados passam a usar o baseline comparável da própria empresa. O Monte Carlo é descrito como camada probabilística complementar; seus spreads são premissas manuais, não calibração estatística histórica.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Na execução canônica, a Empresa 1 tem como melhor cenário dentro do espaço avaliado o candidato `empresa1_candidate_015`, com 14 CDs, custo total de R$ 155.296.806,21 e saving de 1,001985% contra o baseline comparável de reforma de R$ 156.868.606,74. O candidato permanece em todos os quatro perfis de pesos avaliados, mas o índice de robustez é 37,85 e exige cautela.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Para a Empresa 2, o perfil de custo mínimo seleciona `empresa2_candidate_005`, com 1 CD, custo de R$ 77.022.539,91 e saving de 9,497399%. Nos perfis equilibrado, conservador e qualidade/serviço, a recomendação muda para `empresa2_candidate_010`, com 2 CDs, custo de R$ 80.636.126,57 e saving de 5,251382%. Esses números são resultados do simulador e não constituem previsão econômica ou validação fiscal.</w:t>
      </w: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As limitações decisivas são a proxy de transferência da Empresa 1 baseada em dados da Empresa 2, a cobertura incompleta de distâncias, o cálculo de estoque no modo days_wacc_only sem pooling explícito, a armazenagem proporcional quando não há correspondência na tabela e a ausência de calibração histórica dos spreads Monte Carlo.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Sumário</w:t>
      </w:r>
    </w:p>
    <w:p>
      <w:pPr>
        <w:spacing w:after="60"/>
        <w:ind w:left="567"/>
      </w:pPr>
      <w:r>
        <w:t>1 Introdução</w:t>
      </w:r>
    </w:p>
    <w:p>
      <w:pPr>
        <w:spacing w:after="60"/>
        <w:ind w:left="567"/>
      </w:pPr>
      <w:r>
        <w:t>2 Problema, objetivos e escopo</w:t>
      </w:r>
    </w:p>
    <w:p>
      <w:pPr>
        <w:spacing w:after="60"/>
        <w:ind w:left="567"/>
      </w:pPr>
      <w:r>
        <w:t>3 Fundamentação e decisões de modelagem</w:t>
      </w:r>
    </w:p>
    <w:p>
      <w:pPr>
        <w:spacing w:after="60"/>
        <w:ind w:left="567"/>
      </w:pPr>
      <w:r>
        <w:t>4 Metodologia e implementação</w:t>
      </w:r>
    </w:p>
    <w:p>
      <w:pPr>
        <w:spacing w:after="60"/>
        <w:ind w:left="567"/>
      </w:pPr>
      <w:r>
        <w:t>5 Resultados e reconciliação</w:t>
      </w:r>
    </w:p>
    <w:p>
      <w:pPr>
        <w:spacing w:after="60"/>
        <w:ind w:left="567"/>
      </w:pPr>
      <w:r>
        <w:t>6 Validação, reprodutibilidade e auditoria</w:t>
      </w:r>
    </w:p>
    <w:p>
      <w:pPr>
        <w:spacing w:after="60"/>
        <w:ind w:left="567"/>
      </w:pPr>
      <w:r>
        <w:t>7 Conclusão e limitações</w:t>
      </w:r>
    </w:p>
    <w:p>
      <w:pPr>
        <w:spacing w:after="60"/>
        <w:ind w:left="567"/>
      </w:pPr>
      <w:r>
        <w:t>Referências</w:t>
      </w:r>
    </w:p>
    <w:p>
      <w:pPr>
        <w:spacing w:after="60"/>
        <w:ind w:left="567"/>
      </w:pPr>
      <w:r>
        <w:t>Apêndice A — Matriz de correções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1 Introdução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configuração da malha logística afeta simultaneamente custo, nível de serviço, concentração operacional, exposição tributária e necessidade de estoque. Em problemas reais, a decisão raramente depende de uma única métrica: o cenário de menor custo pode elevar concentração ou reduzir margem operacional, enquanto uma configuração mais distribuída pode preservar serviço com custo maior.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projeto foi desenvolvido como um simulador web auditável para apoiar a comparação de cenários de duas empresas com bases de dados e premissas próprias. O escopo do Sprint 4 é a entrega da camada de cenários, otimização por enumeração de candidatos, análise de sensibilidade, recomendação e trilha de auditoria; não é uma implementação de otimização global nem uma validação fiscal formal.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revisão apresentada neste documento responde às críticas do relatório e do plano de trabalho recebido. A prioridade foi preservar a estrutura e os dados do projeto, corrigindo apenas inconsistências que afetavam a interpretação, a reprodutibilidade ou a sustentação dos números.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2 Problema, objetivos e escopo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2.1 Problema de decisão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problema consiste em comparar configurações discretas de CDs para cada empresa, observando o custo total e indicadores complementares. Cada empresa deve ser tratada separadamente: a demanda, a matriz de distâncias, as referências de custo e os parâmetros tributários não podem ser misturados sem declaração explícita.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2.2 Objetivos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objetivo geral é fornecer uma comparação reproduzível de cenários de malha logística. Os objetivos específicos são: calcular um baseline rastreável; simular candidatos; decompor custos; aplicar regimes tributários parametrizados; medir qualidade, risco e robustez; expor incerteza por Monte Carlo; reconciliar resultados com referências disponíveis; e registrar as limitações de dados.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2.3 Justificativa para não usar MILP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Modelos MILP são adequados quando há dados suficientemente granulares para representar variáveis de decisão, capacidade, atendimento, custos fixos, restrições de fluxo e regras tributárias em uma formulação integrada. No escopo disponível, parte dos custos é proxy, as distâncias não cobrem todos os fluxos e a camada tributária é parametrizada. A enumeração de um espaço discreto de candidatos é, portanto, uma escolha operacional compatível com os dados e com a necessidade de transparência, não uma afirmação de que o problema não possa ser modelado por MILP em uma etapa futura.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3 Fundamentação e decisões de modelagem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modelagem segue a lógica de custo total de malha, em que transporte, armazenagem, distribuição, transferência, estoque e tributos são avaliados de forma conjunta. A literatura de localização de instalações e desenho de redes fornece a base conceitual para comparar configurações, mas a aplicação neste projeto é uma simulação paramétrica apoiada nos dados disponíveis.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núcleo de comparação é determinístico: fixados dados, parâmetros, cenário, regime tributário e seed quando aplicável, o resultado é reproduzível. A camada Monte Carlo altera drivers por amostragem gaussiana limitada e recalcula o cenário. Ela complementa a comparação, mas não transforma as premissas em estimativas empiricamente calibradas.</w:t>
      </w: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A palavra ‘probabilidade’ neste relatório refere-se à frequência observada nas amostras simuladas. Não deve ser interpretada como probabilidade estatística validada sem histórico adequado.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4 Metodologia e implementação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4.1 Arquitetura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projeto é uma aplicação web estática organizada por fases. A Fase 2 deriva e reconcilia o baseline; a Fase 3 constrói, simula, compara e avalia cenários; a Fase 4 gera candidatos e scores; a Fase 5 consolida stress tests, Monte Carlo, recomendação e audit trail. O motor tributário canônico fica em `assets/js/shared/tax`; os arquivos em `assets/js/core/tax` são aliases de compatibilidade quando necessários.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4.2 Baselines e saving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Foram separados o baseline estrutural atual e o baseline comparável. O primeiro preserva o cenário operacional atual e o regime vigente. O segundo preserva o cenário físico, mas usa o mesmo modo e regime tributário dos candidatos. Para um cenário s, o cálculo publicado é saving_abs = baseline_comparável − custo_s e saving_pct = saving_abs / baseline_comparável.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4.3 Monte Carlo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configuração canônica usa 300 iterações, seed 42 e perfil balanced. Os drivers incluem multiplicadores de frete e demanda, dias de estoque, WACC e multiplicador tributário, com choques compartilhados e idiossincráticos, limites e cálculo de percentis. Testes verificam reprodutibilidade com a mesma seed, diferença com seeds diferentes, quantidade de amostras, limites, efeito dos drivers, percentis e probabilidade de saving.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4.4 Transferência da Empresa 1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base da Empresa 1 não contém tarifa própria de transferência suficiente para todos os fluxos. O código mantém uma proxy explícita baseada em médias ponderadas de notas fiscais da Empresa 2, com taxas por UF e fallback de R$ 0,005/kg-km. Essa aproximação afeta os fluxos positivos da Empresa 1 e é registrada no resultado. As distâncias ausentes da matriz não são inventadas; a parcela definida pelo modelo é exposta como fallback de distribuição.</w:t>
      </w: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A afirmação correta não é ‘não há mistura de premissas’. A afirmação correta é que as empresas são separadas no fluxo de dados e que, na Empresa 1, existe uma proxy cross-company explicitamente identificada, testada e sujeita a sensibilidade.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4.5 Estoque e armazenagem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custo de estoque permanece no modo days_wacc_only: depende de demanda, dias de estoque e WACC. O código não aplica automaticamente 1/√n sobre todo o estoque, pois não há dados suficientes para separar estoque cíclico, estoque de segurança, lead time e variabilidade de demanda. Portanto, o saving não é atribuído à consolidação de estoque. A armazenagem segue a tabela quando há correspondência; na ausência, aplica a aproximação 0,65 + 0,35 × CDs ativos / CDs do baseline, identificada como proxy.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4.6 Scores, risco e robustez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Os perfis avaliados são custo mínimo, equilibrado, conservador e qualidade/serviço. Pesos, defaults e thresholds ficam no catálogo de premissas. Risco e robustez são índices de triagem compostos por regras e pesos; não são probabilidades de ocorrência. A normalização min-max é relativa ao conjunto de candidatos avaliado e o vencedor é apenas o melhor cenário dentro desse conjunto.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5 Resultados e reconciliação</w:t>
      </w:r>
    </w:p>
    <w:p>
      <w:pPr>
        <w:spacing w:before="120" w:after="80"/>
      </w:pPr>
      <w:r>
        <w:rPr>
          <w:b/>
          <w:color w:val="000000"/>
        </w:rPr>
        <w:t>Tabela 1 — Baselines canônicos por empresa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8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</w:t>
            </w:r>
          </w:p>
        </w:tc>
        <w:tc>
          <w:tcPr>
            <w:tcW w:type="dxa" w:w="2948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Baseline estrutural atual</w:t>
            </w:r>
          </w:p>
        </w:tc>
        <w:tc>
          <w:tcPr>
            <w:tcW w:type="dxa" w:w="3685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Baseline comparável reforma 2033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Empresa 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R$ 118.694.234,30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R$ 156.868.606,74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Empresa 2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R$ 49.655.885,59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R$ 85.105.332,59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diferença entre os dois baselines decorre do regime tributário, não de uma alteração silenciosa nos custos físicos. Na Empresa 1, o componente físico/logístico do baseline comparável é R$ 37.196.905,49 e o componente tributário é R$ 119.671.701,25. Na Empresa 2, os componentes são R$ 23.574.434,01 e R$ 61.530.898,58, respectivamente.</w:t>
      </w:r>
    </w:p>
    <w:p>
      <w:pPr>
        <w:spacing w:before="120" w:after="80"/>
      </w:pPr>
      <w:r>
        <w:rPr>
          <w:b/>
          <w:color w:val="000000"/>
        </w:rPr>
        <w:t>Tabela 2 — Recomendação por perfil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</w:t>
            </w:r>
          </w:p>
        </w:tc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181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Cenário</w:t>
            </w:r>
          </w:p>
        </w:tc>
        <w:tc>
          <w:tcPr>
            <w:tcW w:type="dxa" w:w="56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CDs</w:t>
            </w:r>
          </w:p>
        </w:tc>
        <w:tc>
          <w:tcPr>
            <w:tcW w:type="dxa" w:w="187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Custo total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Saving</w:t>
            </w:r>
          </w:p>
        </w:tc>
        <w:tc>
          <w:tcPr>
            <w:tcW w:type="dxa" w:w="85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Robustez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quatro perfis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empresa1_candidate_015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37,85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custo mínimo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empresa2_candidate_005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R$ 77.022.539,91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9,497399%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99,10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equilibrado, conservador e qualidade/serviço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empresa2_candidate_010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R$ 80.636.126,57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5,251382%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82,80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Empresa 1 é sensível à limitação do índice de robustez: o candidato de menor custo relativo não deve ser tratado como recomendação incondicional. Na Empresa 2, a mudança de vencedor demonstra que a decisão depende da função objetivo; por isso, uma única recomendação sem informar o perfil seria incompleta.</w:t>
      </w:r>
    </w:p>
    <w:p>
      <w:r>
        <w:br w:type="page"/>
      </w:r>
    </w:p>
    <w:p>
      <w:pPr>
        <w:spacing w:before="120" w:after="80"/>
      </w:pPr>
      <w:r>
        <w:rPr>
          <w:b/>
          <w:color w:val="000000"/>
        </w:rPr>
        <w:t>Tabela 3 — Resultado dos quatro perfis de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 w:val="true"/>
        </w:trPr>
        <w:tc>
          <w:tcPr>
            <w:tcW w:type="dxa" w:w="68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Pesos C/S/R/T/E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Vencedor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Custo</w:t>
            </w:r>
          </w:p>
        </w:tc>
        <w:tc>
          <w:tcPr>
            <w:tcW w:type="dxa" w:w="85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Saving</w:t>
            </w:r>
          </w:p>
        </w:tc>
        <w:tc>
          <w:tcPr>
            <w:tcW w:type="dxa" w:w="90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Concentração</w:t>
            </w:r>
          </w:p>
        </w:tc>
        <w:tc>
          <w:tcPr>
            <w:tcW w:type="dxa" w:w="68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Risco</w:t>
            </w:r>
          </w:p>
        </w:tc>
        <w:tc>
          <w:tcPr>
            <w:tcW w:type="dxa" w:w="68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Robustez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custo mínimo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75/5/5/10/5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18,25%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37,85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equilibrado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30/25/20/15/10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18,25%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37,85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conservador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15/25/45/5/10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18,25%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37,85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qualidade/serviço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10/55/20/5/10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18,25%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37,85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custo mínimo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75/5/5/10/5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candidate_005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R$ 77.022.539,91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9,497399%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53,98%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99,10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equilibrado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30/25/20/15/10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R$ 80.636.126,57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5,251382%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34,57%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82,80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conservador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15/25/45/5/10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R$ 80.636.126,57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5,251382%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34,57%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82,80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qualidade/serviço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10/55/20/5/10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candidate_010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R$ 80.636.126,57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5,251382%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34,57%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baixo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82,80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20" w:after="80"/>
      </w:pPr>
      <w:r>
        <w:rPr>
          <w:b/>
          <w:color w:val="000000"/>
        </w:rPr>
        <w:t>Tabela 4 — Classes de reconciliação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8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Classe</w:t>
            </w:r>
          </w:p>
        </w:tc>
        <w:tc>
          <w:tcPr>
            <w:tcW w:type="dxa" w:w="255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Erro percentual absoluto</w:t>
            </w:r>
          </w:p>
        </w:tc>
        <w:tc>
          <w:tcPr>
            <w:tcW w:type="dxa" w:w="3969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até 3%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alinhado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tolerable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&gt;3% e até 10%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tolerável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divergent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&gt;10%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divergente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benchmark pendente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sem referência comparável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não calcular score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reconciliação só calcula erro quando há uma referência comparável e independente. O valor de um workbook de referência não é confundido com a saída simulada. Quando a referência não está disponível para a mesma definição de custo, o status correto é benchmark pendente.</w:t>
      </w:r>
    </w:p>
    <w:p>
      <w:pPr>
        <w:spacing w:before="120" w:after="80"/>
      </w:pPr>
      <w:r>
        <w:rPr>
          <w:b/>
          <w:color w:val="000000"/>
        </w:rPr>
        <w:t>Tabela 5 — Reconciliação do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62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Métrica</w:t>
            </w:r>
          </w:p>
        </w:tc>
        <w:tc>
          <w:tcPr>
            <w:tcW w:type="dxa" w:w="158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Referência</w:t>
            </w:r>
          </w:p>
        </w:tc>
        <w:tc>
          <w:tcPr>
            <w:tcW w:type="dxa" w:w="158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Simulado</w:t>
            </w:r>
          </w:p>
        </w:tc>
        <w:tc>
          <w:tcPr>
            <w:tcW w:type="dxa" w:w="85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Erro abs.</w:t>
            </w:r>
          </w:p>
        </w:tc>
        <w:tc>
          <w:tcPr>
            <w:tcW w:type="dxa" w:w="73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Erro %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operacional/tributário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não disponível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R$ 118.694.234,30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—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benchmark pendente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transferência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R$ 3.148.100,51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R$ 3.148.100,51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distribuição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R$ 7.637.802,74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R$ 7.637.802,74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armazenagem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R$ 8.647.999,46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R$ 8.647.999,46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estoque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R$ 4.140.531,30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R$ 4.140.531,30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tributação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R$ 26.081.451,58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R$ 26.081.451,58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frete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R$ 10.785.903,25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R$ 10.785.903,25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logística total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R$ 23.574.434,01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R$ 23.574.434,01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total com tributos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R$ 49.655.885,59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R$ 49.655.885,59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R$ 0,00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0,000%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aligned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b/>
          <w:color w:val="000000"/>
        </w:rPr>
        <w:t>Tabela 6 — Decomposição dos cenários canônicos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130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Empresa/cenário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Transferência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Distribuição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Armazenagem</w:t>
            </w:r>
          </w:p>
        </w:tc>
        <w:tc>
          <w:tcPr>
            <w:tcW w:type="dxa" w:w="102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Estoque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Tributos (impacto parametrizado; proxy E1)</w:t>
            </w:r>
          </w:p>
        </w:tc>
        <w:tc>
          <w:tcPr>
            <w:tcW w:type="dxa" w:w="141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E1 candidate_015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R$ 5.506.011,19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R$ 13.765.027,97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R$ 11.378.198,43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R$ 4.975.867,38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R$ 119.671.701,25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R$ 155.296.806,21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E2 candidate_005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R$ 3.148.100,51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R$ 7.637.802,74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R$ 565.206,78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R$ 4.140.531,30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R$ 61.530.898,58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R$ 77.022.539,91</w:t>
            </w:r>
          </w:p>
        </w:tc>
      </w:tr>
      <w:tr>
        <w:trPr>
          <w:cantSplit w:val="true"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E2 candidate_010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R$ 3.148.100,51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R$ 7.637.802,74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R$ 4.178.793,44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R$ 4.140.531,30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R$ 61.530.898,58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R$ 80.636.126,57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b/>
          <w:color w:val="000000"/>
        </w:rPr>
        <w:t>Tabela 7 — Fallbacks e limitações auditáveis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Elemento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Classificação</w:t>
            </w:r>
          </w:p>
        </w:tc>
        <w:tc>
          <w:tcPr>
            <w:tcW w:type="dxa" w:w="255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Valor/unidade</w:t>
            </w:r>
          </w:p>
        </w:tc>
        <w:tc>
          <w:tcPr>
            <w:tcW w:type="dxa" w:w="3118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Condição e efeito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Transferência E1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proxy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taxas por UF; fallback R$ 0,005/kg-km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distância/tarifa própria ausente; afeta fluxos E1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Distribuição E1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fallback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40% do custo de distribuição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distância não recuperável; não inventa distância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Frete E2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fallback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2,5% da receita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linha CIF ausente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Armazenagem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proxy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0,65 + 0,35 × CDs/baseline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CD sem correspondência na tabela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Estoque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parâmetro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45 dias; WACC 15% a.a.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modo days_wacc_only; sem pooling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Monte Carlo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parâmetro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300; seed 42; spreads manuais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camada exploratória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Qualidade/risco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fallback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quality 70; penalidades 18/8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dados ausentes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Recomendação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parâmetro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robustez 70/45; MC 65%/50%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régua decisória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Reconciliação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parâmetro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3%/10%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classificação de desvios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Na Tabela 6, “Tributos” representa impacto tributário parametrizado, não custo tributário real nem validação fiscal. Na Empresa 1, a parcela também deve ser lida junto da proxy explicitada na Tabela 7. A tabela de resultados original apresentava valores arredondados próximos de R$ 161 milhões, R$ 158 milhões e R$ 159 milhões, mas savings de 1,18% e 1,12% que não eram compatíveis com esses arredondamentos. A causa operacional foi a comparação com uma base não equivalente. Nesta versão, os valores são derivados do baseline comparável e recebem casas decimais suficientes para permitir a conferência.</w:t>
      </w:r>
    </w:p>
    <w:p>
      <w:pPr>
        <w:spacing w:before="120" w:after="80"/>
      </w:pPr>
      <w:r>
        <w:rPr>
          <w:b/>
          <w:color w:val="000000"/>
        </w:rPr>
        <w:t>Tabela 8 — Cobertura observada dos fallbacks nos cenários publicados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153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Empresa/cenário</w:t>
            </w:r>
          </w:p>
        </w:tc>
        <w:tc>
          <w:tcPr>
            <w:tcW w:type="dxa" w:w="56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Fluxos</w:t>
            </w:r>
          </w:p>
        </w:tc>
        <w:tc>
          <w:tcPr>
            <w:tcW w:type="dxa" w:w="147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Proxy transferência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Distância ausente</w:t>
            </w:r>
          </w:p>
        </w:tc>
        <w:tc>
          <w:tcPr>
            <w:tcW w:type="dxa" w:w="124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Fallback receita</w:t>
            </w:r>
          </w:p>
        </w:tc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Estoque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E1 candidate_015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36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36/36 (100%)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36/36 (100%)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0/36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36 fluxos; sem pooling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E2 candidate_005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0/76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0/76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7/76 (9,21%)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76 fluxos; sem pooling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E2 candidate_010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76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0/76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0/76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0/76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76 fluxos; sem pooling</w:t>
            </w:r>
          </w:p>
        </w:tc>
      </w:tr>
    </w:tbl>
    <w:p>
      <w:pPr>
        <w:spacing w:after="0"/>
      </w:pP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Na Empresa 1, a cobertura de distância ausente é total nos fluxos avaliados; por isso, a recomendação é indicativa até que a matriz seja corrigida. Na Empresa 2, o fallback de receita aparece somente nos fluxos em que a tarifa de transferência não está disponível.</w:t>
      </w:r>
    </w:p>
    <w:p>
      <w:pPr>
        <w:spacing w:before="120" w:after="80"/>
      </w:pPr>
      <w:r>
        <w:rPr>
          <w:b/>
          <w:color w:val="000000"/>
        </w:rPr>
        <w:t>Tabela 9 — Sensibilidade do saving à proxy de transferência da Empresa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8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Multiplicador da taxa</w:t>
            </w:r>
          </w:p>
        </w:tc>
        <w:tc>
          <w:tcPr>
            <w:tcW w:type="dxa" w:w="255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Saving do candidate_015</w:t>
            </w:r>
          </w:p>
        </w:tc>
        <w:tc>
          <w:tcPr>
            <w:tcW w:type="dxa" w:w="2835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0,75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1,879473%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proxy 25% menor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1,001985%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configuração canônica</w:t>
            </w:r>
          </w:p>
        </w:tc>
      </w:tr>
      <w:tr>
        <w:trPr>
          <w:cantSplit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1,25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0,124498%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proxy 25% maior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5.1 Resultado Monte Carlo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O Monte Carlo deve ser lido como análise exploratória de incerteza. A média, mediana, percentis e probabilidade de saving são calculados sobre amostras limitadas pelos bounds do modelo. Como os spreads não foram calibrados por histórico, o resultado informa sensibilidade às premissas e não uma previsão estatística validada.</w:t>
      </w:r>
    </w:p>
    <w:p>
      <w:pPr>
        <w:spacing w:before="120" w:after="80"/>
      </w:pPr>
      <w:r>
        <w:rPr>
          <w:b/>
          <w:color w:val="000000"/>
        </w:rPr>
        <w:t>Tabela 10 — Saída Monte Carlo exploratória da Empresa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 w:val="true"/>
        </w:trPr>
        <w:tc>
          <w:tcPr>
            <w:tcW w:type="dxa" w:w="187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Configuração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Média do custo</w:t>
            </w:r>
          </w:p>
        </w:tc>
        <w:tc>
          <w:tcPr>
            <w:tcW w:type="dxa" w:w="136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Mediana do custo</w:t>
            </w:r>
          </w:p>
        </w:tc>
        <w:tc>
          <w:tcPr>
            <w:tcW w:type="dxa" w:w="96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P10 saving</w:t>
            </w:r>
          </w:p>
        </w:tc>
        <w:tc>
          <w:tcPr>
            <w:tcW w:type="dxa" w:w="96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P50 saving</w:t>
            </w:r>
          </w:p>
        </w:tc>
        <w:tc>
          <w:tcPr>
            <w:tcW w:type="dxa" w:w="96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P90 saving</w:t>
            </w:r>
          </w:p>
        </w:tc>
        <w:tc>
          <w:tcPr>
            <w:tcW w:type="dxa" w:w="113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P(saving &gt; 0)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300 iterações; seed 42; balanced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R$ 81.075.432,57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R$ 81.096.647,68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-2,598700%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4,710263%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11,809160%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80,3333%</w:t>
            </w:r>
          </w:p>
        </w:tc>
      </w:tr>
    </w:tbl>
    <w:p>
      <w:pPr>
        <w:spacing w:after="0"/>
      </w:pP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Os números desta tabela são exploratórios e não fundamentam os totais determinísticos nem a recomendação principal. A execução da Empresa 1 também é registrada nos artefatos de prova, mas não é publicada aqui como previsão; os spreads continuam sem calibração histórica.</w:t>
      </w:r>
    </w:p>
    <w:p>
      <w:pPr>
        <w:pStyle w:val="Heading2"/>
        <w:keepNext/>
        <w:spacing w:before="120" w:after="80"/>
      </w:pPr>
      <w:r>
        <w:rPr>
          <w:rFonts w:ascii="Arial" w:hAnsi="Arial" w:eastAsia="Arial"/>
          <w:b/>
          <w:color w:val="000000"/>
        </w:rPr>
        <w:t>5.2 Sensibilidade da recomendação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Na Empresa 1, a sensibilidade da taxa de transferência da proxy, com multiplicadores de 0,75, 1,00 e 1,25, produz savings de aproximadamente 1,879473%, 1,001985% e 0,124498% para o candidato canônico. Essa faixa evidencia que a conclusão econômica depende da premissa cross-company e deve ser confirmada com dados próprios antes de uma decisão de implantação.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6 Validação, reprodutibilidade e auditoria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validação inclui instalação limpa, padrões de código, contratos de módulos, paths, criptografia, servidor HTTP, lógica das fases, tributação, Monte Carlo, score, estoque, fallbacks, reconciliação, exportação, E2E desktop/mobile, rotas inválidas, localStorage corrompido e bloqueio por senha. Os testes verificam valores e relações matemáticas, não apenas a existência de arquivos.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branch de preservação mantém o estado anterior à correção. A branch de trabalho concentra commits semânticos e não contém a senha dos dados. O CI executa a suíte pública automaticamente e falha explicitamente quando o secret protegido não está configurado; a suíte protegida só pode ser aprovada em ambiente com credencial legítima.</w:t>
      </w:r>
    </w:p>
    <w:p>
      <w:pPr>
        <w:spacing w:before="80" w:after="160" w:line="252" w:lineRule="auto"/>
        <w:ind w:left="567" w:right="567"/>
      </w:pPr>
      <w:r>
        <w:rPr>
          <w:rFonts w:ascii="Arial" w:hAnsi="Arial" w:eastAsia="Arial"/>
          <w:b/>
          <w:color w:val="000000"/>
          <w:sz w:val="20"/>
        </w:rPr>
        <w:t xml:space="preserve">Nota metodológica. </w:t>
      </w:r>
      <w:r>
        <w:rPr>
          <w:rFonts w:ascii="Arial" w:hAnsi="Arial" w:eastAsia="Arial"/>
          <w:color w:val="000000"/>
          <w:sz w:val="20"/>
        </w:rPr>
        <w:t>As Rodadas 1 e 2 só são consideradas aprovadas quando executadas após o último commit, em ambientes novos, sem falhas, sem warnings sem justificativa e com inspeção visual de todas as páginas do PDF revisado.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7 Conclusão e limitações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A versão revisada entrega uma comparação de cenários mais consistente porque alinha baseline e regime tributário, explicita proxies, remove a atribuição indevida de pooling de estoque, centraliza fallbacks e verifica a aritmética dos savings. A decisão para a Empresa 1 deve ser tratada como indicativa e condicionada à substituição da proxy de transferência e à melhoria da matriz de distâncias. Para a Empresa 2, a configuração recomendada depende do perfil de decisão, com vantagem de custo para 1 CD e maior equilíbrio para 2 CDs.</w:t>
      </w:r>
    </w:p>
    <w:p>
      <w:pPr>
        <w:spacing w:line="276" w:lineRule="auto" w:after="120"/>
        <w:ind w:firstLine="709"/>
        <w:jc w:val="both"/>
      </w:pPr>
      <w:r>
        <w:rPr>
          <w:rFonts w:ascii="Arial" w:hAnsi="Arial" w:eastAsia="Arial"/>
          <w:color w:val="000000"/>
          <w:sz w:val="22"/>
        </w:rPr>
        <w:t>Permanecem limitações legítimas: ausência de calibração histórica do Monte Carlo; qualidade e robustez como índices parametrizados; cobertura incompleta de distâncias; armazenagem proporcional em correspondências ausentes; estoque sem pooling explícito; e camada tributária como impacto parametrizado, não validação fiscal. Essas limitações são parte do resultado e devem acompanhar qualquer uso do simulador.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Referências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BALLOU, Ronald H. Gerenciamento da cadeia de suprimentos/logística empresarial. Porto Alegre: Bookman, 2006.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BANKS, Jerry et al. Discrete-event system simulation. 5. ed. Upper Saddle River: Prentice Hall, 2010.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BRASIL. Emenda Constitucional n. 132, de 20 de dezembro de 2023. Brasília, DF, 2023.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CHOPRA, Sunil; MEINDL, Peter. Supply chain management: strategy, planning, and operation. 6. ed. Boston: Pearson, 2016.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EPPEN, Gary D. Effects of centralization on expected costs in a multi-location newsboy problem. Management Science, v. 25, n. 5, p. 498–501, 1979.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GEOFFRION, Arthur M.; GRAVES, George W. Multicommodity distribution system design by Benders decomposition. Management Science, v. 20, n. 5, p. 822–844, 1974.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KLOSE, Andreas; DREXL, Andreas. Facility location models for distribution system design. European Journal of Operational Research, v. 162, n. 1, p. 4–29, 2005.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LAW, Averill M. Simulation modeling and analysis. 5. ed. New York: McGraw-Hill, 2015.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MELO, M. T.; NICKEL, S.; SALDANHA-DA-GAMA, F. Facility location and supply chain management: a review. European Journal of Operational Research, v. 196, n. 2, p. 401–412, 2009.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RECEITA FEDERAL. Reforma tributária: materiais institucionais e legislação aplicável. Brasília, 2024.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SALTELLI, Andrea et al. Global sensitivity analysis: the primer. Chichester: Wiley, 2008.</w:t>
      </w:r>
    </w:p>
    <w:p>
      <w:pPr>
        <w:spacing w:after="120"/>
        <w:ind w:left="0" w:firstLine="0"/>
      </w:pPr>
      <w:r>
        <w:rPr>
          <w:rFonts w:ascii="Arial" w:hAnsi="Arial"/>
          <w:color w:val="000000"/>
          <w:sz w:val="20"/>
        </w:rPr>
        <w:t>SCHOEMAKER, Paul J. H. Scenario planning: a tool for strategic thinking. Sloan Management Review, v. 36, n. 2, p. 25–40, 1995.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</w:rPr>
        <w:t>Apêndice A — Matriz de correções</w:t>
      </w:r>
    </w:p>
    <w:p>
      <w:pPr>
        <w:spacing w:before="120" w:after="80"/>
      </w:pPr>
      <w:r>
        <w:rPr>
          <w:b/>
          <w:color w:val="000000"/>
        </w:rPr>
        <w:t>Tabela 11 — Rastreabilidade da revisão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Crítica</w:t>
            </w:r>
          </w:p>
        </w:tc>
        <w:tc>
          <w:tcPr>
            <w:tcW w:type="dxa" w:w="2268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Arquivo/módulo</w:t>
            </w:r>
          </w:p>
        </w:tc>
        <w:tc>
          <w:tcPr>
            <w:tcW w:type="dxa" w:w="3402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Resposta</w:t>
            </w:r>
          </w:p>
        </w:tc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00000"/>
                <w:sz w:val="16"/>
              </w:rPr>
              <w:t>Regressão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Monte Carlo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monte-carlo-engine.js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camada probabilística complementar, drivers e seed auditáveis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test_phase3_logic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Calibração cruzada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physical-cost-engine.js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proxy E1 explícita e sensibilidade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test_phase3_assumptions_logic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Estoque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physical-cost-engine.js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days_wacc_only e warning de pooling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test_phase3_assumptions_logic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Tributação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shared/tax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fonte canônica; três arquivos mortos removidos; aliases necessários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test_tax_aliases_and_regimes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Baseline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optimizer-utils.js; reconciliation-engine.js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mesmo regime e régua única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test_phase4_scoring_logic; test_phase2_reconciliation_logic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Entrega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README; quality.yml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execução pública/protegida e CI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check_package; code_standards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 xml:space="preserve">Visagio — Sprint 4 | </w:t>
    </w: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