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Validation Report</w:t>
      </w:r>
    </w:p>
    <w:p>
      <w:pPr>
        <w:pStyle w:val="Subtitle"/>
      </w:pPr>
      <w:r>
        <w:t>Omnira — Mobile Intelligence &amp; Device Control · Canonical Edition v1.0 — APPROVED · utgåva r3, BL-06 och BL-07</w:t>
      </w:r>
    </w:p>
    <w:p/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tblHeader/>
        </w:trPr>
        <w:tc>
          <w:tcPr>
            <w:tcW w:type="dxa" w:w="2154"/>
          </w:tcPr>
          <w:p>
            <w:pPr>
              <w:jc w:val="left"/>
            </w:pPr>
            <w:r>
              <w:rPr>
                <w:rFonts w:ascii="Lato" w:hAnsi="Lato"/>
                <w:b/>
                <w:sz w:val="17"/>
              </w:rPr>
              <w:t>Fält</w:t>
            </w:r>
          </w:p>
        </w:tc>
        <w:tc>
          <w:tcPr>
            <w:tcW w:type="dxa" w:w="6917"/>
          </w:tcPr>
          <w:p>
            <w:pPr>
              <w:jc w:val="left"/>
            </w:pPr>
            <w:r>
              <w:rPr>
                <w:rFonts w:ascii="Lato" w:hAnsi="Lato"/>
                <w:b/>
                <w:sz w:val="17"/>
              </w:rPr>
              <w:t>Värde</w:t>
            </w:r>
          </w:p>
        </w:tc>
      </w:tr>
      <w:tr>
        <w:tc>
          <w:tcPr>
            <w:tcW w:type="dxa" w:w="2154"/>
          </w:tcPr>
          <w:p>
            <w:pPr>
              <w:spacing w:after="20"/>
              <w:jc w:val="left"/>
            </w:pPr>
            <w:r>
              <w:rPr>
                <w:sz w:val="17"/>
              </w:rPr>
              <w:t>Rapporttyp</w:t>
            </w:r>
          </w:p>
        </w:tc>
        <w:tc>
          <w:tcPr>
            <w:tcW w:type="dxa" w:w="6917"/>
          </w:tcPr>
          <w:p>
            <w:pPr>
              <w:spacing w:after="20"/>
              <w:jc w:val="left"/>
            </w:pPr>
            <w:r>
              <w:rPr>
                <w:sz w:val="17"/>
              </w:rPr>
              <w:t>Strikt korrigering av framtida godkännandevillkor</w:t>
            </w:r>
          </w:p>
        </w:tc>
      </w:tr>
      <w:tr>
        <w:tc>
          <w:tcPr>
            <w:tcW w:type="dxa" w:w="2154"/>
          </w:tcPr>
          <w:p>
            <w:pPr>
              <w:spacing w:after="20"/>
              <w:jc w:val="left"/>
            </w:pPr>
            <w:r>
              <w:rPr>
                <w:sz w:val="17"/>
              </w:rPr>
              <w:t>Godkännandestatus</w:t>
            </w:r>
          </w:p>
        </w:tc>
        <w:tc>
          <w:tcPr>
            <w:tcW w:type="dxa" w:w="6917"/>
          </w:tcPr>
          <w:p>
            <w:pPr>
              <w:spacing w:after="20"/>
              <w:jc w:val="left"/>
            </w:pPr>
            <w:r>
              <w:rPr>
                <w:sz w:val="17"/>
              </w:rPr>
              <w:t>APPROVED</w:t>
            </w:r>
          </w:p>
        </w:tc>
      </w:tr>
      <w:tr>
        <w:tc>
          <w:tcPr>
            <w:tcW w:type="dxa" w:w="2154"/>
          </w:tcPr>
          <w:p>
            <w:pPr>
              <w:spacing w:after="20"/>
              <w:jc w:val="left"/>
            </w:pPr>
            <w:r>
              <w:rPr>
                <w:sz w:val="17"/>
              </w:rPr>
              <w:t>Godkänd av</w:t>
            </w:r>
          </w:p>
        </w:tc>
        <w:tc>
          <w:tcPr>
            <w:tcW w:type="dxa" w:w="6917"/>
          </w:tcPr>
          <w:p>
            <w:pPr>
              <w:spacing w:after="20"/>
              <w:jc w:val="left"/>
            </w:pPr>
            <w:r>
              <w:rPr>
                <w:sz w:val="17"/>
              </w:rPr>
              <w:t>André Hultgren</w:t>
            </w:r>
          </w:p>
        </w:tc>
      </w:tr>
      <w:tr>
        <w:tc>
          <w:tcPr>
            <w:tcW w:type="dxa" w:w="2154"/>
          </w:tcPr>
          <w:p>
            <w:pPr>
              <w:spacing w:after="20"/>
              <w:jc w:val="left"/>
            </w:pPr>
            <w:r>
              <w:rPr>
                <w:sz w:val="17"/>
              </w:rPr>
              <w:t>Godkännandedatum</w:t>
            </w:r>
          </w:p>
        </w:tc>
        <w:tc>
          <w:tcPr>
            <w:tcW w:type="dxa" w:w="6917"/>
          </w:tcPr>
          <w:p>
            <w:pPr>
              <w:spacing w:after="20"/>
              <w:jc w:val="left"/>
            </w:pPr>
            <w:r>
              <w:rPr>
                <w:sz w:val="17"/>
              </w:rPr>
              <w:t>2026-07-30</w:t>
            </w:r>
          </w:p>
        </w:tc>
      </w:tr>
      <w:tr>
        <w:tc>
          <w:tcPr>
            <w:tcW w:type="dxa" w:w="2154"/>
          </w:tcPr>
          <w:p>
            <w:pPr>
              <w:spacing w:after="20"/>
              <w:jc w:val="left"/>
            </w:pPr>
            <w:r>
              <w:rPr>
                <w:sz w:val="17"/>
              </w:rPr>
              <w:t>Utgångsläge</w:t>
            </w:r>
          </w:p>
        </w:tc>
        <w:tc>
          <w:tcPr>
            <w:tcW w:type="dxa" w:w="6917"/>
          </w:tcPr>
          <w:p>
            <w:pPr>
              <w:spacing w:after="20"/>
              <w:jc w:val="left"/>
            </w:pPr>
            <w:r>
              <w:rPr>
                <w:sz w:val="17"/>
              </w:rPr>
              <w:t>Canonical-Edition-v1.0-APPROVED-r2 (bevarad oförändrad)</w:t>
            </w:r>
          </w:p>
        </w:tc>
      </w:tr>
      <w:tr>
        <w:tc>
          <w:tcPr>
            <w:tcW w:type="dxa" w:w="2154"/>
          </w:tcPr>
          <w:p>
            <w:pPr>
              <w:spacing w:after="20"/>
              <w:jc w:val="left"/>
            </w:pPr>
            <w:r>
              <w:rPr>
                <w:sz w:val="17"/>
              </w:rPr>
              <w:t>Utfall</w:t>
            </w:r>
          </w:p>
        </w:tc>
        <w:tc>
          <w:tcPr>
            <w:tcW w:type="dxa" w:w="6917"/>
          </w:tcPr>
          <w:p>
            <w:pPr>
              <w:spacing w:after="20"/>
              <w:jc w:val="left"/>
            </w:pPr>
            <w:r>
              <w:rPr>
                <w:sz w:val="17"/>
              </w:rPr>
              <w:t>GENOMFÖRT — exakt 2 stycken ändrade, 0 andra textändringar</w:t>
            </w:r>
          </w:p>
        </w:tc>
      </w:tr>
      <w:tr>
        <w:tc>
          <w:tcPr>
            <w:tcW w:type="dxa" w:w="2154"/>
          </w:tcPr>
          <w:p>
            <w:pPr>
              <w:spacing w:after="20"/>
              <w:jc w:val="left"/>
            </w:pPr>
            <w:r>
              <w:rPr>
                <w:sz w:val="17"/>
              </w:rPr>
              <w:t>Stage 1</w:t>
            </w:r>
          </w:p>
        </w:tc>
        <w:tc>
          <w:tcPr>
            <w:tcW w:type="dxa" w:w="6917"/>
          </w:tcPr>
          <w:p>
            <w:pPr>
              <w:spacing w:after="20"/>
              <w:jc w:val="left"/>
            </w:pPr>
            <w:r>
              <w:rPr>
                <w:sz w:val="17"/>
              </w:rPr>
              <w:t>Ej påbörjad</w:t>
            </w:r>
          </w:p>
        </w:tc>
      </w:tr>
    </w:tbl>
    <w:p/>
    <w:p>
      <w:pPr>
        <w:pStyle w:val="Heading1"/>
      </w:pPr>
      <w:r>
        <w:t>1. De två ändringarna</w:t>
      </w:r>
    </w:p>
    <w:p>
      <w:r>
        <w:t>BL-06 var det stycke du pekade ut. Under arbetet hittade jag ett andra stycke av exakt samma typ i Decision Register. Du godkände att båda rättas. Ingen annan text har ändrats.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/>
        </w:trPr>
        <w:tc>
          <w:tcPr>
            <w:tcW w:type="dxa" w:w="794"/>
          </w:tcPr>
          <w:p>
            <w:pPr>
              <w:jc w:val="left"/>
            </w:pPr>
            <w:r>
              <w:rPr>
                <w:rFonts w:ascii="Lato" w:hAnsi="Lato"/>
                <w:b/>
                <w:sz w:val="17"/>
              </w:rPr>
              <w:t>#</w:t>
            </w:r>
          </w:p>
        </w:tc>
        <w:tc>
          <w:tcPr>
            <w:tcW w:type="dxa" w:w="2381"/>
          </w:tcPr>
          <w:p>
            <w:pPr>
              <w:jc w:val="left"/>
            </w:pPr>
            <w:r>
              <w:rPr>
                <w:rFonts w:ascii="Lato" w:hAnsi="Lato"/>
                <w:b/>
                <w:sz w:val="17"/>
              </w:rPr>
              <w:t>Plats</w:t>
            </w:r>
          </w:p>
        </w:tc>
        <w:tc>
          <w:tcPr>
            <w:tcW w:type="dxa" w:w="2948"/>
          </w:tcPr>
          <w:p>
            <w:pPr>
              <w:jc w:val="left"/>
            </w:pPr>
            <w:r>
              <w:rPr>
                <w:rFonts w:ascii="Lato" w:hAnsi="Lato"/>
                <w:b/>
                <w:sz w:val="17"/>
              </w:rPr>
              <w:t>Före</w:t>
            </w:r>
          </w:p>
        </w:tc>
        <w:tc>
          <w:tcPr>
            <w:tcW w:type="dxa" w:w="2948"/>
          </w:tcPr>
          <w:p>
            <w:pPr>
              <w:jc w:val="left"/>
            </w:pPr>
            <w:r>
              <w:rPr>
                <w:rFonts w:ascii="Lato" w:hAnsi="Lato"/>
                <w:b/>
                <w:sz w:val="17"/>
              </w:rPr>
              <w:t>Efter</w:t>
            </w:r>
          </w:p>
        </w:tc>
      </w:tr>
      <w:tr>
        <w:tc>
          <w:tcPr>
            <w:tcW w:type="dxa" w:w="794"/>
          </w:tcPr>
          <w:p>
            <w:pPr>
              <w:spacing w:after="20"/>
              <w:jc w:val="left"/>
            </w:pPr>
            <w:r>
              <w:rPr>
                <w:sz w:val="17"/>
              </w:rPr>
              <w:t>BL-06</w:t>
            </w:r>
          </w:p>
        </w:tc>
        <w:tc>
          <w:tcPr>
            <w:tcW w:type="dxa" w:w="2381"/>
          </w:tcPr>
          <w:p>
            <w:pPr>
              <w:spacing w:after="20"/>
              <w:jc w:val="left"/>
            </w:pPr>
            <w:r>
              <w:rPr>
                <w:sz w:val="17"/>
              </w:rPr>
              <w:t>Book Architecture and Chapter Plan §21 Godkännandestatus</w:t>
            </w:r>
          </w:p>
        </w:tc>
        <w:tc>
          <w:tcPr>
            <w:tcW w:type="dxa" w:w="2948"/>
          </w:tcPr>
          <w:p>
            <w:pPr>
              <w:spacing w:after="20"/>
              <w:jc w:val="left"/>
            </w:pPr>
            <w:r>
              <w:rPr>
                <w:sz w:val="17"/>
              </w:rPr>
              <w:t>Det blir inte Canonical Approved förrän André uttryckligen godkänner:</w:t>
            </w:r>
          </w:p>
        </w:tc>
        <w:tc>
          <w:tcPr>
            <w:tcW w:type="dxa" w:w="2948"/>
          </w:tcPr>
          <w:p>
            <w:pPr>
              <w:spacing w:after="20"/>
              <w:jc w:val="left"/>
            </w:pPr>
            <w:r>
              <w:rPr>
                <w:sz w:val="17"/>
              </w:rPr>
              <w:t>Canonical approval beviljades 2026-07-30 efter att André uttryckligen godkänt:</w:t>
            </w:r>
          </w:p>
        </w:tc>
      </w:tr>
      <w:tr>
        <w:tc>
          <w:tcPr>
            <w:tcW w:type="dxa" w:w="794"/>
          </w:tcPr>
          <w:p>
            <w:pPr>
              <w:spacing w:after="20"/>
              <w:jc w:val="left"/>
            </w:pPr>
            <w:r>
              <w:rPr>
                <w:sz w:val="17"/>
              </w:rPr>
              <w:t>BL-07</w:t>
            </w:r>
          </w:p>
        </w:tc>
        <w:tc>
          <w:tcPr>
            <w:tcW w:type="dxa" w:w="2381"/>
          </w:tcPr>
          <w:p>
            <w:pPr>
              <w:spacing w:after="20"/>
              <w:jc w:val="left"/>
            </w:pPr>
            <w:r>
              <w:rPr>
                <w:sz w:val="17"/>
              </w:rPr>
              <w:t>Decision Register, avsnitt Slutstatus</w:t>
            </w:r>
          </w:p>
        </w:tc>
        <w:tc>
          <w:tcPr>
            <w:tcW w:type="dxa" w:w="2948"/>
          </w:tcPr>
          <w:p>
            <w:pPr>
              <w:spacing w:after="20"/>
              <w:jc w:val="left"/>
            </w:pPr>
            <w:r>
              <w:rPr>
                <w:sz w:val="17"/>
              </w:rPr>
              <w:t>Dokumentet får inte klassificeras som Canonical Approved förrän André har granskat och uttryckligen godkänt det.</w:t>
            </w:r>
          </w:p>
        </w:tc>
        <w:tc>
          <w:tcPr>
            <w:tcW w:type="dxa" w:w="2948"/>
          </w:tcPr>
          <w:p>
            <w:pPr>
              <w:spacing w:after="20"/>
              <w:jc w:val="left"/>
            </w:pPr>
            <w:r>
              <w:rPr>
                <w:sz w:val="17"/>
              </w:rPr>
              <w:t>Dokumentet granskades och godkändes uttryckligen av André 2026-07-30 och är klassificerat som Canonical Approved.</w:t>
            </w:r>
          </w:p>
        </w:tc>
      </w:tr>
    </w:tbl>
    <w:p/>
    <w:p>
      <w:r>
        <w:t>Uppräkningen efter BL-06-stycket — boktitel, 32-kapitelsstrukturen, delindelningen, kapitelordningen, kapitelmandaten, kontraktsnumreringen, slutleveransplanen — är oförändrad och läser nu korrekt som det som faktiskt godkändes.</w:t>
      </w:r>
    </w:p>
    <w:p>
      <w:pPr>
        <w:pStyle w:val="Heading1"/>
      </w:pPr>
      <w:r>
        <w:t>2. Verifiering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/>
        </w:trPr>
        <w:tc>
          <w:tcPr>
            <w:tcW w:type="dxa" w:w="4309"/>
          </w:tcPr>
          <w:p>
            <w:pPr>
              <w:jc w:val="left"/>
            </w:pPr>
            <w:r>
              <w:rPr>
                <w:rFonts w:ascii="Lato" w:hAnsi="Lato"/>
                <w:b/>
                <w:sz w:val="17"/>
              </w:rPr>
              <w:t>Kontroll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rFonts w:ascii="Lato" w:hAnsi="Lato"/>
                <w:b/>
                <w:sz w:val="17"/>
              </w:rPr>
              <w:t>Resultat</w:t>
            </w:r>
          </w:p>
        </w:tc>
        <w:tc>
          <w:tcPr>
            <w:tcW w:type="dxa" w:w="1361"/>
          </w:tcPr>
          <w:p>
            <w:pPr>
              <w:jc w:val="left"/>
            </w:pPr>
            <w:r>
              <w:rPr>
                <w:rFonts w:ascii="Lato" w:hAnsi="Lato"/>
                <w:b/>
                <w:sz w:val="17"/>
              </w:rPr>
              <w:t>Status</w:t>
            </w:r>
          </w:p>
        </w:tc>
      </w:tr>
      <w:tr>
        <w:tc>
          <w:tcPr>
            <w:tcW w:type="dxa" w:w="4309"/>
          </w:tcPr>
          <w:p>
            <w:pPr>
              <w:spacing w:after="20"/>
              <w:jc w:val="left"/>
            </w:pPr>
            <w:r>
              <w:rPr>
                <w:sz w:val="17"/>
              </w:rPr>
              <w:t>Stycken totalt, före → efter</w:t>
            </w:r>
          </w:p>
        </w:tc>
        <w:tc>
          <w:tcPr>
            <w:tcW w:type="dxa" w:w="3402"/>
          </w:tcPr>
          <w:p>
            <w:pPr>
              <w:spacing w:after="20"/>
              <w:jc w:val="left"/>
            </w:pPr>
            <w:r>
              <w:rPr>
                <w:sz w:val="17"/>
              </w:rPr>
              <w:t>53 012 → 53 012</w:t>
            </w:r>
          </w:p>
        </w:tc>
        <w:tc>
          <w:tcPr>
            <w:tcW w:type="dxa" w:w="1361"/>
          </w:tcPr>
          <w:p>
            <w:pPr>
              <w:spacing w:after="20"/>
              <w:jc w:val="left"/>
            </w:pPr>
            <w:r>
              <w:rPr>
                <w:sz w:val="17"/>
              </w:rPr>
              <w:t>OK</w:t>
            </w:r>
          </w:p>
        </w:tc>
      </w:tr>
      <w:tr>
        <w:tc>
          <w:tcPr>
            <w:tcW w:type="dxa" w:w="4309"/>
          </w:tcPr>
          <w:p>
            <w:pPr>
              <w:spacing w:after="20"/>
              <w:jc w:val="left"/>
            </w:pPr>
            <w:r>
              <w:rPr>
                <w:sz w:val="17"/>
              </w:rPr>
              <w:t>Stycken med skillnad</w:t>
            </w:r>
          </w:p>
        </w:tc>
        <w:tc>
          <w:tcPr>
            <w:tcW w:type="dxa" w:w="3402"/>
          </w:tcPr>
          <w:p>
            <w:pPr>
              <w:spacing w:after="20"/>
              <w:jc w:val="left"/>
            </w:pPr>
            <w:r>
              <w:rPr>
                <w:sz w:val="17"/>
              </w:rPr>
              <w:t>2</w:t>
            </w:r>
          </w:p>
        </w:tc>
        <w:tc>
          <w:tcPr>
            <w:tcW w:type="dxa" w:w="1361"/>
          </w:tcPr>
          <w:p>
            <w:pPr>
              <w:spacing w:after="20"/>
              <w:jc w:val="left"/>
            </w:pPr>
            <w:r>
              <w:rPr>
                <w:sz w:val="17"/>
              </w:rPr>
              <w:t>OK</w:t>
            </w:r>
          </w:p>
        </w:tc>
      </w:tr>
      <w:tr>
        <w:tc>
          <w:tcPr>
            <w:tcW w:type="dxa" w:w="4309"/>
          </w:tcPr>
          <w:p>
            <w:pPr>
              <w:spacing w:after="20"/>
              <w:jc w:val="left"/>
            </w:pPr>
            <w:r>
              <w:rPr>
                <w:sz w:val="17"/>
              </w:rPr>
              <w:t>Skillnader som matchar BL-06 eller BL-07</w:t>
            </w:r>
          </w:p>
        </w:tc>
        <w:tc>
          <w:tcPr>
            <w:tcW w:type="dxa" w:w="3402"/>
          </w:tcPr>
          <w:p>
            <w:pPr>
              <w:spacing w:after="20"/>
              <w:jc w:val="left"/>
            </w:pPr>
            <w:r>
              <w:rPr>
                <w:sz w:val="17"/>
              </w:rPr>
              <w:t>2 av 2</w:t>
            </w:r>
          </w:p>
        </w:tc>
        <w:tc>
          <w:tcPr>
            <w:tcW w:type="dxa" w:w="1361"/>
          </w:tcPr>
          <w:p>
            <w:pPr>
              <w:spacing w:after="20"/>
              <w:jc w:val="left"/>
            </w:pPr>
            <w:r>
              <w:rPr>
                <w:sz w:val="17"/>
              </w:rPr>
              <w:t>OK</w:t>
            </w:r>
          </w:p>
        </w:tc>
      </w:tr>
      <w:tr>
        <w:tc>
          <w:tcPr>
            <w:tcW w:type="dxa" w:w="4309"/>
          </w:tcPr>
          <w:p>
            <w:pPr>
              <w:spacing w:after="20"/>
              <w:jc w:val="left"/>
            </w:pPr>
            <w:r>
              <w:rPr>
                <w:sz w:val="17"/>
              </w:rPr>
              <w:t>Andra materiella textdiffar</w:t>
            </w:r>
          </w:p>
        </w:tc>
        <w:tc>
          <w:tcPr>
            <w:tcW w:type="dxa" w:w="3402"/>
          </w:tcPr>
          <w:p>
            <w:pPr>
              <w:spacing w:after="20"/>
              <w:jc w:val="left"/>
            </w:pPr>
            <w:r>
              <w:rPr>
                <w:sz w:val="17"/>
              </w:rPr>
              <w:t>0</w:t>
            </w:r>
          </w:p>
        </w:tc>
        <w:tc>
          <w:tcPr>
            <w:tcW w:type="dxa" w:w="1361"/>
          </w:tcPr>
          <w:p>
            <w:pPr>
              <w:spacing w:after="20"/>
              <w:jc w:val="left"/>
            </w:pPr>
            <w:r>
              <w:rPr>
                <w:sz w:val="17"/>
              </w:rPr>
              <w:t>OK</w:t>
            </w:r>
          </w:p>
        </w:tc>
      </w:tr>
      <w:tr>
        <w:tc>
          <w:tcPr>
            <w:tcW w:type="dxa" w:w="4309"/>
          </w:tcPr>
          <w:p>
            <w:pPr>
              <w:spacing w:after="20"/>
              <w:jc w:val="left"/>
            </w:pPr>
            <w:r>
              <w:rPr>
                <w:sz w:val="17"/>
              </w:rPr>
              <w:t>Requirements</w:t>
            </w:r>
          </w:p>
        </w:tc>
        <w:tc>
          <w:tcPr>
            <w:tcW w:type="dxa" w:w="3402"/>
          </w:tcPr>
          <w:p>
            <w:pPr>
              <w:spacing w:after="20"/>
              <w:jc w:val="left"/>
            </w:pPr>
            <w:r>
              <w:rPr>
                <w:sz w:val="17"/>
              </w:rPr>
              <w:t>8 920 — bit-identiska med r2</w:t>
            </w:r>
          </w:p>
        </w:tc>
        <w:tc>
          <w:tcPr>
            <w:tcW w:type="dxa" w:w="1361"/>
          </w:tcPr>
          <w:p>
            <w:pPr>
              <w:spacing w:after="20"/>
              <w:jc w:val="left"/>
            </w:pPr>
            <w:r>
              <w:rPr>
                <w:sz w:val="17"/>
              </w:rPr>
              <w:t>OK</w:t>
            </w:r>
          </w:p>
        </w:tc>
      </w:tr>
      <w:tr>
        <w:tc>
          <w:tcPr>
            <w:tcW w:type="dxa" w:w="4309"/>
          </w:tcPr>
          <w:p>
            <w:pPr>
              <w:spacing w:after="20"/>
              <w:jc w:val="left"/>
            </w:pPr>
            <w:r>
              <w:rPr>
                <w:sz w:val="17"/>
              </w:rPr>
              <w:t>Requirement-ID ändrade</w:t>
            </w:r>
          </w:p>
        </w:tc>
        <w:tc>
          <w:tcPr>
            <w:tcW w:type="dxa" w:w="3402"/>
          </w:tcPr>
          <w:p>
            <w:pPr>
              <w:spacing w:after="20"/>
              <w:jc w:val="left"/>
            </w:pPr>
            <w:r>
              <w:rPr>
                <w:sz w:val="17"/>
              </w:rPr>
              <w:t>0</w:t>
            </w:r>
          </w:p>
        </w:tc>
        <w:tc>
          <w:tcPr>
            <w:tcW w:type="dxa" w:w="1361"/>
          </w:tcPr>
          <w:p>
            <w:pPr>
              <w:spacing w:after="20"/>
              <w:jc w:val="left"/>
            </w:pPr>
            <w:r>
              <w:rPr>
                <w:sz w:val="17"/>
              </w:rPr>
              <w:t>OK</w:t>
            </w:r>
          </w:p>
        </w:tc>
      </w:tr>
      <w:tr>
        <w:tc>
          <w:tcPr>
            <w:tcW w:type="dxa" w:w="4309"/>
          </w:tcPr>
          <w:p>
            <w:pPr>
              <w:spacing w:after="20"/>
              <w:jc w:val="left"/>
            </w:pPr>
            <w:r>
              <w:rPr>
                <w:sz w:val="17"/>
              </w:rPr>
              <w:t>Kvarvarande motsägelse mellan approved status och framtida godkännandevillkor</w:t>
            </w:r>
          </w:p>
        </w:tc>
        <w:tc>
          <w:tcPr>
            <w:tcW w:type="dxa" w:w="3402"/>
          </w:tcPr>
          <w:p>
            <w:pPr>
              <w:spacing w:after="20"/>
              <w:jc w:val="left"/>
            </w:pPr>
            <w:r>
              <w:rPr>
                <w:sz w:val="17"/>
              </w:rPr>
              <w:t>0</w:t>
            </w:r>
          </w:p>
        </w:tc>
        <w:tc>
          <w:tcPr>
            <w:tcW w:type="dxa" w:w="1361"/>
          </w:tcPr>
          <w:p>
            <w:pPr>
              <w:spacing w:after="20"/>
              <w:jc w:val="left"/>
            </w:pPr>
            <w:r>
              <w:rPr>
                <w:sz w:val="17"/>
              </w:rPr>
              <w:t>OK</w:t>
            </w:r>
          </w:p>
        </w:tc>
      </w:tr>
      <w:tr>
        <w:tc>
          <w:tcPr>
            <w:tcW w:type="dxa" w:w="4309"/>
          </w:tcPr>
          <w:p>
            <w:pPr>
              <w:spacing w:after="20"/>
              <w:jc w:val="left"/>
            </w:pPr>
            <w:r>
              <w:rPr>
                <w:sz w:val="17"/>
              </w:rPr>
              <w:t>Kvarvarande Canonical Review Candidate eller EJ GODKÄND i bok och PDF</w:t>
            </w:r>
          </w:p>
        </w:tc>
        <w:tc>
          <w:tcPr>
            <w:tcW w:type="dxa" w:w="3402"/>
          </w:tcPr>
          <w:p>
            <w:pPr>
              <w:spacing w:after="20"/>
              <w:jc w:val="left"/>
            </w:pPr>
            <w:r>
              <w:rPr>
                <w:sz w:val="17"/>
              </w:rPr>
              <w:t>0</w:t>
            </w:r>
          </w:p>
        </w:tc>
        <w:tc>
          <w:tcPr>
            <w:tcW w:type="dxa" w:w="1361"/>
          </w:tcPr>
          <w:p>
            <w:pPr>
              <w:spacing w:after="20"/>
              <w:jc w:val="left"/>
            </w:pPr>
            <w:r>
              <w:rPr>
                <w:sz w:val="17"/>
              </w:rPr>
              <w:t>OK</w:t>
            </w:r>
          </w:p>
        </w:tc>
      </w:tr>
      <w:tr>
        <w:tc>
          <w:tcPr>
            <w:tcW w:type="dxa" w:w="4309"/>
          </w:tcPr>
          <w:p>
            <w:pPr>
              <w:spacing w:after="20"/>
              <w:jc w:val="left"/>
            </w:pPr>
            <w:r>
              <w:rPr>
                <w:sz w:val="17"/>
              </w:rPr>
              <w:t>Kapitel</w:t>
            </w:r>
          </w:p>
        </w:tc>
        <w:tc>
          <w:tcPr>
            <w:tcW w:type="dxa" w:w="3402"/>
          </w:tcPr>
          <w:p>
            <w:pPr>
              <w:spacing w:after="20"/>
              <w:jc w:val="left"/>
            </w:pPr>
            <w:r>
              <w:rPr>
                <w:sz w:val="17"/>
              </w:rPr>
              <w:t>32/32</w:t>
            </w:r>
          </w:p>
        </w:tc>
        <w:tc>
          <w:tcPr>
            <w:tcW w:type="dxa" w:w="1361"/>
          </w:tcPr>
          <w:p>
            <w:pPr>
              <w:spacing w:after="20"/>
              <w:jc w:val="left"/>
            </w:pPr>
            <w:r>
              <w:rPr>
                <w:sz w:val="17"/>
              </w:rPr>
              <w:t>OK</w:t>
            </w:r>
          </w:p>
        </w:tc>
      </w:tr>
      <w:tr>
        <w:tc>
          <w:tcPr>
            <w:tcW w:type="dxa" w:w="4309"/>
          </w:tcPr>
          <w:p>
            <w:pPr>
              <w:spacing w:after="20"/>
              <w:jc w:val="left"/>
            </w:pPr>
            <w:r>
              <w:rPr>
                <w:sz w:val="17"/>
              </w:rPr>
              <w:t>Authoritymodell, privacy, absoluta förbud, glossary, traceability, Stage 1-scope</w:t>
            </w:r>
          </w:p>
        </w:tc>
        <w:tc>
          <w:tcPr>
            <w:tcW w:type="dxa" w:w="3402"/>
          </w:tcPr>
          <w:p>
            <w:pPr>
              <w:spacing w:after="20"/>
              <w:jc w:val="left"/>
            </w:pPr>
            <w:r>
              <w:rPr>
                <w:sz w:val="17"/>
              </w:rPr>
              <w:t>Oförändrade</w:t>
            </w:r>
          </w:p>
        </w:tc>
        <w:tc>
          <w:tcPr>
            <w:tcW w:type="dxa" w:w="1361"/>
          </w:tcPr>
          <w:p>
            <w:pPr>
              <w:spacing w:after="20"/>
              <w:jc w:val="left"/>
            </w:pPr>
            <w:r>
              <w:rPr>
                <w:sz w:val="17"/>
              </w:rPr>
              <w:t>OK</w:t>
            </w:r>
          </w:p>
        </w:tc>
      </w:tr>
    </w:tbl>
    <w:p/>
    <w:p>
      <w:pPr>
        <w:pStyle w:val="Heading1"/>
      </w:pPr>
      <w:r>
        <w:t>3. PDF-verifiering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/>
        </w:trPr>
        <w:tc>
          <w:tcPr>
            <w:tcW w:type="dxa" w:w="3628"/>
          </w:tcPr>
          <w:p>
            <w:pPr>
              <w:jc w:val="left"/>
            </w:pPr>
            <w:r>
              <w:rPr>
                <w:rFonts w:ascii="Lato" w:hAnsi="Lato"/>
                <w:b/>
                <w:sz w:val="17"/>
              </w:rPr>
              <w:t>Kontroll</w:t>
            </w:r>
          </w:p>
        </w:tc>
        <w:tc>
          <w:tcPr>
            <w:tcW w:type="dxa" w:w="4082"/>
          </w:tcPr>
          <w:p>
            <w:pPr>
              <w:jc w:val="left"/>
            </w:pPr>
            <w:r>
              <w:rPr>
                <w:rFonts w:ascii="Lato" w:hAnsi="Lato"/>
                <w:b/>
                <w:sz w:val="17"/>
              </w:rPr>
              <w:t>Resultat</w:t>
            </w:r>
          </w:p>
        </w:tc>
        <w:tc>
          <w:tcPr>
            <w:tcW w:type="dxa" w:w="1361"/>
          </w:tcPr>
          <w:p>
            <w:pPr>
              <w:jc w:val="left"/>
            </w:pPr>
            <w:r>
              <w:rPr>
                <w:rFonts w:ascii="Lato" w:hAnsi="Lato"/>
                <w:b/>
                <w:sz w:val="17"/>
              </w:rPr>
              <w:t>Status</w:t>
            </w:r>
          </w:p>
        </w:tc>
      </w:tr>
      <w:tr>
        <w:tc>
          <w:tcPr>
            <w:tcW w:type="dxa" w:w="3628"/>
          </w:tcPr>
          <w:p>
            <w:pPr>
              <w:spacing w:after="20"/>
              <w:jc w:val="left"/>
            </w:pPr>
            <w:r>
              <w:rPr>
                <w:sz w:val="17"/>
              </w:rPr>
              <w:t>Sidantal</w:t>
            </w:r>
          </w:p>
        </w:tc>
        <w:tc>
          <w:tcPr>
            <w:tcW w:type="dxa" w:w="4082"/>
          </w:tcPr>
          <w:p>
            <w:pPr>
              <w:spacing w:after="20"/>
              <w:jc w:val="left"/>
            </w:pPr>
            <w:r>
              <w:rPr>
                <w:sz w:val="17"/>
              </w:rPr>
              <w:t>1 314 (A4) — oförändrat</w:t>
            </w:r>
          </w:p>
        </w:tc>
        <w:tc>
          <w:tcPr>
            <w:tcW w:type="dxa" w:w="1361"/>
          </w:tcPr>
          <w:p>
            <w:pPr>
              <w:spacing w:after="20"/>
              <w:jc w:val="left"/>
            </w:pPr>
            <w:r>
              <w:rPr>
                <w:sz w:val="17"/>
              </w:rPr>
              <w:t>OK</w:t>
            </w:r>
          </w:p>
        </w:tc>
      </w:tr>
      <w:tr>
        <w:tc>
          <w:tcPr>
            <w:tcW w:type="dxa" w:w="3628"/>
          </w:tcPr>
          <w:p>
            <w:pPr>
              <w:spacing w:after="20"/>
              <w:jc w:val="left"/>
            </w:pPr>
            <w:r>
              <w:rPr>
                <w:sz w:val="17"/>
              </w:rPr>
              <w:t>Innehållsförteckningens sidnummer</w:t>
            </w:r>
          </w:p>
        </w:tc>
        <w:tc>
          <w:tcPr>
            <w:tcW w:type="dxa" w:w="4082"/>
          </w:tcPr>
          <w:p>
            <w:pPr>
              <w:spacing w:after="20"/>
              <w:jc w:val="left"/>
            </w:pPr>
            <w:r>
              <w:rPr>
                <w:sz w:val="17"/>
              </w:rPr>
              <w:t>45/45 verifierade</w:t>
            </w:r>
          </w:p>
        </w:tc>
        <w:tc>
          <w:tcPr>
            <w:tcW w:type="dxa" w:w="1361"/>
          </w:tcPr>
          <w:p>
            <w:pPr>
              <w:spacing w:after="20"/>
              <w:jc w:val="left"/>
            </w:pPr>
            <w:r>
              <w:rPr>
                <w:sz w:val="17"/>
              </w:rPr>
              <w:t>OK</w:t>
            </w:r>
          </w:p>
        </w:tc>
      </w:tr>
      <w:tr>
        <w:tc>
          <w:tcPr>
            <w:tcW w:type="dxa" w:w="3628"/>
          </w:tcPr>
          <w:p>
            <w:pPr>
              <w:spacing w:after="20"/>
              <w:jc w:val="left"/>
            </w:pPr>
            <w:r>
              <w:rPr>
                <w:sz w:val="17"/>
              </w:rPr>
              <w:t>Tomma sidor</w:t>
            </w:r>
          </w:p>
        </w:tc>
        <w:tc>
          <w:tcPr>
            <w:tcW w:type="dxa" w:w="4082"/>
          </w:tcPr>
          <w:p>
            <w:pPr>
              <w:spacing w:after="20"/>
              <w:jc w:val="left"/>
            </w:pPr>
            <w:r>
              <w:rPr>
                <w:sz w:val="17"/>
              </w:rPr>
              <w:t>0</w:t>
            </w:r>
          </w:p>
        </w:tc>
        <w:tc>
          <w:tcPr>
            <w:tcW w:type="dxa" w:w="1361"/>
          </w:tcPr>
          <w:p>
            <w:pPr>
              <w:spacing w:after="20"/>
              <w:jc w:val="left"/>
            </w:pPr>
            <w:r>
              <w:rPr>
                <w:sz w:val="17"/>
              </w:rPr>
              <w:t>OK</w:t>
            </w:r>
          </w:p>
        </w:tc>
      </w:tr>
      <w:tr>
        <w:tc>
          <w:tcPr>
            <w:tcW w:type="dxa" w:w="3628"/>
          </w:tcPr>
          <w:p>
            <w:pPr>
              <w:spacing w:after="20"/>
              <w:jc w:val="left"/>
            </w:pPr>
            <w:r>
              <w:rPr>
                <w:sz w:val="17"/>
              </w:rPr>
              <w:t>Kapitelstarter</w:t>
            </w:r>
          </w:p>
        </w:tc>
        <w:tc>
          <w:tcPr>
            <w:tcW w:type="dxa" w:w="4082"/>
          </w:tcPr>
          <w:p>
            <w:pPr>
              <w:spacing w:after="20"/>
              <w:jc w:val="left"/>
            </w:pPr>
            <w:r>
              <w:rPr>
                <w:sz w:val="17"/>
              </w:rPr>
              <w:t>32/32</w:t>
            </w:r>
          </w:p>
        </w:tc>
        <w:tc>
          <w:tcPr>
            <w:tcW w:type="dxa" w:w="1361"/>
          </w:tcPr>
          <w:p>
            <w:pPr>
              <w:spacing w:after="20"/>
              <w:jc w:val="left"/>
            </w:pPr>
            <w:r>
              <w:rPr>
                <w:sz w:val="17"/>
              </w:rPr>
              <w:t>OK</w:t>
            </w:r>
          </w:p>
        </w:tc>
      </w:tr>
      <w:tr>
        <w:tc>
          <w:tcPr>
            <w:tcW w:type="dxa" w:w="3628"/>
          </w:tcPr>
          <w:p>
            <w:pPr>
              <w:spacing w:after="20"/>
              <w:jc w:val="left"/>
            </w:pPr>
            <w:r>
              <w:rPr>
                <w:sz w:val="17"/>
              </w:rPr>
              <w:t>Delsidor</w:t>
            </w:r>
          </w:p>
        </w:tc>
        <w:tc>
          <w:tcPr>
            <w:tcW w:type="dxa" w:w="4082"/>
          </w:tcPr>
          <w:p>
            <w:pPr>
              <w:spacing w:after="20"/>
              <w:jc w:val="left"/>
            </w:pPr>
            <w:r>
              <w:rPr>
                <w:sz w:val="17"/>
              </w:rPr>
              <w:t>8/8</w:t>
            </w:r>
          </w:p>
        </w:tc>
        <w:tc>
          <w:tcPr>
            <w:tcW w:type="dxa" w:w="1361"/>
          </w:tcPr>
          <w:p>
            <w:pPr>
              <w:spacing w:after="20"/>
              <w:jc w:val="left"/>
            </w:pPr>
            <w:r>
              <w:rPr>
                <w:sz w:val="17"/>
              </w:rPr>
              <w:t>OK</w:t>
            </w:r>
          </w:p>
        </w:tc>
      </w:tr>
      <w:tr>
        <w:tc>
          <w:tcPr>
            <w:tcW w:type="dxa" w:w="3628"/>
          </w:tcPr>
          <w:p>
            <w:pPr>
              <w:spacing w:after="20"/>
              <w:jc w:val="left"/>
            </w:pPr>
            <w:r>
              <w:rPr>
                <w:sz w:val="17"/>
              </w:rPr>
              <w:t>Requirement-ID i PDF</w:t>
            </w:r>
          </w:p>
        </w:tc>
        <w:tc>
          <w:tcPr>
            <w:tcW w:type="dxa" w:w="4082"/>
          </w:tcPr>
          <w:p>
            <w:pPr>
              <w:spacing w:after="20"/>
              <w:jc w:val="left"/>
            </w:pPr>
            <w:r>
              <w:rPr>
                <w:sz w:val="17"/>
              </w:rPr>
              <w:t>8 920/8 920</w:t>
            </w:r>
          </w:p>
        </w:tc>
        <w:tc>
          <w:tcPr>
            <w:tcW w:type="dxa" w:w="1361"/>
          </w:tcPr>
          <w:p>
            <w:pPr>
              <w:spacing w:after="20"/>
              <w:jc w:val="left"/>
            </w:pPr>
            <w:r>
              <w:rPr>
                <w:sz w:val="17"/>
              </w:rPr>
              <w:t>OK</w:t>
            </w:r>
          </w:p>
        </w:tc>
      </w:tr>
      <w:tr>
        <w:tc>
          <w:tcPr>
            <w:tcW w:type="dxa" w:w="3628"/>
          </w:tcPr>
          <w:p>
            <w:pPr>
              <w:spacing w:after="20"/>
              <w:jc w:val="left"/>
            </w:pPr>
            <w:r>
              <w:rPr>
                <w:sz w:val="17"/>
              </w:rPr>
              <w:t>Kapitelstatusrader med APPROVED</w:t>
            </w:r>
          </w:p>
        </w:tc>
        <w:tc>
          <w:tcPr>
            <w:tcW w:type="dxa" w:w="4082"/>
          </w:tcPr>
          <w:p>
            <w:pPr>
              <w:spacing w:after="20"/>
              <w:jc w:val="left"/>
            </w:pPr>
            <w:r>
              <w:rPr>
                <w:sz w:val="17"/>
              </w:rPr>
              <w:t>32/32</w:t>
            </w:r>
          </w:p>
        </w:tc>
        <w:tc>
          <w:tcPr>
            <w:tcW w:type="dxa" w:w="1361"/>
          </w:tcPr>
          <w:p>
            <w:pPr>
              <w:spacing w:after="20"/>
              <w:jc w:val="left"/>
            </w:pPr>
            <w:r>
              <w:rPr>
                <w:sz w:val="17"/>
              </w:rPr>
              <w:t>OK</w:t>
            </w:r>
          </w:p>
        </w:tc>
      </w:tr>
      <w:tr>
        <w:tc>
          <w:tcPr>
            <w:tcW w:type="dxa" w:w="3628"/>
          </w:tcPr>
          <w:p>
            <w:pPr>
              <w:spacing w:after="20"/>
              <w:jc w:val="left"/>
            </w:pPr>
            <w:r>
              <w:rPr>
                <w:sz w:val="17"/>
              </w:rPr>
              <w:t>SKA INTE / ÄR FÖRBJUD*</w:t>
            </w:r>
          </w:p>
        </w:tc>
        <w:tc>
          <w:tcPr>
            <w:tcW w:type="dxa" w:w="4082"/>
          </w:tcPr>
          <w:p>
            <w:pPr>
              <w:spacing w:after="20"/>
              <w:jc w:val="left"/>
            </w:pPr>
            <w:r>
              <w:rPr>
                <w:sz w:val="17"/>
              </w:rPr>
              <w:t>0 / 0</w:t>
            </w:r>
          </w:p>
        </w:tc>
        <w:tc>
          <w:tcPr>
            <w:tcW w:type="dxa" w:w="1361"/>
          </w:tcPr>
          <w:p>
            <w:pPr>
              <w:spacing w:after="20"/>
              <w:jc w:val="left"/>
            </w:pPr>
            <w:r>
              <w:rPr>
                <w:sz w:val="17"/>
              </w:rPr>
              <w:t>OK</w:t>
            </w:r>
          </w:p>
        </w:tc>
      </w:tr>
      <w:tr>
        <w:tc>
          <w:tcPr>
            <w:tcW w:type="dxa" w:w="3628"/>
          </w:tcPr>
          <w:p>
            <w:pPr>
              <w:spacing w:after="20"/>
              <w:jc w:val="left"/>
            </w:pPr>
            <w:r>
              <w:rPr>
                <w:sz w:val="17"/>
              </w:rPr>
              <w:t>FÅR INTE</w:t>
            </w:r>
          </w:p>
        </w:tc>
        <w:tc>
          <w:tcPr>
            <w:tcW w:type="dxa" w:w="4082"/>
          </w:tcPr>
          <w:p>
            <w:pPr>
              <w:spacing w:after="20"/>
              <w:jc w:val="left"/>
            </w:pPr>
            <w:r>
              <w:rPr>
                <w:sz w:val="17"/>
              </w:rPr>
              <w:t>2 597 — oförändrat</w:t>
            </w:r>
          </w:p>
        </w:tc>
        <w:tc>
          <w:tcPr>
            <w:tcW w:type="dxa" w:w="1361"/>
          </w:tcPr>
          <w:p>
            <w:pPr>
              <w:spacing w:after="20"/>
              <w:jc w:val="left"/>
            </w:pPr>
            <w:r>
              <w:rPr>
                <w:sz w:val="17"/>
              </w:rPr>
              <w:t>OK</w:t>
            </w:r>
          </w:p>
        </w:tc>
      </w:tr>
      <w:tr>
        <w:tc>
          <w:tcPr>
            <w:tcW w:type="dxa" w:w="3628"/>
          </w:tcPr>
          <w:p>
            <w:pPr>
              <w:spacing w:after="20"/>
              <w:jc w:val="left"/>
            </w:pPr>
            <w:r>
              <w:rPr>
                <w:sz w:val="17"/>
              </w:rPr>
              <w:t>Felaktiga tecken</w:t>
            </w:r>
          </w:p>
        </w:tc>
        <w:tc>
          <w:tcPr>
            <w:tcW w:type="dxa" w:w="4082"/>
          </w:tcPr>
          <w:p>
            <w:pPr>
              <w:spacing w:after="20"/>
              <w:jc w:val="left"/>
            </w:pPr>
            <w:r>
              <w:rPr>
                <w:sz w:val="17"/>
              </w:rPr>
              <w:t>0</w:t>
            </w:r>
          </w:p>
        </w:tc>
        <w:tc>
          <w:tcPr>
            <w:tcW w:type="dxa" w:w="1361"/>
          </w:tcPr>
          <w:p>
            <w:pPr>
              <w:spacing w:after="20"/>
              <w:jc w:val="left"/>
            </w:pPr>
            <w:r>
              <w:rPr>
                <w:sz w:val="17"/>
              </w:rPr>
              <w:t>OK</w:t>
            </w:r>
          </w:p>
        </w:tc>
      </w:tr>
      <w:tr>
        <w:tc>
          <w:tcPr>
            <w:tcW w:type="dxa" w:w="3628"/>
          </w:tcPr>
          <w:p>
            <w:pPr>
              <w:spacing w:after="20"/>
              <w:jc w:val="left"/>
            </w:pPr>
            <w:r>
              <w:rPr>
                <w:sz w:val="17"/>
              </w:rPr>
              <w:t>Änkerubriker</w:t>
            </w:r>
          </w:p>
        </w:tc>
        <w:tc>
          <w:tcPr>
            <w:tcW w:type="dxa" w:w="4082"/>
          </w:tcPr>
          <w:p>
            <w:pPr>
              <w:spacing w:after="20"/>
              <w:jc w:val="left"/>
            </w:pPr>
            <w:r>
              <w:rPr>
                <w:sz w:val="17"/>
              </w:rPr>
              <w:t>0</w:t>
            </w:r>
          </w:p>
        </w:tc>
        <w:tc>
          <w:tcPr>
            <w:tcW w:type="dxa" w:w="1361"/>
          </w:tcPr>
          <w:p>
            <w:pPr>
              <w:spacing w:after="20"/>
              <w:jc w:val="left"/>
            </w:pPr>
            <w:r>
              <w:rPr>
                <w:sz w:val="17"/>
              </w:rPr>
              <w:t>OK</w:t>
            </w:r>
          </w:p>
        </w:tc>
      </w:tr>
      <w:tr>
        <w:tc>
          <w:tcPr>
            <w:tcW w:type="dxa" w:w="3628"/>
          </w:tcPr>
          <w:p>
            <w:pPr>
              <w:spacing w:after="20"/>
              <w:jc w:val="left"/>
            </w:pPr>
            <w:r>
              <w:rPr>
                <w:sz w:val="17"/>
              </w:rPr>
              <w:t>ID skilt från sin kravtext</w:t>
            </w:r>
          </w:p>
        </w:tc>
        <w:tc>
          <w:tcPr>
            <w:tcW w:type="dxa" w:w="4082"/>
          </w:tcPr>
          <w:p>
            <w:pPr>
              <w:spacing w:after="20"/>
              <w:jc w:val="left"/>
            </w:pPr>
            <w:r>
              <w:rPr>
                <w:sz w:val="17"/>
              </w:rPr>
              <w:t>0</w:t>
            </w:r>
          </w:p>
        </w:tc>
        <w:tc>
          <w:tcPr>
            <w:tcW w:type="dxa" w:w="1361"/>
          </w:tcPr>
          <w:p>
            <w:pPr>
              <w:spacing w:after="20"/>
              <w:jc w:val="left"/>
            </w:pPr>
            <w:r>
              <w:rPr>
                <w:sz w:val="17"/>
              </w:rPr>
              <w:t>OK</w:t>
            </w:r>
          </w:p>
        </w:tc>
      </w:tr>
      <w:tr>
        <w:tc>
          <w:tcPr>
            <w:tcW w:type="dxa" w:w="3628"/>
          </w:tcPr>
          <w:p>
            <w:pPr>
              <w:spacing w:after="20"/>
              <w:jc w:val="left"/>
            </w:pPr>
            <w:r>
              <w:rPr>
                <w:sz w:val="17"/>
              </w:rPr>
              <w:t>Sidor utan APPROVED-sidhuvud eller sidnummer</w:t>
            </w:r>
          </w:p>
        </w:tc>
        <w:tc>
          <w:tcPr>
            <w:tcW w:type="dxa" w:w="4082"/>
          </w:tcPr>
          <w:p>
            <w:pPr>
              <w:spacing w:after="20"/>
              <w:jc w:val="left"/>
            </w:pPr>
            <w:r>
              <w:rPr>
                <w:sz w:val="17"/>
              </w:rPr>
              <w:t>0</w:t>
            </w:r>
          </w:p>
        </w:tc>
        <w:tc>
          <w:tcPr>
            <w:tcW w:type="dxa" w:w="1361"/>
          </w:tcPr>
          <w:p>
            <w:pPr>
              <w:spacing w:after="20"/>
              <w:jc w:val="left"/>
            </w:pPr>
            <w:r>
              <w:rPr>
                <w:sz w:val="17"/>
              </w:rPr>
              <w:t>OK</w:t>
            </w:r>
          </w:p>
        </w:tc>
      </w:tr>
      <w:tr>
        <w:tc>
          <w:tcPr>
            <w:tcW w:type="dxa" w:w="3628"/>
          </w:tcPr>
          <w:p>
            <w:pPr>
              <w:spacing w:after="20"/>
              <w:jc w:val="left"/>
            </w:pPr>
            <w:r>
              <w:rPr>
                <w:sz w:val="17"/>
              </w:rPr>
              <w:t>Diagramsidor</w:t>
            </w:r>
          </w:p>
        </w:tc>
        <w:tc>
          <w:tcPr>
            <w:tcW w:type="dxa" w:w="4082"/>
          </w:tcPr>
          <w:p>
            <w:pPr>
              <w:spacing w:after="20"/>
              <w:jc w:val="left"/>
            </w:pPr>
            <w:r>
              <w:rPr>
                <w:sz w:val="17"/>
              </w:rPr>
              <w:t>55, korrekt renderade</w:t>
            </w:r>
          </w:p>
        </w:tc>
        <w:tc>
          <w:tcPr>
            <w:tcW w:type="dxa" w:w="1361"/>
          </w:tcPr>
          <w:p>
            <w:pPr>
              <w:spacing w:after="20"/>
              <w:jc w:val="left"/>
            </w:pPr>
            <w:r>
              <w:rPr>
                <w:sz w:val="17"/>
              </w:rPr>
              <w:t>OK</w:t>
            </w:r>
          </w:p>
        </w:tc>
      </w:tr>
      <w:tr>
        <w:tc>
          <w:tcPr>
            <w:tcW w:type="dxa" w:w="3628"/>
          </w:tcPr>
          <w:p>
            <w:pPr>
              <w:spacing w:after="20"/>
              <w:jc w:val="left"/>
            </w:pPr>
            <w:r>
              <w:rPr>
                <w:sz w:val="17"/>
              </w:rPr>
              <w:t>Blockerande PDF-fel</w:t>
            </w:r>
          </w:p>
        </w:tc>
        <w:tc>
          <w:tcPr>
            <w:tcW w:type="dxa" w:w="4082"/>
          </w:tcPr>
          <w:p>
            <w:pPr>
              <w:spacing w:after="20"/>
              <w:jc w:val="left"/>
            </w:pPr>
            <w:r>
              <w:rPr>
                <w:sz w:val="17"/>
              </w:rPr>
              <w:t>0</w:t>
            </w:r>
          </w:p>
        </w:tc>
        <w:tc>
          <w:tcPr>
            <w:tcW w:type="dxa" w:w="1361"/>
          </w:tcPr>
          <w:p>
            <w:pPr>
              <w:spacing w:after="20"/>
              <w:jc w:val="left"/>
            </w:pPr>
            <w:r>
              <w:rPr>
                <w:sz w:val="17"/>
              </w:rPr>
              <w:t>OK</w:t>
            </w:r>
          </w:p>
        </w:tc>
      </w:tr>
    </w:tbl>
    <w:p/>
    <w:p>
      <w:pPr>
        <w:pStyle w:val="Heading1"/>
      </w:pPr>
      <w:r>
        <w:t>4. Bevarade artefakter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tblHeader/>
        </w:trPr>
        <w:tc>
          <w:tcPr>
            <w:tcW w:type="dxa" w:w="4195"/>
          </w:tcPr>
          <w:p>
            <w:pPr>
              <w:jc w:val="left"/>
            </w:pPr>
            <w:r>
              <w:rPr>
                <w:rFonts w:ascii="Lato" w:hAnsi="Lato"/>
                <w:b/>
                <w:sz w:val="17"/>
              </w:rPr>
              <w:t>Sökväg</w:t>
            </w:r>
          </w:p>
        </w:tc>
        <w:tc>
          <w:tcPr>
            <w:tcW w:type="dxa" w:w="4876"/>
          </w:tcPr>
          <w:p>
            <w:pPr>
              <w:jc w:val="left"/>
            </w:pPr>
            <w:r>
              <w:rPr>
                <w:rFonts w:ascii="Lato" w:hAnsi="Lato"/>
                <w:b/>
                <w:sz w:val="17"/>
              </w:rPr>
              <w:t>Status</w:t>
            </w:r>
          </w:p>
        </w:tc>
      </w:tr>
      <w:tr>
        <w:tc>
          <w:tcPr>
            <w:tcW w:type="dxa" w:w="4195"/>
          </w:tcPr>
          <w:p>
            <w:pPr>
              <w:spacing w:after="20"/>
              <w:jc w:val="left"/>
            </w:pPr>
            <w:r>
              <w:rPr>
                <w:sz w:val="17"/>
              </w:rPr>
              <w:t>Sources/Working-Drafts/</w:t>
            </w:r>
          </w:p>
        </w:tc>
        <w:tc>
          <w:tcPr>
            <w:tcW w:type="dxa" w:w="4876"/>
          </w:tcPr>
          <w:p>
            <w:pPr>
              <w:spacing w:after="20"/>
              <w:jc w:val="left"/>
            </w:pPr>
            <w:r>
              <w:rPr>
                <w:sz w:val="17"/>
              </w:rPr>
              <w:t>Oförändrad — 35 filer</w:t>
            </w:r>
          </w:p>
        </w:tc>
      </w:tr>
      <w:tr>
        <w:tc>
          <w:tcPr>
            <w:tcW w:type="dxa" w:w="4195"/>
          </w:tcPr>
          <w:p>
            <w:pPr>
              <w:spacing w:after="20"/>
              <w:jc w:val="left"/>
            </w:pPr>
            <w:r>
              <w:rPr>
                <w:sz w:val="17"/>
              </w:rPr>
              <w:t>Sources/Canonical-Source-Set-v1.0/</w:t>
            </w:r>
          </w:p>
        </w:tc>
        <w:tc>
          <w:tcPr>
            <w:tcW w:type="dxa" w:w="4876"/>
          </w:tcPr>
          <w:p>
            <w:pPr>
              <w:spacing w:after="20"/>
              <w:jc w:val="left"/>
            </w:pPr>
            <w:r>
              <w:rPr>
                <w:sz w:val="17"/>
              </w:rPr>
              <w:t>Oförändrad — 34 filer</w:t>
            </w:r>
          </w:p>
        </w:tc>
      </w:tr>
      <w:tr>
        <w:tc>
          <w:tcPr>
            <w:tcW w:type="dxa" w:w="4195"/>
          </w:tcPr>
          <w:p>
            <w:pPr>
              <w:spacing w:after="20"/>
              <w:jc w:val="left"/>
            </w:pPr>
            <w:r>
              <w:rPr>
                <w:sz w:val="17"/>
              </w:rPr>
              <w:t>Exports/Canonical-Edition-v1.0-Review-Candidate/</w:t>
            </w:r>
          </w:p>
        </w:tc>
        <w:tc>
          <w:tcPr>
            <w:tcW w:type="dxa" w:w="4876"/>
          </w:tcPr>
          <w:p>
            <w:pPr>
              <w:spacing w:after="20"/>
              <w:jc w:val="left"/>
            </w:pPr>
            <w:r>
              <w:rPr>
                <w:sz w:val="17"/>
              </w:rPr>
              <w:t>Oförändrad</w:t>
            </w:r>
          </w:p>
        </w:tc>
      </w:tr>
      <w:tr>
        <w:tc>
          <w:tcPr>
            <w:tcW w:type="dxa" w:w="4195"/>
          </w:tcPr>
          <w:p>
            <w:pPr>
              <w:spacing w:after="20"/>
              <w:jc w:val="left"/>
            </w:pPr>
            <w:r>
              <w:rPr>
                <w:sz w:val="17"/>
              </w:rPr>
              <w:t>Exports/Canonical-Edition-v1.0-Review-Candidate-r2/</w:t>
            </w:r>
          </w:p>
        </w:tc>
        <w:tc>
          <w:tcPr>
            <w:tcW w:type="dxa" w:w="4876"/>
          </w:tcPr>
          <w:p>
            <w:pPr>
              <w:spacing w:after="20"/>
              <w:jc w:val="left"/>
            </w:pPr>
            <w:r>
              <w:rPr>
                <w:sz w:val="17"/>
              </w:rPr>
              <w:t>Oförändrad</w:t>
            </w:r>
          </w:p>
        </w:tc>
      </w:tr>
      <w:tr>
        <w:tc>
          <w:tcPr>
            <w:tcW w:type="dxa" w:w="4195"/>
          </w:tcPr>
          <w:p>
            <w:pPr>
              <w:spacing w:after="20"/>
              <w:jc w:val="left"/>
            </w:pPr>
            <w:r>
              <w:rPr>
                <w:sz w:val="17"/>
              </w:rPr>
              <w:t>Exports/Canonical-Edition-v1.0-APPROVED/</w:t>
            </w:r>
          </w:p>
        </w:tc>
        <w:tc>
          <w:tcPr>
            <w:tcW w:type="dxa" w:w="4876"/>
          </w:tcPr>
          <w:p>
            <w:pPr>
              <w:spacing w:after="20"/>
              <w:jc w:val="left"/>
            </w:pPr>
            <w:r>
              <w:rPr>
                <w:sz w:val="17"/>
              </w:rPr>
              <w:t>Oförändrad</w:t>
            </w:r>
          </w:p>
        </w:tc>
      </w:tr>
      <w:tr>
        <w:tc>
          <w:tcPr>
            <w:tcW w:type="dxa" w:w="4195"/>
          </w:tcPr>
          <w:p>
            <w:pPr>
              <w:spacing w:after="20"/>
              <w:jc w:val="left"/>
            </w:pPr>
            <w:r>
              <w:rPr>
                <w:sz w:val="17"/>
              </w:rPr>
              <w:t>Exports/Canonical-Edition-v1.0-APPROVED-r2/</w:t>
            </w:r>
          </w:p>
        </w:tc>
        <w:tc>
          <w:tcPr>
            <w:tcW w:type="dxa" w:w="4876"/>
          </w:tcPr>
          <w:p>
            <w:pPr>
              <w:spacing w:after="20"/>
              <w:jc w:val="left"/>
            </w:pPr>
            <w:r>
              <w:rPr>
                <w:sz w:val="17"/>
              </w:rPr>
              <w:t>Oförändrad</w:t>
            </w:r>
          </w:p>
        </w:tc>
      </w:tr>
      <w:tr>
        <w:tc>
          <w:tcPr>
            <w:tcW w:type="dxa" w:w="4195"/>
          </w:tcPr>
          <w:p>
            <w:pPr>
              <w:spacing w:after="20"/>
              <w:jc w:val="left"/>
            </w:pPr>
            <w:r>
              <w:rPr>
                <w:sz w:val="17"/>
              </w:rPr>
              <w:t>Exports/Canonical-Edition-v1.0-APPROVED-r3/</w:t>
            </w:r>
          </w:p>
        </w:tc>
        <w:tc>
          <w:tcPr>
            <w:tcW w:type="dxa" w:w="4876"/>
          </w:tcPr>
          <w:p>
            <w:pPr>
              <w:spacing w:after="20"/>
              <w:jc w:val="left"/>
            </w:pPr>
            <w:r>
              <w:rPr>
                <w:sz w:val="17"/>
              </w:rPr>
              <w:t>Nytt slutpaket</w:t>
            </w:r>
          </w:p>
        </w:tc>
      </w:tr>
    </w:tbl>
    <w:p/>
    <w:p>
      <w:pPr>
        <w:pStyle w:val="Heading1"/>
      </w:pPr>
      <w:r>
        <w:t>5. Backlog efter r3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/>
        </w:trPr>
        <w:tc>
          <w:tcPr>
            <w:tcW w:type="dxa" w:w="907"/>
          </w:tcPr>
          <w:p>
            <w:pPr>
              <w:jc w:val="left"/>
            </w:pPr>
            <w:r>
              <w:rPr>
                <w:rFonts w:ascii="Lato" w:hAnsi="Lato"/>
                <w:b/>
                <w:sz w:val="17"/>
              </w:rPr>
              <w:t>#</w:t>
            </w:r>
          </w:p>
        </w:tc>
        <w:tc>
          <w:tcPr>
            <w:tcW w:type="dxa" w:w="5669"/>
          </w:tcPr>
          <w:p>
            <w:pPr>
              <w:jc w:val="left"/>
            </w:pPr>
            <w:r>
              <w:rPr>
                <w:rFonts w:ascii="Lato" w:hAnsi="Lato"/>
                <w:b/>
                <w:sz w:val="17"/>
              </w:rPr>
              <w:t>Punkt</w:t>
            </w:r>
          </w:p>
        </w:tc>
        <w:tc>
          <w:tcPr>
            <w:tcW w:type="dxa" w:w="2494"/>
          </w:tcPr>
          <w:p>
            <w:pPr>
              <w:jc w:val="left"/>
            </w:pPr>
            <w:r>
              <w:rPr>
                <w:rFonts w:ascii="Lato" w:hAnsi="Lato"/>
                <w:b/>
                <w:sz w:val="17"/>
              </w:rPr>
              <w:t>Status</w:t>
            </w:r>
          </w:p>
        </w:tc>
      </w:tr>
      <w:tr>
        <w:tc>
          <w:tcPr>
            <w:tcW w:type="dxa" w:w="907"/>
          </w:tcPr>
          <w:p>
            <w:pPr>
              <w:spacing w:after="20"/>
              <w:jc w:val="left"/>
            </w:pPr>
            <w:r>
              <w:rPr>
                <w:sz w:val="17"/>
              </w:rPr>
              <w:t>BL-01</w:t>
            </w:r>
          </w:p>
        </w:tc>
        <w:tc>
          <w:tcPr>
            <w:tcW w:type="dxa" w:w="5669"/>
          </w:tcPr>
          <w:p>
            <w:pPr>
              <w:spacing w:after="20"/>
              <w:jc w:val="left"/>
            </w:pPr>
            <w:r>
              <w:rPr>
                <w:sz w:val="17"/>
              </w:rPr>
              <w:t>Decision-to-Chapter Traceability Matrix</w:t>
            </w:r>
          </w:p>
        </w:tc>
        <w:tc>
          <w:tcPr>
            <w:tcW w:type="dxa" w:w="2494"/>
          </w:tcPr>
          <w:p>
            <w:pPr>
              <w:spacing w:after="20"/>
              <w:jc w:val="left"/>
            </w:pPr>
            <w:r>
              <w:rPr>
                <w:sz w:val="17"/>
              </w:rPr>
              <w:t>Öppen</w:t>
            </w:r>
          </w:p>
        </w:tc>
      </w:tr>
      <w:tr>
        <w:tc>
          <w:tcPr>
            <w:tcW w:type="dxa" w:w="907"/>
          </w:tcPr>
          <w:p>
            <w:pPr>
              <w:spacing w:after="20"/>
              <w:jc w:val="left"/>
            </w:pPr>
            <w:r>
              <w:rPr>
                <w:sz w:val="17"/>
              </w:rPr>
              <w:t>BL-02</w:t>
            </w:r>
          </w:p>
        </w:tc>
        <w:tc>
          <w:tcPr>
            <w:tcW w:type="dxa" w:w="5669"/>
          </w:tcPr>
          <w:p>
            <w:pPr>
              <w:spacing w:after="20"/>
              <w:jc w:val="left"/>
            </w:pPr>
            <w:r>
              <w:rPr>
                <w:sz w:val="17"/>
              </w:rPr>
              <w:t>Chapter Dependency Matrix</w:t>
            </w:r>
          </w:p>
        </w:tc>
        <w:tc>
          <w:tcPr>
            <w:tcW w:type="dxa" w:w="2494"/>
          </w:tcPr>
          <w:p>
            <w:pPr>
              <w:spacing w:after="20"/>
              <w:jc w:val="left"/>
            </w:pPr>
            <w:r>
              <w:rPr>
                <w:sz w:val="17"/>
              </w:rPr>
              <w:t>Öppen</w:t>
            </w:r>
          </w:p>
        </w:tc>
      </w:tr>
      <w:tr>
        <w:tc>
          <w:tcPr>
            <w:tcW w:type="dxa" w:w="907"/>
          </w:tcPr>
          <w:p>
            <w:pPr>
              <w:spacing w:after="20"/>
              <w:jc w:val="left"/>
            </w:pPr>
            <w:r>
              <w:rPr>
                <w:sz w:val="17"/>
              </w:rPr>
              <w:t>BL-03</w:t>
            </w:r>
          </w:p>
        </w:tc>
        <w:tc>
          <w:tcPr>
            <w:tcW w:type="dxa" w:w="5669"/>
          </w:tcPr>
          <w:p>
            <w:pPr>
              <w:spacing w:after="20"/>
              <w:jc w:val="left"/>
            </w:pPr>
            <w:r>
              <w:rPr>
                <w:sz w:val="17"/>
              </w:rPr>
              <w:t>Semantisk granskning av 34 grupper identiska requirementtexter</w:t>
            </w:r>
          </w:p>
        </w:tc>
        <w:tc>
          <w:tcPr>
            <w:tcW w:type="dxa" w:w="2494"/>
          </w:tcPr>
          <w:p>
            <w:pPr>
              <w:spacing w:after="20"/>
              <w:jc w:val="left"/>
            </w:pPr>
            <w:r>
              <w:rPr>
                <w:sz w:val="17"/>
              </w:rPr>
              <w:t>Öppen</w:t>
            </w:r>
          </w:p>
        </w:tc>
      </w:tr>
      <w:tr>
        <w:tc>
          <w:tcPr>
            <w:tcW w:type="dxa" w:w="907"/>
          </w:tcPr>
          <w:p>
            <w:pPr>
              <w:spacing w:after="20"/>
              <w:jc w:val="left"/>
            </w:pPr>
            <w:r>
              <w:rPr>
                <w:sz w:val="17"/>
              </w:rPr>
              <w:t>BL-04</w:t>
            </w:r>
          </w:p>
        </w:tc>
        <w:tc>
          <w:tcPr>
            <w:tcW w:type="dxa" w:w="5669"/>
          </w:tcPr>
          <w:p>
            <w:pPr>
              <w:spacing w:after="20"/>
              <w:jc w:val="left"/>
            </w:pPr>
            <w:r>
              <w:rPr>
                <w:sz w:val="17"/>
              </w:rPr>
              <w:t>Explicita definitioner för 7 glossarybegrepp</w:t>
            </w:r>
          </w:p>
        </w:tc>
        <w:tc>
          <w:tcPr>
            <w:tcW w:type="dxa" w:w="2494"/>
          </w:tcPr>
          <w:p>
            <w:pPr>
              <w:spacing w:after="20"/>
              <w:jc w:val="left"/>
            </w:pPr>
            <w:r>
              <w:rPr>
                <w:sz w:val="17"/>
              </w:rPr>
              <w:t>Öppen</w:t>
            </w:r>
          </w:p>
        </w:tc>
      </w:tr>
      <w:tr>
        <w:tc>
          <w:tcPr>
            <w:tcW w:type="dxa" w:w="907"/>
          </w:tcPr>
          <w:p>
            <w:pPr>
              <w:spacing w:after="20"/>
              <w:jc w:val="left"/>
            </w:pPr>
            <w:r>
              <w:rPr>
                <w:sz w:val="17"/>
              </w:rPr>
              <w:t>BL-05</w:t>
            </w:r>
          </w:p>
        </w:tc>
        <w:tc>
          <w:tcPr>
            <w:tcW w:type="dxa" w:w="5669"/>
          </w:tcPr>
          <w:p>
            <w:pPr>
              <w:spacing w:after="20"/>
              <w:jc w:val="left"/>
            </w:pPr>
            <w:r>
              <w:rPr>
                <w:sz w:val="17"/>
              </w:rPr>
              <w:t>Harmonisering av statusrader</w:t>
            </w:r>
          </w:p>
        </w:tc>
        <w:tc>
          <w:tcPr>
            <w:tcW w:type="dxa" w:w="2494"/>
          </w:tcPr>
          <w:p>
            <w:pPr>
              <w:spacing w:after="20"/>
              <w:jc w:val="left"/>
            </w:pPr>
            <w:r>
              <w:rPr>
                <w:sz w:val="17"/>
              </w:rPr>
              <w:t>Stängd i r2</w:t>
            </w:r>
          </w:p>
        </w:tc>
      </w:tr>
      <w:tr>
        <w:tc>
          <w:tcPr>
            <w:tcW w:type="dxa" w:w="907"/>
          </w:tcPr>
          <w:p>
            <w:pPr>
              <w:spacing w:after="20"/>
              <w:jc w:val="left"/>
            </w:pPr>
            <w:r>
              <w:rPr>
                <w:sz w:val="17"/>
              </w:rPr>
              <w:t>BL-06</w:t>
            </w:r>
          </w:p>
        </w:tc>
        <w:tc>
          <w:tcPr>
            <w:tcW w:type="dxa" w:w="5669"/>
          </w:tcPr>
          <w:p>
            <w:pPr>
              <w:spacing w:after="20"/>
              <w:jc w:val="left"/>
            </w:pPr>
            <w:r>
              <w:rPr>
                <w:sz w:val="17"/>
              </w:rPr>
              <w:t>Villkorssats i Chapter Plan §21</w:t>
            </w:r>
          </w:p>
        </w:tc>
        <w:tc>
          <w:tcPr>
            <w:tcW w:type="dxa" w:w="2494"/>
          </w:tcPr>
          <w:p>
            <w:pPr>
              <w:spacing w:after="20"/>
              <w:jc w:val="left"/>
            </w:pPr>
            <w:r>
              <w:rPr>
                <w:sz w:val="17"/>
              </w:rPr>
              <w:t>Stängd i r3</w:t>
            </w:r>
          </w:p>
        </w:tc>
      </w:tr>
      <w:tr>
        <w:tc>
          <w:tcPr>
            <w:tcW w:type="dxa" w:w="907"/>
          </w:tcPr>
          <w:p>
            <w:pPr>
              <w:spacing w:after="20"/>
              <w:jc w:val="left"/>
            </w:pPr>
            <w:r>
              <w:rPr>
                <w:sz w:val="17"/>
              </w:rPr>
              <w:t>BL-07</w:t>
            </w:r>
          </w:p>
        </w:tc>
        <w:tc>
          <w:tcPr>
            <w:tcW w:type="dxa" w:w="5669"/>
          </w:tcPr>
          <w:p>
            <w:pPr>
              <w:spacing w:after="20"/>
              <w:jc w:val="left"/>
            </w:pPr>
            <w:r>
              <w:rPr>
                <w:sz w:val="17"/>
              </w:rPr>
              <w:t>Villkorssats i Decision Register Slutstatus</w:t>
            </w:r>
          </w:p>
        </w:tc>
        <w:tc>
          <w:tcPr>
            <w:tcW w:type="dxa" w:w="2494"/>
          </w:tcPr>
          <w:p>
            <w:pPr>
              <w:spacing w:after="20"/>
              <w:jc w:val="left"/>
            </w:pPr>
            <w:r>
              <w:rPr>
                <w:sz w:val="17"/>
              </w:rPr>
              <w:t>Stängd i r3</w:t>
            </w:r>
          </w:p>
        </w:tc>
      </w:tr>
    </w:tbl>
    <w:p/>
    <w:p>
      <w:pPr>
        <w:pStyle w:val="Heading1"/>
      </w:pPr>
      <w:r>
        <w:t>6. Slutsats</w:t>
      </w:r>
    </w:p>
    <w:p>
      <w:r>
        <w:t>Exakt två stycken ändrades, båda av samma typ: framtida godkännandevillkor omformulerade till historisk och uppfylld status. Noll andra materiella textdiffar. 8 920 requirements är oförändrade och inget requirement-ID har rörts. Det finns ingen kvarvarande motsägelse mellan bokens approved-status och dess egna godkännandevillkor.</w:t>
      </w:r>
    </w:p>
    <w:p>
      <w:r>
        <w:rPr>
          <w:b/>
          <w:color w:val="C00000"/>
        </w:rPr>
        <w:t>Stage 1 är inte påbörjad och har inte påbörjats inom detta uppdrag.</w:t>
      </w:r>
    </w:p>
    <w:sectPr w:rsidR="00FC693F" w:rsidRPr="0006063C" w:rsidSect="00034616">
      <w:footerReference w:type="default" r:id="rId9"/>
      <w:pgSz w:w="11906" w:h="16838"/>
      <w:pgMar w:top="1304" w:right="1417" w:bottom="1191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Lato" w:hAnsi="Lato"/>
        <w:color w:val="808080"/>
        <w:sz w:val="16"/>
      </w:rPr>
      <w:t>Validation Report r3 · Omnira Mobile Intelligence &amp; Device Control · Canonical Edition v1.0 — APPROVED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8" w:lineRule="auto"/>
    </w:pPr>
    <w:rPr>
      <w:rFonts w:ascii="Caladea" w:hAnsi="Caladea" w:eastAsia="Calade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40" w:after="140"/>
      <w:outlineLvl w:val="0"/>
    </w:pPr>
    <w:rPr>
      <w:rFonts w:asciiTheme="majorHAnsi" w:eastAsiaTheme="majorEastAsia" w:hAnsiTheme="majorHAnsi" w:cstheme="majorBidi" w:ascii="Lato" w:hAnsi="Lato" w:eastAsia="Lato"/>
      <w:b/>
      <w:bCs/>
      <w:i w:val="0"/>
      <w:color w:val="12263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Lato" w:hAnsi="Lato" w:eastAsia="Lato"/>
      <w:b/>
      <w:bCs/>
      <w:i w:val="0"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Lato" w:hAnsi="Lato" w:eastAsia="Lato"/>
      <w:b/>
      <w:i w:val="0"/>
      <w:color w:val="12263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0"/>
    </w:pPr>
    <w:rPr>
      <w:rFonts w:asciiTheme="majorHAnsi" w:eastAsiaTheme="majorEastAsia" w:hAnsiTheme="majorHAnsi" w:cstheme="majorBidi" w:ascii="Caladea" w:hAnsi="Caladea" w:eastAsia="Caladea"/>
      <w:b w:val="0"/>
      <w:i/>
      <w:iCs/>
      <w:color w:val="44546A"/>
      <w:spacing w:val="15"/>
      <w:sz w:val="23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ind w:left="397" w:hanging="198"/>
      <w:contextualSpacing/>
    </w:pPr>
    <w:rPr>
      <w:rFonts w:ascii="Caladea" w:hAnsi="Caladea" w:eastAsia="Caladea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Validation Report r3 — Omnira Mobile Intelligence &amp; Device Control v1.0 (APPROVED)</dc:title>
  <dc:subject/>
  <dc:creator>André Hultgren</dc:creator>
  <cp:keywords/>
  <dc:description>Canonical Edition v1.0 — APPROVED. Godkänd av André Hultgren 2026-07-30.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