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Review Report</w:t>
      </w:r>
    </w:p>
    <w:p>
      <w:pPr>
        <w:pStyle w:val="Subtitle"/>
      </w:pPr>
      <w:r>
        <w:t>Omnira — Mobile Intelligence &amp; Device Control · Canonical Edition v1.0 (APPROVED)</w:t>
      </w:r>
    </w:p>
    <w:p/>
    <w:p>
      <w:r>
        <w:rPr>
          <w:sz w:val="20"/>
        </w:rPr>
        <w:t>Detta är ett härlett stöddokument. Det innehåller inga nya arkitekturkrav och ändrar ingen canonical bestämmelse. Rapporten granskar redaktionell konsistens, kravkvalitet och struktur. Samtliga observationer är iakttagelser, inte utförda ändringar.</w:t>
      </w:r>
    </w:p>
    <w:p/>
    <w:tbl>
      <w:tblPr>
        <w:tblStyle w:val="LightGrid-Accent1"/>
        <w:tblW w:type="auto" w:w="0"/>
        <w:tblLayout w:type="fixed"/>
        <w:tblLook w:firstColumn="1" w:firstRow="1" w:lastColumn="0" w:lastRow="0" w:noHBand="0" w:noVBand="1" w:val="04A0"/>
      </w:tblPr>
      <w:tblGrid>
        <w:gridCol w:w="4536"/>
        <w:gridCol w:w="4536"/>
      </w:tblGrid>
      <w:tr>
        <w:trPr>
          <w:tblHeader/>
        </w:trPr>
        <w:tc>
          <w:tcPr>
            <w:tcW w:type="dxa" w:w="2041"/>
          </w:tcPr>
          <w:p>
            <w:pPr>
              <w:jc w:val="left"/>
            </w:pPr>
            <w:r>
              <w:rPr>
                <w:rFonts w:ascii="Lato" w:hAnsi="Lato"/>
                <w:b/>
                <w:sz w:val="17"/>
              </w:rPr>
              <w:t>Fält</w:t>
            </w:r>
          </w:p>
        </w:tc>
        <w:tc>
          <w:tcPr>
            <w:tcW w:type="dxa" w:w="7030"/>
          </w:tcPr>
          <w:p>
            <w:pPr>
              <w:jc w:val="left"/>
            </w:pPr>
            <w:r>
              <w:rPr>
                <w:rFonts w:ascii="Lato" w:hAnsi="Lato"/>
                <w:b/>
                <w:sz w:val="17"/>
              </w:rPr>
              <w:t>Värde</w:t>
            </w:r>
          </w:p>
        </w:tc>
      </w:tr>
      <w:tr>
        <w:tc>
          <w:tcPr>
            <w:tcW w:type="dxa" w:w="2041"/>
          </w:tcPr>
          <w:p>
            <w:pPr>
              <w:spacing w:after="20"/>
              <w:jc w:val="left"/>
            </w:pPr>
            <w:r>
              <w:rPr>
                <w:sz w:val="17"/>
              </w:rPr>
              <w:t>Granskningsobjekt</w:t>
            </w:r>
          </w:p>
        </w:tc>
        <w:tc>
          <w:tcPr>
            <w:tcW w:type="dxa" w:w="7030"/>
          </w:tcPr>
          <w:p>
            <w:pPr>
              <w:spacing w:after="20"/>
              <w:jc w:val="left"/>
            </w:pPr>
            <w:r>
              <w:rPr>
                <w:sz w:val="17"/>
              </w:rPr>
              <w:t>Kapitel 1–32 samt Decision Register och Book Architecture</w:t>
            </w:r>
          </w:p>
        </w:tc>
      </w:tr>
      <w:tr>
        <w:tc>
          <w:tcPr>
            <w:tcW w:type="dxa" w:w="2041"/>
          </w:tcPr>
          <w:p>
            <w:pPr>
              <w:spacing w:after="20"/>
              <w:jc w:val="left"/>
            </w:pPr>
            <w:r>
              <w:rPr>
                <w:sz w:val="17"/>
              </w:rPr>
              <w:t>Källa</w:t>
            </w:r>
          </w:p>
        </w:tc>
        <w:tc>
          <w:tcPr>
            <w:tcW w:type="dxa" w:w="7030"/>
          </w:tcPr>
          <w:p>
            <w:pPr>
              <w:spacing w:after="20"/>
              <w:jc w:val="left"/>
            </w:pPr>
            <w:r>
              <w:rPr>
                <w:sz w:val="17"/>
              </w:rPr>
              <w:t>Sources/Canonical-Source-Set-v1.0/</w:t>
            </w:r>
          </w:p>
        </w:tc>
      </w:tr>
      <w:tr>
        <w:tc>
          <w:tcPr>
            <w:tcW w:type="dxa" w:w="2041"/>
          </w:tcPr>
          <w:p>
            <w:pPr>
              <w:spacing w:after="20"/>
              <w:jc w:val="left"/>
            </w:pPr>
            <w:r>
              <w:rPr>
                <w:sz w:val="17"/>
              </w:rPr>
              <w:t>Datum</w:t>
            </w:r>
          </w:p>
        </w:tc>
        <w:tc>
          <w:tcPr>
            <w:tcW w:type="dxa" w:w="7030"/>
          </w:tcPr>
          <w:p>
            <w:pPr>
              <w:spacing w:after="20"/>
              <w:jc w:val="left"/>
            </w:pPr>
            <w:r>
              <w:rPr>
                <w:sz w:val="17"/>
              </w:rPr>
              <w:t>2026-07-30</w:t>
            </w:r>
          </w:p>
        </w:tc>
      </w:tr>
      <w:tr>
        <w:tc>
          <w:tcPr>
            <w:tcW w:type="dxa" w:w="2041"/>
          </w:tcPr>
          <w:p>
            <w:pPr>
              <w:spacing w:after="20"/>
              <w:jc w:val="left"/>
            </w:pPr>
            <w:r>
              <w:rPr>
                <w:sz w:val="17"/>
              </w:rPr>
              <w:t>Samlat omdöme</w:t>
            </w:r>
          </w:p>
        </w:tc>
        <w:tc>
          <w:tcPr>
            <w:tcW w:type="dxa" w:w="7030"/>
          </w:tcPr>
          <w:p>
            <w:pPr>
              <w:spacing w:after="20"/>
              <w:jc w:val="left"/>
            </w:pPr>
            <w:r>
              <w:rPr>
                <w:sz w:val="17"/>
              </w:rPr>
              <w:t>Hög och jämn redaktionell kvalitet. Fyra observationer, ingen blockerande.</w:t>
            </w:r>
          </w:p>
        </w:tc>
      </w:tr>
    </w:tbl>
    <w:p/>
    <w:p>
      <w:pPr>
        <w:pStyle w:val="Heading1"/>
      </w:pPr>
      <w:r>
        <w:t>1. Kravkvalitet</w:t>
      </w:r>
    </w:p>
    <w:p>
      <w:r>
        <w:t>Kravformuleringarna håller genomgående hög kvalitet mätt mot vedertagna kriterier för normativa krav.</w:t>
      </w:r>
    </w:p>
    <w:tbl>
      <w:tblPr>
        <w:tblStyle w:val="LightGrid-Accent1"/>
        <w:tblW w:type="auto" w:w="0"/>
        <w:tblLayout w:type="fixed"/>
        <w:tblLook w:firstColumn="1" w:firstRow="1" w:lastColumn="0" w:lastRow="0" w:noHBand="0" w:noVBand="1" w:val="04A0"/>
      </w:tblPr>
      <w:tblGrid>
        <w:gridCol w:w="3024"/>
        <w:gridCol w:w="3024"/>
        <w:gridCol w:w="3024"/>
      </w:tblGrid>
      <w:tr>
        <w:trPr>
          <w:tblHeader/>
        </w:trPr>
        <w:tc>
          <w:tcPr>
            <w:tcW w:type="dxa" w:w="3402"/>
          </w:tcPr>
          <w:p>
            <w:pPr>
              <w:jc w:val="left"/>
            </w:pPr>
            <w:r>
              <w:rPr>
                <w:rFonts w:ascii="Lato" w:hAnsi="Lato"/>
                <w:b/>
                <w:sz w:val="17"/>
              </w:rPr>
              <w:t>Mått</w:t>
            </w:r>
          </w:p>
        </w:tc>
        <w:tc>
          <w:tcPr>
            <w:tcW w:type="dxa" w:w="2608"/>
          </w:tcPr>
          <w:p>
            <w:pPr>
              <w:jc w:val="left"/>
            </w:pPr>
            <w:r>
              <w:rPr>
                <w:rFonts w:ascii="Lato" w:hAnsi="Lato"/>
                <w:b/>
                <w:sz w:val="17"/>
              </w:rPr>
              <w:t>Värde</w:t>
            </w:r>
          </w:p>
        </w:tc>
        <w:tc>
          <w:tcPr>
            <w:tcW w:type="dxa" w:w="3061"/>
          </w:tcPr>
          <w:p>
            <w:pPr>
              <w:jc w:val="left"/>
            </w:pPr>
            <w:r>
              <w:rPr>
                <w:rFonts w:ascii="Lato" w:hAnsi="Lato"/>
                <w:b/>
                <w:sz w:val="17"/>
              </w:rPr>
              <w:t>Bedömning</w:t>
            </w:r>
          </w:p>
        </w:tc>
      </w:tr>
      <w:tr>
        <w:tc>
          <w:tcPr>
            <w:tcW w:type="dxa" w:w="3402"/>
          </w:tcPr>
          <w:p>
            <w:pPr>
              <w:spacing w:after="20"/>
              <w:jc w:val="left"/>
            </w:pPr>
            <w:r>
              <w:rPr>
                <w:sz w:val="17"/>
              </w:rPr>
              <w:t>Antal krav</w:t>
            </w:r>
          </w:p>
        </w:tc>
        <w:tc>
          <w:tcPr>
            <w:tcW w:type="dxa" w:w="2608"/>
          </w:tcPr>
          <w:p>
            <w:pPr>
              <w:spacing w:after="20"/>
              <w:jc w:val="left"/>
            </w:pPr>
            <w:r>
              <w:rPr>
                <w:sz w:val="17"/>
              </w:rPr>
              <w:t>8 920</w:t>
            </w:r>
          </w:p>
        </w:tc>
        <w:tc>
          <w:tcPr>
            <w:tcW w:type="dxa" w:w="3061"/>
          </w:tcPr>
          <w:p>
            <w:pPr>
              <w:spacing w:after="20"/>
              <w:jc w:val="left"/>
            </w:pPr>
            <w:r>
              <w:rPr>
                <w:sz w:val="17"/>
              </w:rPr>
              <w:t>—</w:t>
            </w:r>
          </w:p>
        </w:tc>
      </w:tr>
      <w:tr>
        <w:tc>
          <w:tcPr>
            <w:tcW w:type="dxa" w:w="3402"/>
          </w:tcPr>
          <w:p>
            <w:pPr>
              <w:spacing w:after="20"/>
              <w:jc w:val="left"/>
            </w:pPr>
            <w:r>
              <w:rPr>
                <w:sz w:val="17"/>
              </w:rPr>
              <w:t>Genomsnittlig kravlängd</w:t>
            </w:r>
          </w:p>
        </w:tc>
        <w:tc>
          <w:tcPr>
            <w:tcW w:type="dxa" w:w="2608"/>
          </w:tcPr>
          <w:p>
            <w:pPr>
              <w:spacing w:after="20"/>
              <w:jc w:val="left"/>
            </w:pPr>
            <w:r>
              <w:rPr>
                <w:sz w:val="17"/>
              </w:rPr>
              <w:t>9.6 ord</w:t>
            </w:r>
          </w:p>
        </w:tc>
        <w:tc>
          <w:tcPr>
            <w:tcW w:type="dxa" w:w="3061"/>
          </w:tcPr>
          <w:p>
            <w:pPr>
              <w:spacing w:after="20"/>
              <w:jc w:val="left"/>
            </w:pPr>
            <w:r>
              <w:rPr>
                <w:sz w:val="17"/>
              </w:rPr>
              <w:t>Utmärkt — korta, läsbara krav</w:t>
            </w:r>
          </w:p>
        </w:tc>
      </w:tr>
      <w:tr>
        <w:tc>
          <w:tcPr>
            <w:tcW w:type="dxa" w:w="3402"/>
          </w:tcPr>
          <w:p>
            <w:pPr>
              <w:spacing w:after="20"/>
              <w:jc w:val="left"/>
            </w:pPr>
            <w:r>
              <w:rPr>
                <w:sz w:val="17"/>
              </w:rPr>
              <w:t>Längsta krav</w:t>
            </w:r>
          </w:p>
        </w:tc>
        <w:tc>
          <w:tcPr>
            <w:tcW w:type="dxa" w:w="2608"/>
          </w:tcPr>
          <w:p>
            <w:pPr>
              <w:spacing w:after="20"/>
              <w:jc w:val="left"/>
            </w:pPr>
            <w:r>
              <w:rPr>
                <w:sz w:val="17"/>
              </w:rPr>
              <w:t>25 ord</w:t>
            </w:r>
          </w:p>
        </w:tc>
        <w:tc>
          <w:tcPr>
            <w:tcW w:type="dxa" w:w="3061"/>
          </w:tcPr>
          <w:p>
            <w:pPr>
              <w:spacing w:after="20"/>
              <w:jc w:val="left"/>
            </w:pPr>
            <w:r>
              <w:rPr>
                <w:sz w:val="17"/>
              </w:rPr>
              <w:t>Utmärkt — inget krav är svåröverskådligt</w:t>
            </w:r>
          </w:p>
        </w:tc>
      </w:tr>
      <w:tr>
        <w:tc>
          <w:tcPr>
            <w:tcW w:type="dxa" w:w="3402"/>
          </w:tcPr>
          <w:p>
            <w:pPr>
              <w:spacing w:after="20"/>
              <w:jc w:val="left"/>
            </w:pPr>
            <w:r>
              <w:rPr>
                <w:sz w:val="17"/>
              </w:rPr>
              <w:t>Krav längre än 40 ord</w:t>
            </w:r>
          </w:p>
        </w:tc>
        <w:tc>
          <w:tcPr>
            <w:tcW w:type="dxa" w:w="2608"/>
          </w:tcPr>
          <w:p>
            <w:pPr>
              <w:spacing w:after="20"/>
              <w:jc w:val="left"/>
            </w:pPr>
            <w:r>
              <w:rPr>
                <w:sz w:val="17"/>
              </w:rPr>
              <w:t>0</w:t>
            </w:r>
          </w:p>
        </w:tc>
        <w:tc>
          <w:tcPr>
            <w:tcW w:type="dxa" w:w="3061"/>
          </w:tcPr>
          <w:p>
            <w:pPr>
              <w:spacing w:after="20"/>
              <w:jc w:val="left"/>
            </w:pPr>
            <w:r>
              <w:rPr>
                <w:sz w:val="17"/>
              </w:rPr>
              <w:t>Utmärkt</w:t>
            </w:r>
          </w:p>
        </w:tc>
      </w:tr>
      <w:tr>
        <w:tc>
          <w:tcPr>
            <w:tcW w:type="dxa" w:w="3402"/>
          </w:tcPr>
          <w:p>
            <w:pPr>
              <w:spacing w:after="20"/>
              <w:jc w:val="left"/>
            </w:pPr>
            <w:r>
              <w:rPr>
                <w:sz w:val="17"/>
              </w:rPr>
              <w:t>Krav som innehåller flera meningar</w:t>
            </w:r>
          </w:p>
        </w:tc>
        <w:tc>
          <w:tcPr>
            <w:tcW w:type="dxa" w:w="2608"/>
          </w:tcPr>
          <w:p>
            <w:pPr>
              <w:spacing w:after="20"/>
              <w:jc w:val="left"/>
            </w:pPr>
            <w:r>
              <w:rPr>
                <w:sz w:val="17"/>
              </w:rPr>
              <w:t>0</w:t>
            </w:r>
          </w:p>
        </w:tc>
        <w:tc>
          <w:tcPr>
            <w:tcW w:type="dxa" w:w="3061"/>
          </w:tcPr>
          <w:p>
            <w:pPr>
              <w:spacing w:after="20"/>
              <w:jc w:val="left"/>
            </w:pPr>
            <w:r>
              <w:rPr>
                <w:sz w:val="17"/>
              </w:rPr>
              <w:t>Utmärkt — varje krav är atomiskt</w:t>
            </w:r>
          </w:p>
        </w:tc>
      </w:tr>
      <w:tr>
        <w:tc>
          <w:tcPr>
            <w:tcW w:type="dxa" w:w="3402"/>
          </w:tcPr>
          <w:p>
            <w:pPr>
              <w:spacing w:after="20"/>
              <w:jc w:val="left"/>
            </w:pPr>
            <w:r>
              <w:rPr>
                <w:sz w:val="17"/>
              </w:rPr>
              <w:t>Krav kortare än 5 ord</w:t>
            </w:r>
          </w:p>
        </w:tc>
        <w:tc>
          <w:tcPr>
            <w:tcW w:type="dxa" w:w="2608"/>
          </w:tcPr>
          <w:p>
            <w:pPr>
              <w:spacing w:after="20"/>
              <w:jc w:val="left"/>
            </w:pPr>
            <w:r>
              <w:rPr>
                <w:sz w:val="17"/>
              </w:rPr>
              <w:t>104</w:t>
            </w:r>
          </w:p>
        </w:tc>
        <w:tc>
          <w:tcPr>
            <w:tcW w:type="dxa" w:w="3061"/>
          </w:tcPr>
          <w:p>
            <w:pPr>
              <w:spacing w:after="20"/>
              <w:jc w:val="left"/>
            </w:pPr>
            <w:r>
              <w:rPr>
                <w:sz w:val="17"/>
              </w:rPr>
              <w:t>Observation 2</w:t>
            </w:r>
          </w:p>
        </w:tc>
      </w:tr>
      <w:tr>
        <w:tc>
          <w:tcPr>
            <w:tcW w:type="dxa" w:w="3402"/>
          </w:tcPr>
          <w:p>
            <w:pPr>
              <w:spacing w:after="20"/>
              <w:jc w:val="left"/>
            </w:pPr>
            <w:r>
              <w:rPr>
                <w:sz w:val="17"/>
              </w:rPr>
              <w:t>Krav med normativ term ur §7</w:t>
            </w:r>
          </w:p>
        </w:tc>
        <w:tc>
          <w:tcPr>
            <w:tcW w:type="dxa" w:w="2608"/>
          </w:tcPr>
          <w:p>
            <w:pPr>
              <w:spacing w:after="20"/>
              <w:jc w:val="left"/>
            </w:pPr>
            <w:r>
              <w:rPr>
                <w:sz w:val="17"/>
              </w:rPr>
              <w:t>8 911 av 8 920 (99,9 %)</w:t>
            </w:r>
          </w:p>
        </w:tc>
        <w:tc>
          <w:tcPr>
            <w:tcW w:type="dxa" w:w="3061"/>
          </w:tcPr>
          <w:p>
            <w:pPr>
              <w:spacing w:after="20"/>
              <w:jc w:val="left"/>
            </w:pPr>
            <w:r>
              <w:rPr>
                <w:sz w:val="17"/>
              </w:rPr>
              <w:t>Utmärkt</w:t>
            </w:r>
          </w:p>
        </w:tc>
      </w:tr>
      <w:tr>
        <w:tc>
          <w:tcPr>
            <w:tcW w:type="dxa" w:w="3402"/>
          </w:tcPr>
          <w:p>
            <w:pPr>
              <w:spacing w:after="20"/>
              <w:jc w:val="left"/>
            </w:pPr>
            <w:r>
              <w:rPr>
                <w:sz w:val="17"/>
              </w:rPr>
              <w:t>Krav utan normativ term</w:t>
            </w:r>
          </w:p>
        </w:tc>
        <w:tc>
          <w:tcPr>
            <w:tcW w:type="dxa" w:w="2608"/>
          </w:tcPr>
          <w:p>
            <w:pPr>
              <w:spacing w:after="20"/>
              <w:jc w:val="left"/>
            </w:pPr>
            <w:r>
              <w:rPr>
                <w:sz w:val="17"/>
              </w:rPr>
              <w:t>9</w:t>
            </w:r>
          </w:p>
        </w:tc>
        <w:tc>
          <w:tcPr>
            <w:tcW w:type="dxa" w:w="3061"/>
          </w:tcPr>
          <w:p>
            <w:pPr>
              <w:spacing w:after="20"/>
              <w:jc w:val="left"/>
            </w:pPr>
            <w:r>
              <w:rPr>
                <w:sz w:val="17"/>
              </w:rPr>
              <w:t>Samtliga beskrivande satser, avsiktligt</w:t>
            </w:r>
          </w:p>
        </w:tc>
      </w:tr>
    </w:tbl>
    <w:p/>
    <w:p>
      <w:r>
        <w:t>Att inget krav sträcker sig över flera meningar är ovanligt starkt. Det gör kraven direkt testbara och möjliga att referera enskilt, vilket är en förutsättning för den verification matrix som nu finns.</w:t>
      </w:r>
    </w:p>
    <w:p>
      <w:pPr>
        <w:pStyle w:val="Heading1"/>
      </w:pPr>
      <w:r>
        <w:t>2. Terminologisk konsistens</w:t>
      </w:r>
    </w:p>
    <w:tbl>
      <w:tblPr>
        <w:tblStyle w:val="LightGrid-Accent1"/>
        <w:tblW w:type="auto" w:w="0"/>
        <w:tblLayout w:type="fixed"/>
        <w:tblLook w:firstColumn="1" w:firstRow="1" w:lastColumn="0" w:lastRow="0" w:noHBand="0" w:noVBand="1" w:val="04A0"/>
      </w:tblPr>
      <w:tblGrid>
        <w:gridCol w:w="4536"/>
        <w:gridCol w:w="4536"/>
      </w:tblGrid>
      <w:tr>
        <w:trPr>
          <w:tblHeader/>
        </w:trPr>
        <w:tc>
          <w:tcPr>
            <w:tcW w:type="dxa" w:w="3628"/>
          </w:tcPr>
          <w:p>
            <w:pPr>
              <w:jc w:val="left"/>
            </w:pPr>
            <w:r>
              <w:rPr>
                <w:rFonts w:ascii="Lato" w:hAnsi="Lato"/>
                <w:b/>
                <w:sz w:val="17"/>
              </w:rPr>
              <w:t>Kontroll</w:t>
            </w:r>
          </w:p>
        </w:tc>
        <w:tc>
          <w:tcPr>
            <w:tcW w:type="dxa" w:w="5443"/>
          </w:tcPr>
          <w:p>
            <w:pPr>
              <w:jc w:val="left"/>
            </w:pPr>
            <w:r>
              <w:rPr>
                <w:rFonts w:ascii="Lato" w:hAnsi="Lato"/>
                <w:b/>
                <w:sz w:val="17"/>
              </w:rPr>
              <w:t>Resultat</w:t>
            </w:r>
          </w:p>
        </w:tc>
      </w:tr>
      <w:tr>
        <w:tc>
          <w:tcPr>
            <w:tcW w:type="dxa" w:w="3628"/>
          </w:tcPr>
          <w:p>
            <w:pPr>
              <w:spacing w:after="20"/>
              <w:jc w:val="left"/>
            </w:pPr>
            <w:r>
              <w:rPr>
                <w:sz w:val="17"/>
              </w:rPr>
              <w:t>Normativ vokabulär enligt §7</w:t>
            </w:r>
          </w:p>
        </w:tc>
        <w:tc>
          <w:tcPr>
            <w:tcW w:type="dxa" w:w="5443"/>
          </w:tcPr>
          <w:p>
            <w:pPr>
              <w:spacing w:after="20"/>
              <w:jc w:val="left"/>
            </w:pPr>
            <w:r>
              <w:rPr>
                <w:sz w:val="17"/>
              </w:rPr>
              <w:t>Följs av 99,9 % av kraven</w:t>
            </w:r>
          </w:p>
        </w:tc>
      </w:tr>
      <w:tr>
        <w:tc>
          <w:tcPr>
            <w:tcW w:type="dxa" w:w="3628"/>
          </w:tcPr>
          <w:p>
            <w:pPr>
              <w:spacing w:after="20"/>
              <w:jc w:val="left"/>
            </w:pPr>
            <w:r>
              <w:rPr>
                <w:sz w:val="17"/>
              </w:rPr>
              <w:t>Avvikande förbudsformer</w:t>
            </w:r>
          </w:p>
        </w:tc>
        <w:tc>
          <w:tcPr>
            <w:tcW w:type="dxa" w:w="5443"/>
          </w:tcPr>
          <w:p>
            <w:pPr>
              <w:spacing w:after="20"/>
              <w:jc w:val="left"/>
            </w:pPr>
            <w:r>
              <w:rPr>
                <w:sz w:val="17"/>
              </w:rPr>
              <w:t>0 — samtliga 22 standardiserade till FÅR INTE i denna utgåva</w:t>
            </w:r>
          </w:p>
        </w:tc>
      </w:tr>
      <w:tr>
        <w:tc>
          <w:tcPr>
            <w:tcW w:type="dxa" w:w="3628"/>
          </w:tcPr>
          <w:p>
            <w:pPr>
              <w:spacing w:after="20"/>
              <w:jc w:val="left"/>
            </w:pPr>
            <w:r>
              <w:rPr>
                <w:sz w:val="17"/>
              </w:rPr>
              <w:t>Blandade citattecken</w:t>
            </w:r>
          </w:p>
        </w:tc>
        <w:tc>
          <w:tcPr>
            <w:tcW w:type="dxa" w:w="5443"/>
          </w:tcPr>
          <w:p>
            <w:pPr>
              <w:spacing w:after="20"/>
              <w:jc w:val="left"/>
            </w:pPr>
            <w:r>
              <w:rPr>
                <w:sz w:val="17"/>
              </w:rPr>
              <w:t>Nej — 374 typografiska, 0 raka</w:t>
            </w:r>
          </w:p>
        </w:tc>
      </w:tr>
      <w:tr>
        <w:tc>
          <w:tcPr>
            <w:tcW w:type="dxa" w:w="3628"/>
          </w:tcPr>
          <w:p>
            <w:pPr>
              <w:spacing w:after="20"/>
              <w:jc w:val="left"/>
            </w:pPr>
            <w:r>
              <w:rPr>
                <w:sz w:val="17"/>
              </w:rPr>
              <w:t>Tankstreck</w:t>
            </w:r>
          </w:p>
        </w:tc>
        <w:tc>
          <w:tcPr>
            <w:tcW w:type="dxa" w:w="5443"/>
          </w:tcPr>
          <w:p>
            <w:pPr>
              <w:spacing w:after="20"/>
              <w:jc w:val="left"/>
            </w:pPr>
            <w:r>
              <w:rPr>
                <w:sz w:val="17"/>
              </w:rPr>
              <w:t>1310 em-dash, 99 en-dash — konsekvent bruk</w:t>
            </w:r>
          </w:p>
        </w:tc>
      </w:tr>
      <w:tr>
        <w:tc>
          <w:tcPr>
            <w:tcW w:type="dxa" w:w="3628"/>
          </w:tcPr>
          <w:p>
            <w:pPr>
              <w:spacing w:after="20"/>
              <w:jc w:val="left"/>
            </w:pPr>
            <w:r>
              <w:rPr>
                <w:sz w:val="17"/>
              </w:rPr>
              <w:t>Boktitel</w:t>
            </w:r>
          </w:p>
        </w:tc>
        <w:tc>
          <w:tcPr>
            <w:tcW w:type="dxa" w:w="5443"/>
          </w:tcPr>
          <w:p>
            <w:pPr>
              <w:spacing w:after="20"/>
              <w:jc w:val="left"/>
            </w:pPr>
            <w:r>
              <w:rPr>
                <w:sz w:val="17"/>
              </w:rPr>
              <w:t>Konsekvent i samtliga kapitel</w:t>
            </w:r>
          </w:p>
        </w:tc>
      </w:tr>
      <w:tr>
        <w:tc>
          <w:tcPr>
            <w:tcW w:type="dxa" w:w="3628"/>
          </w:tcPr>
          <w:p>
            <w:pPr>
              <w:spacing w:after="20"/>
              <w:jc w:val="left"/>
            </w:pPr>
            <w:r>
              <w:rPr>
                <w:sz w:val="17"/>
              </w:rPr>
              <w:t>Kapitelstatusrad</w:t>
            </w:r>
          </w:p>
        </w:tc>
        <w:tc>
          <w:tcPr>
            <w:tcW w:type="dxa" w:w="5443"/>
          </w:tcPr>
          <w:p>
            <w:pPr>
              <w:spacing w:after="20"/>
              <w:jc w:val="left"/>
            </w:pPr>
            <w:r>
              <w:rPr>
                <w:sz w:val="17"/>
              </w:rPr>
              <w:t>Identisk i 32/32 kapitel</w:t>
            </w:r>
          </w:p>
        </w:tc>
      </w:tr>
    </w:tbl>
    <w:p/>
    <w:p>
      <w:r>
        <w:t>Svensk brödtext med engelska fackbegrepp används genomgående och konsekvent. Det är ett medvetet val enligt Chapter Plan §13 och tillämpas utan glidningar.</w:t>
      </w:r>
    </w:p>
    <w:p>
      <w:pPr>
        <w:pStyle w:val="Heading1"/>
      </w:pPr>
      <w:r>
        <w:t>3. Struktur och balans</w:t>
      </w:r>
    </w:p>
    <w:tbl>
      <w:tblPr>
        <w:tblStyle w:val="LightGrid-Accent1"/>
        <w:tblW w:type="auto" w:w="0"/>
        <w:tblLayout w:type="fixed"/>
        <w:tblLook w:firstColumn="1" w:firstRow="1" w:lastColumn="0" w:lastRow="0" w:noHBand="0" w:noVBand="1" w:val="04A0"/>
      </w:tblPr>
      <w:tblGrid>
        <w:gridCol w:w="2268"/>
        <w:gridCol w:w="2268"/>
        <w:gridCol w:w="2268"/>
        <w:gridCol w:w="2268"/>
      </w:tblGrid>
      <w:tr>
        <w:trPr>
          <w:tblHeader/>
        </w:trPr>
        <w:tc>
          <w:tcPr>
            <w:tcW w:type="dxa" w:w="2608"/>
          </w:tcPr>
          <w:p>
            <w:pPr>
              <w:jc w:val="left"/>
            </w:pPr>
            <w:r>
              <w:rPr>
                <w:rFonts w:ascii="Lato" w:hAnsi="Lato"/>
                <w:b/>
                <w:sz w:val="17"/>
              </w:rPr>
              <w:t>Mått</w:t>
            </w:r>
          </w:p>
        </w:tc>
        <w:tc>
          <w:tcPr>
            <w:tcW w:type="dxa" w:w="2268"/>
          </w:tcPr>
          <w:p>
            <w:pPr>
              <w:jc w:val="left"/>
            </w:pPr>
            <w:r>
              <w:rPr>
                <w:rFonts w:ascii="Lato" w:hAnsi="Lato"/>
                <w:b/>
                <w:sz w:val="17"/>
              </w:rPr>
              <w:t>Lägst</w:t>
            </w:r>
          </w:p>
        </w:tc>
        <w:tc>
          <w:tcPr>
            <w:tcW w:type="dxa" w:w="2268"/>
          </w:tcPr>
          <w:p>
            <w:pPr>
              <w:jc w:val="left"/>
            </w:pPr>
            <w:r>
              <w:rPr>
                <w:rFonts w:ascii="Lato" w:hAnsi="Lato"/>
                <w:b/>
                <w:sz w:val="17"/>
              </w:rPr>
              <w:t>Högst</w:t>
            </w:r>
          </w:p>
        </w:tc>
        <w:tc>
          <w:tcPr>
            <w:tcW w:type="dxa" w:w="1928"/>
          </w:tcPr>
          <w:p>
            <w:pPr>
              <w:jc w:val="left"/>
            </w:pPr>
            <w:r>
              <w:rPr>
                <w:rFonts w:ascii="Lato" w:hAnsi="Lato"/>
                <w:b/>
                <w:sz w:val="17"/>
              </w:rPr>
              <w:t>Kvot</w:t>
            </w:r>
          </w:p>
        </w:tc>
      </w:tr>
      <w:tr>
        <w:tc>
          <w:tcPr>
            <w:tcW w:type="dxa" w:w="2608"/>
          </w:tcPr>
          <w:p>
            <w:pPr>
              <w:spacing w:after="20"/>
              <w:jc w:val="left"/>
            </w:pPr>
            <w:r>
              <w:rPr>
                <w:sz w:val="17"/>
              </w:rPr>
              <w:t>Ord per kapitel</w:t>
            </w:r>
          </w:p>
        </w:tc>
        <w:tc>
          <w:tcPr>
            <w:tcW w:type="dxa" w:w="2268"/>
          </w:tcPr>
          <w:p>
            <w:pPr>
              <w:spacing w:after="20"/>
              <w:jc w:val="left"/>
            </w:pPr>
            <w:r>
              <w:rPr>
                <w:sz w:val="17"/>
              </w:rPr>
              <w:t>Kapitel 2: 3 342 ord</w:t>
            </w:r>
          </w:p>
        </w:tc>
        <w:tc>
          <w:tcPr>
            <w:tcW w:type="dxa" w:w="2268"/>
          </w:tcPr>
          <w:p>
            <w:pPr>
              <w:spacing w:after="20"/>
              <w:jc w:val="left"/>
            </w:pPr>
            <w:r>
              <w:rPr>
                <w:sz w:val="17"/>
              </w:rPr>
              <w:t>Kapitel 29: 10 238 ord</w:t>
            </w:r>
          </w:p>
        </w:tc>
        <w:tc>
          <w:tcPr>
            <w:tcW w:type="dxa" w:w="1928"/>
          </w:tcPr>
          <w:p>
            <w:pPr>
              <w:spacing w:after="20"/>
              <w:jc w:val="left"/>
            </w:pPr>
            <w:r>
              <w:rPr>
                <w:sz w:val="17"/>
              </w:rPr>
              <w:t>3,1×</w:t>
            </w:r>
          </w:p>
        </w:tc>
      </w:tr>
      <w:tr>
        <w:tc>
          <w:tcPr>
            <w:tcW w:type="dxa" w:w="2608"/>
          </w:tcPr>
          <w:p>
            <w:pPr>
              <w:spacing w:after="20"/>
              <w:jc w:val="left"/>
            </w:pPr>
            <w:r>
              <w:rPr>
                <w:sz w:val="17"/>
              </w:rPr>
              <w:t>Krav per kapitel</w:t>
            </w:r>
          </w:p>
        </w:tc>
        <w:tc>
          <w:tcPr>
            <w:tcW w:type="dxa" w:w="2268"/>
          </w:tcPr>
          <w:p>
            <w:pPr>
              <w:spacing w:after="20"/>
              <w:jc w:val="left"/>
            </w:pPr>
            <w:r>
              <w:rPr>
                <w:sz w:val="17"/>
              </w:rPr>
              <w:t>Kapitel 2: 67</w:t>
            </w:r>
          </w:p>
        </w:tc>
        <w:tc>
          <w:tcPr>
            <w:tcW w:type="dxa" w:w="2268"/>
          </w:tcPr>
          <w:p>
            <w:pPr>
              <w:spacing w:after="20"/>
              <w:jc w:val="left"/>
            </w:pPr>
            <w:r>
              <w:rPr>
                <w:sz w:val="17"/>
              </w:rPr>
              <w:t>Kapitel 31: 473</w:t>
            </w:r>
          </w:p>
        </w:tc>
        <w:tc>
          <w:tcPr>
            <w:tcW w:type="dxa" w:w="1928"/>
          </w:tcPr>
          <w:p>
            <w:pPr>
              <w:spacing w:after="20"/>
              <w:jc w:val="left"/>
            </w:pPr>
            <w:r>
              <w:rPr>
                <w:sz w:val="17"/>
              </w:rPr>
              <w:t>7,1×</w:t>
            </w:r>
          </w:p>
        </w:tc>
      </w:tr>
      <w:tr>
        <w:tc>
          <w:tcPr>
            <w:tcW w:type="dxa" w:w="2608"/>
          </w:tcPr>
          <w:p>
            <w:pPr>
              <w:spacing w:after="20"/>
              <w:jc w:val="left"/>
            </w:pPr>
            <w:r>
              <w:rPr>
                <w:sz w:val="17"/>
              </w:rPr>
              <w:t>Sektioner per kapitel</w:t>
            </w:r>
          </w:p>
        </w:tc>
        <w:tc>
          <w:tcPr>
            <w:tcW w:type="dxa" w:w="2268"/>
          </w:tcPr>
          <w:p>
            <w:pPr>
              <w:spacing w:after="20"/>
              <w:jc w:val="left"/>
            </w:pPr>
            <w:r>
              <w:rPr>
                <w:sz w:val="17"/>
              </w:rPr>
              <w:t>Kapitel 2: 28</w:t>
            </w:r>
          </w:p>
        </w:tc>
        <w:tc>
          <w:tcPr>
            <w:tcW w:type="dxa" w:w="2268"/>
          </w:tcPr>
          <w:p>
            <w:pPr>
              <w:spacing w:after="20"/>
              <w:jc w:val="left"/>
            </w:pPr>
            <w:r>
              <w:rPr>
                <w:sz w:val="17"/>
              </w:rPr>
              <w:t>Kapitel 31: 166</w:t>
            </w:r>
          </w:p>
        </w:tc>
        <w:tc>
          <w:tcPr>
            <w:tcW w:type="dxa" w:w="1928"/>
          </w:tcPr>
          <w:p>
            <w:pPr>
              <w:spacing w:after="20"/>
              <w:jc w:val="left"/>
            </w:pPr>
            <w:r>
              <w:rPr>
                <w:sz w:val="17"/>
              </w:rPr>
              <w:t>5,9×</w:t>
            </w:r>
          </w:p>
        </w:tc>
      </w:tr>
    </w:tbl>
    <w:p/>
    <w:p>
      <w:r>
        <w:t>Spridningen är stor men följer bokens logik: de tidiga kapitlen etablerar principer, de senare specificerar operativa mekanismer i detalj. Kapitel 2 är kortast och kapitel 29 och 31 längst. Detta är inte en defekt, men värt att notera — se observation 1.</w:t>
      </w:r>
    </w:p>
    <w:p>
      <w:pPr>
        <w:pStyle w:val="Heading1"/>
      </w:pPr>
      <w:r>
        <w:t>4. Observationer</w:t>
      </w:r>
    </w:p>
    <w:p>
      <w:pPr>
        <w:pStyle w:val="Heading2"/>
      </w:pPr>
      <w:r>
        <w:t>Observation 1 — Identiska kravtexter med olika ID</w:t>
      </w:r>
    </w:p>
    <w:p>
      <w:r>
        <w:t>100 krav delar formulering med minst ett annat krav, fördelade på 34 grupper. Den mest upprepade texten, „Förbjudna beteenden SKA blockeras tekniskt där det är möjligt.”, förekommer 23 gånger med 23 olika requirement-ID. „Tenantpolicy SKA ha företräde framför svagare project policy.” förekommer 11 gånger. Detta följer av att varje kapitel är skrivet självbärande, vilket är ett uttryckligt redaktionellt val i Chapter Plan §6. Konsekvensen är att samma normativa regel måste verifieras 23 gånger och att en framtida ändring av regeln kräver 23 samordnade ändringar. Förslag till nästa version: överväg ett canonical shared-requirements-avsnitt som de kapitelvisa kraven refererar till, istället för att upprepa texten. Detta är ett förslag, ingen ändring.</w:t>
      </w:r>
    </w:p>
    <w:p>
      <w:pPr>
        <w:pStyle w:val="Heading2"/>
      </w:pPr>
      <w:r>
        <w:t>Observation 2 — Mycket korta krav</w:t>
      </w:r>
    </w:p>
    <w:p>
      <w:r>
        <w:t>104 krav är kortare än fem ord, exempelvis „Unknown outcome SKA registreras explicit.”. De är korrekta och entydiga i sin sektionskontext, men förlorar kontext när de läses isolerat i requirement register eller verification matrix. Förslag: inget behov av omformulering, men verifieringsansvarig bör alltid läsa kravet tillsammans med sin sektionsrubrik, som nu finns i samtliga register.</w:t>
      </w:r>
    </w:p>
    <w:p>
      <w:pPr>
        <w:pStyle w:val="Heading2"/>
      </w:pPr>
      <w:r>
        <w:t>Observation 3 — Sju §8-begrepp saknar explicit definition</w:t>
      </w:r>
    </w:p>
    <w:p>
      <w:r>
        <w:t>Chapter Plan §8 kräver att 39 begrepp definieras konsekvent. 32 har en explicit definitionsmening i kapiteltexten. Sju saknar en sådan mening och är endast normerade genom sina sektioner: Credential Isolation, Recovery Device, Cloud Processing, Provider Routing, Notification Priority, Human Override och Governance Version. Se Canonical Glossary v1.0. Förslag: lägg till en definitionsmening för dessa sju i nästa version.</w:t>
      </w:r>
    </w:p>
    <w:p>
      <w:pPr>
        <w:pStyle w:val="Heading2"/>
      </w:pPr>
      <w:r>
        <w:t>Observation 4 — Kapitel 32 saknade filnamnsprefix i ursprungskällan</w:t>
      </w:r>
    </w:p>
    <w:p>
      <w:r>
        <w:t>I Sources/Working-Drafts hette kapitel 32 „Implementation Contract.docx.docx”. Detta är åtgärdat i Sources/Canonical-Source-Set-v1.0, där filen heter „Chapter 32 — Mobile Experience, Daily Operations and Canonical Implementation Contract.docx”. Innehållet var oförändrat korrekt i båda.</w:t>
      </w:r>
    </w:p>
    <w:p>
      <w:pPr>
        <w:pStyle w:val="Heading1"/>
      </w:pPr>
      <w:r>
        <w:t>5. Vad som fungerar särskilt väl</w:t>
      </w:r>
    </w:p>
    <w:p>
      <w:pPr>
        <w:pStyle w:val="ListBullet"/>
      </w:pPr>
      <w:r>
        <w:t>Kravatomicitet — inget krav sträcker sig över flera meningar.</w:t>
      </w:r>
    </w:p>
    <w:p>
      <w:pPr>
        <w:pStyle w:val="ListBullet"/>
      </w:pPr>
      <w:r>
        <w:t>Kapitelmandat i samtliga 32 kapitel ger varje kapitel en tydlig avgränsning.</w:t>
      </w:r>
    </w:p>
    <w:p>
      <w:pPr>
        <w:pStyle w:val="ListBullet"/>
      </w:pPr>
      <w:r>
        <w:t>Varje kapitel avslutas med en normativ slutsats och en statusrad i identiskt format.</w:t>
      </w:r>
    </w:p>
    <w:p>
      <w:pPr>
        <w:pStyle w:val="ListBullet"/>
      </w:pPr>
      <w:r>
        <w:t>Requirement-ID-numreringen är obruten och kollisionsfri över hela boken.</w:t>
      </w:r>
    </w:p>
    <w:p>
      <w:pPr>
        <w:pStyle w:val="ListBullet"/>
      </w:pPr>
      <w:r>
        <w:t>ASCII-diagrammen är konsekvent uppbyggda och förklaras alltid i omgivande text.</w:t>
      </w:r>
    </w:p>
    <w:p>
      <w:pPr>
        <w:pStyle w:val="ListBullet"/>
      </w:pPr>
      <w:r>
        <w:t>Förbud är genomgående uttryckta som förbud, inte som mjuka rekommendationer.</w:t>
      </w:r>
    </w:p>
    <w:p>
      <w:pPr>
        <w:pStyle w:val="ListBullet"/>
      </w:pPr>
      <w:r>
        <w:t>Terminologin glider inte mellan kapitel trots 223 000 ord.</w:t>
      </w:r>
    </w:p>
    <w:p>
      <w:pPr>
        <w:pStyle w:val="Heading1"/>
      </w:pPr>
      <w:r>
        <w:t>6. Slutsats</w:t>
      </w:r>
    </w:p>
    <w:p>
      <w:r>
        <w:t>Boken håller en redaktionell kvalitet som är ovanlig för ett normativt dokument av denna storlek. De fyra observationerna rör struktur och täckning, inte korrekthet. Ingen av dem hindrar godkännande.</w:t>
      </w:r>
    </w:p>
    <w:p>
      <w:r>
        <w:rPr>
          <w:b/>
        </w:rPr>
        <w:t>Rekommendation: observation 1 och 3 bör hanteras i en kommande version. Observation 2 kräver ingen åtgärd. Observation 4 är redan åtgärdad.</w:t>
      </w:r>
    </w:p>
    <w:p/>
    <w:p>
      <w:r>
        <w:rPr>
          <w:b/>
          <w:color w:val="C00000"/>
          <w:sz w:val="20"/>
        </w:rPr>
        <w:t>Detta dokument godkänner ingenting. Boken är godkänd som Canonical Edition v1.0 av André Hultgren 2026-07-30. Stage 1 är ej påbörjad.</w:t>
      </w:r>
    </w:p>
    <w:p>
      <w:r>
        <w:rPr>
          <w:b/>
          <w:color w:val="1F4E79"/>
          <w:sz w:val="20"/>
        </w:rPr>
        <w:t>Godkänd: André Hultgren godkände Omnira — Mobile Intelligence &amp; Device Control som Canonical Edition v1.0 den 2026-07-30. Detta dokument är oförändrat i sak sedan r2-leveransen; endast status- och godkännandemetadata har uppdaterats.</w:t>
      </w:r>
    </w:p>
    <w:sectPr w:rsidR="00FC693F" w:rsidRPr="0006063C" w:rsidSect="00034616">
      <w:footerReference w:type="default" r:id="rId9"/>
      <w:headerReference w:type="default" r:id="rId10"/>
      <w:footerReference w:type="first" r:id="rId11"/>
      <w:headerReference w:type="first" r:id="rId12"/>
      <w:pgSz w:w="11906" w:h="16838"/>
      <w:pgMar w:top="1304" w:right="141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808080"/>
        <w:sz w:val="16"/>
      </w:rPr>
      <w:t>Editorial Review Report · Omnira Mobile Intelligence &amp; Device Control · Canonical Edition v1.0 — APPROVED — härlett stöddokument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Caladea" w:hAnsi="Caladea" w:eastAsia="Calade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Lato" w:hAnsi="Lato" w:eastAsia="Lato"/>
      <w:b/>
      <w:bCs/>
      <w:i w:val="0"/>
      <w:color w:val="12263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Lato" w:hAnsi="Lato" w:eastAsia="Lato"/>
      <w:b/>
      <w:bCs/>
      <w:i w:val="0"/>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ato" w:hAnsi="Lato" w:eastAsia="Lato"/>
      <w:b/>
      <w:i w:val="0"/>
      <w:color w:val="1226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0"/>
    </w:pPr>
    <w:rPr>
      <w:rFonts w:asciiTheme="majorHAnsi" w:eastAsiaTheme="majorEastAsia" w:hAnsiTheme="majorHAnsi" w:cstheme="majorBidi" w:ascii="Caladea" w:hAnsi="Caladea" w:eastAsia="Caladea"/>
      <w:b w:val="0"/>
      <w:i/>
      <w:iCs/>
      <w:color w:val="44546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97" w:hanging="198"/>
      <w:contextualSpacing/>
    </w:pPr>
    <w:rPr>
      <w:rFonts w:ascii="Caladea" w:hAnsi="Caladea" w:eastAsia="Calade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Review Report — Omnira Mobile Intelligence &amp; Device Control v1.0</dc:title>
  <dc:subject/>
  <dc:creator>André Hultgren</dc:creator>
  <cp:keywords/>
  <dc:description>Canonical Edition v1.0 — APPROVED. Godkänd av André Hultgren 2026-07-30.</dc:description>
  <cp:lastModifiedBy/>
  <cp:revision>1</cp:revision>
  <dcterms:created xsi:type="dcterms:W3CDTF">2013-12-23T23:15:00Z</dcterms:created>
  <dcterms:modified xsi:type="dcterms:W3CDTF">2013-12-23T23:15:00Z</dcterms:modified>
  <cp:category/>
</cp:coreProperties>
</file>